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76307" w14:textId="77777777" w:rsidR="000C4535" w:rsidRPr="000C4535" w:rsidRDefault="000C4535" w:rsidP="004B403A">
      <w:pPr>
        <w:jc w:val="left"/>
        <w:rPr>
          <w:sz w:val="28"/>
        </w:rPr>
      </w:pPr>
    </w:p>
    <w:p w14:paraId="2B34F452" w14:textId="401D1DD6" w:rsidR="005C1D3C" w:rsidRPr="000C4535" w:rsidRDefault="005C1D3C" w:rsidP="004B403A">
      <w:pPr>
        <w:jc w:val="left"/>
        <w:rPr>
          <w:sz w:val="28"/>
        </w:rPr>
      </w:pPr>
      <w:r w:rsidRPr="000C4535">
        <w:rPr>
          <w:sz w:val="28"/>
        </w:rPr>
        <w:t>Nikolas Eisentraut</w:t>
      </w:r>
      <w:r w:rsidR="008D12E0" w:rsidRPr="000C4535">
        <w:rPr>
          <w:sz w:val="28"/>
        </w:rPr>
        <w:t xml:space="preserve"> (Hrsg.)</w:t>
      </w:r>
    </w:p>
    <w:p w14:paraId="2A34075C" w14:textId="5441A18E" w:rsidR="001E6008" w:rsidRPr="000C4535" w:rsidRDefault="00EB1996" w:rsidP="00716170">
      <w:pPr>
        <w:jc w:val="left"/>
        <w:rPr>
          <w:b/>
          <w:sz w:val="40"/>
        </w:rPr>
      </w:pPr>
      <w:r>
        <w:rPr>
          <w:b/>
          <w:sz w:val="40"/>
        </w:rPr>
        <w:t>Fälle zum Verwaltungsrecht</w:t>
      </w:r>
    </w:p>
    <w:p w14:paraId="2FE94B9F" w14:textId="77777777" w:rsidR="00AE4DFE" w:rsidRDefault="00AE4DFE">
      <w:pPr>
        <w:jc w:val="left"/>
        <w:rPr>
          <w:sz w:val="28"/>
        </w:rPr>
      </w:pPr>
      <w:r>
        <w:rPr>
          <w:sz w:val="28"/>
        </w:rPr>
        <w:br w:type="page"/>
      </w:r>
    </w:p>
    <w:p w14:paraId="25C49F55" w14:textId="77777777" w:rsidR="002F72DE" w:rsidRPr="000C4535" w:rsidRDefault="002F72DE" w:rsidP="00716170">
      <w:pPr>
        <w:jc w:val="left"/>
        <w:rPr>
          <w:sz w:val="28"/>
        </w:rPr>
      </w:pPr>
    </w:p>
    <w:p w14:paraId="3A9F5E8C" w14:textId="77777777" w:rsidR="005C1D3C" w:rsidRDefault="005C1D3C" w:rsidP="001E6008">
      <w:pPr>
        <w:jc w:val="center"/>
      </w:pPr>
    </w:p>
    <w:p w14:paraId="0EFAFA7A" w14:textId="77777777" w:rsidR="005C1D3C" w:rsidRDefault="005C1D3C" w:rsidP="001E6008">
      <w:pPr>
        <w:jc w:val="center"/>
      </w:pPr>
    </w:p>
    <w:p w14:paraId="4D67D716" w14:textId="77777777" w:rsidR="005C1D3C" w:rsidRDefault="005C1D3C" w:rsidP="001E6008">
      <w:pPr>
        <w:jc w:val="center"/>
      </w:pPr>
    </w:p>
    <w:p w14:paraId="3A1679BA" w14:textId="77777777" w:rsidR="005C1D3C" w:rsidRDefault="005C1D3C" w:rsidP="001E6008">
      <w:pPr>
        <w:jc w:val="center"/>
      </w:pPr>
    </w:p>
    <w:p w14:paraId="05153D0B" w14:textId="77777777" w:rsidR="005C1D3C" w:rsidRDefault="005C1D3C" w:rsidP="001E6008">
      <w:pPr>
        <w:jc w:val="center"/>
        <w:rPr>
          <w:sz w:val="24"/>
          <w:szCs w:val="24"/>
        </w:rPr>
      </w:pPr>
    </w:p>
    <w:p w14:paraId="04E656DB" w14:textId="1B9BCA80" w:rsidR="00FC741E" w:rsidRDefault="00FC741E" w:rsidP="00512FEE">
      <w:pPr>
        <w:jc w:val="left"/>
        <w:rPr>
          <w:b/>
          <w:sz w:val="32"/>
        </w:rPr>
      </w:pPr>
    </w:p>
    <w:p w14:paraId="191D4580" w14:textId="0901F8D8" w:rsidR="007F5EA3" w:rsidRDefault="007F5EA3">
      <w:pPr>
        <w:jc w:val="left"/>
        <w:rPr>
          <w:b/>
          <w:sz w:val="32"/>
        </w:rPr>
      </w:pPr>
      <w:r>
        <w:rPr>
          <w:b/>
          <w:sz w:val="32"/>
        </w:rPr>
        <w:br w:type="page"/>
      </w:r>
    </w:p>
    <w:p w14:paraId="36B1CC90" w14:textId="77777777" w:rsidR="00716170" w:rsidRDefault="00716170" w:rsidP="00716170">
      <w:pPr>
        <w:jc w:val="center"/>
        <w:rPr>
          <w:b/>
          <w:sz w:val="32"/>
        </w:rPr>
      </w:pPr>
    </w:p>
    <w:p w14:paraId="3A2A158B" w14:textId="77777777" w:rsidR="007F5EA3" w:rsidRDefault="007F5EA3" w:rsidP="00716170">
      <w:pPr>
        <w:jc w:val="center"/>
        <w:rPr>
          <w:b/>
          <w:sz w:val="32"/>
        </w:rPr>
      </w:pPr>
    </w:p>
    <w:p w14:paraId="54896994" w14:textId="674A1630" w:rsidR="004B403A" w:rsidRDefault="00EB1996" w:rsidP="001E6008">
      <w:pPr>
        <w:jc w:val="center"/>
        <w:rPr>
          <w:b/>
          <w:sz w:val="48"/>
        </w:rPr>
      </w:pPr>
      <w:r>
        <w:rPr>
          <w:b/>
          <w:sz w:val="48"/>
        </w:rPr>
        <w:t>Fälle zum Verwaltungsrecht</w:t>
      </w:r>
    </w:p>
    <w:p w14:paraId="204214F8" w14:textId="77777777" w:rsidR="006A2F61" w:rsidRPr="001E2800" w:rsidRDefault="006A2F61" w:rsidP="001E6008">
      <w:pPr>
        <w:jc w:val="center"/>
        <w:rPr>
          <w:sz w:val="28"/>
          <w:szCs w:val="24"/>
        </w:rPr>
      </w:pPr>
    </w:p>
    <w:p w14:paraId="715E4648" w14:textId="68724B57" w:rsidR="002F72DE" w:rsidRPr="006A2F61" w:rsidRDefault="006A2F61" w:rsidP="001E6008">
      <w:pPr>
        <w:jc w:val="center"/>
        <w:rPr>
          <w:b/>
          <w:bCs/>
          <w:sz w:val="24"/>
          <w:szCs w:val="24"/>
        </w:rPr>
      </w:pPr>
      <w:r w:rsidRPr="006A2F61">
        <w:rPr>
          <w:b/>
          <w:bCs/>
          <w:sz w:val="32"/>
          <w:szCs w:val="32"/>
        </w:rPr>
        <w:t>16 Klausurfälle mit ausführlichen Lösungen</w:t>
      </w:r>
    </w:p>
    <w:p w14:paraId="4CE4A76A" w14:textId="77777777" w:rsidR="002F72DE" w:rsidRDefault="002F72DE" w:rsidP="001E6008">
      <w:pPr>
        <w:jc w:val="center"/>
        <w:rPr>
          <w:sz w:val="24"/>
          <w:szCs w:val="24"/>
        </w:rPr>
      </w:pPr>
    </w:p>
    <w:p w14:paraId="290B2A38" w14:textId="10040F76" w:rsidR="001E6008" w:rsidRPr="005C1D3C" w:rsidRDefault="001E6008" w:rsidP="001E6008">
      <w:pPr>
        <w:jc w:val="center"/>
        <w:rPr>
          <w:sz w:val="24"/>
          <w:szCs w:val="24"/>
        </w:rPr>
      </w:pPr>
      <w:r w:rsidRPr="005C1D3C">
        <w:rPr>
          <w:sz w:val="24"/>
          <w:szCs w:val="24"/>
        </w:rPr>
        <w:t>Herausgegeben von</w:t>
      </w:r>
    </w:p>
    <w:p w14:paraId="2C5F7000" w14:textId="77777777" w:rsidR="001E6008" w:rsidRPr="005C1D3C" w:rsidRDefault="001E6008" w:rsidP="001E6008">
      <w:pPr>
        <w:jc w:val="center"/>
        <w:rPr>
          <w:sz w:val="24"/>
          <w:szCs w:val="24"/>
        </w:rPr>
      </w:pPr>
      <w:r w:rsidRPr="005C1D3C">
        <w:rPr>
          <w:sz w:val="24"/>
          <w:szCs w:val="24"/>
        </w:rPr>
        <w:t>Nikolas Eisentraut</w:t>
      </w:r>
    </w:p>
    <w:p w14:paraId="719DA095" w14:textId="77777777" w:rsidR="005C1D3C" w:rsidRPr="005C1D3C" w:rsidRDefault="005C1D3C" w:rsidP="005C1D3C">
      <w:pPr>
        <w:rPr>
          <w:sz w:val="24"/>
          <w:szCs w:val="24"/>
        </w:rPr>
      </w:pPr>
    </w:p>
    <w:p w14:paraId="45AC51DB" w14:textId="5E2FA316" w:rsidR="00BE3ED9" w:rsidRPr="005C1D3C" w:rsidRDefault="00BE3ED9" w:rsidP="00BE3ED9">
      <w:pPr>
        <w:jc w:val="center"/>
        <w:rPr>
          <w:sz w:val="24"/>
          <w:szCs w:val="24"/>
        </w:rPr>
      </w:pPr>
      <w:r w:rsidRPr="009F3CEA">
        <w:rPr>
          <w:sz w:val="24"/>
          <w:szCs w:val="24"/>
        </w:rPr>
        <w:t xml:space="preserve">Bearbeitet von </w:t>
      </w:r>
      <w:r w:rsidR="00C270F2">
        <w:rPr>
          <w:sz w:val="24"/>
          <w:szCs w:val="24"/>
        </w:rPr>
        <w:t xml:space="preserve">dem Herausgeber und </w:t>
      </w:r>
      <w:r w:rsidRPr="009F3CEA">
        <w:rPr>
          <w:sz w:val="24"/>
          <w:szCs w:val="24"/>
        </w:rPr>
        <w:t>Wo</w:t>
      </w:r>
      <w:r w:rsidRPr="005C1D3C">
        <w:rPr>
          <w:sz w:val="24"/>
          <w:szCs w:val="24"/>
        </w:rPr>
        <w:t>lfgang Abromeit, Alexander Brade,</w:t>
      </w:r>
      <w:r>
        <w:rPr>
          <w:sz w:val="24"/>
          <w:szCs w:val="24"/>
        </w:rPr>
        <w:t xml:space="preserve"> </w:t>
      </w:r>
      <w:r w:rsidRPr="005C1D3C">
        <w:rPr>
          <w:sz w:val="24"/>
          <w:szCs w:val="24"/>
        </w:rPr>
        <w:t>Tobias Brings-Wiesen</w:t>
      </w:r>
      <w:r>
        <w:rPr>
          <w:sz w:val="24"/>
          <w:szCs w:val="24"/>
        </w:rPr>
        <w:t xml:space="preserve">, </w:t>
      </w:r>
      <w:r w:rsidRPr="005C1D3C">
        <w:rPr>
          <w:sz w:val="24"/>
          <w:szCs w:val="24"/>
        </w:rPr>
        <w:t>Hendrik Burbach,</w:t>
      </w:r>
      <w:r>
        <w:rPr>
          <w:sz w:val="24"/>
          <w:szCs w:val="24"/>
        </w:rPr>
        <w:t xml:space="preserve"> </w:t>
      </w:r>
      <w:r w:rsidRPr="005C1D3C">
        <w:rPr>
          <w:sz w:val="24"/>
          <w:szCs w:val="24"/>
        </w:rPr>
        <w:t xml:space="preserve">Katrin Giere, </w:t>
      </w:r>
      <w:r w:rsidR="00D466C1" w:rsidRPr="005C1D3C">
        <w:rPr>
          <w:sz w:val="24"/>
          <w:szCs w:val="24"/>
        </w:rPr>
        <w:t>Jana Himstedt</w:t>
      </w:r>
      <w:r w:rsidR="00D466C1">
        <w:rPr>
          <w:sz w:val="24"/>
          <w:szCs w:val="24"/>
        </w:rPr>
        <w:t xml:space="preserve">, </w:t>
      </w:r>
      <w:r w:rsidRPr="005C1D3C">
        <w:rPr>
          <w:sz w:val="24"/>
          <w:szCs w:val="24"/>
        </w:rPr>
        <w:t>Tanja Kernchen,</w:t>
      </w:r>
      <w:r w:rsidRPr="00192BA0">
        <w:rPr>
          <w:sz w:val="24"/>
          <w:szCs w:val="24"/>
        </w:rPr>
        <w:t xml:space="preserve"> </w:t>
      </w:r>
      <w:r w:rsidRPr="005C1D3C">
        <w:rPr>
          <w:sz w:val="24"/>
          <w:szCs w:val="24"/>
        </w:rPr>
        <w:t>Thomas Kienle</w:t>
      </w:r>
      <w:r>
        <w:rPr>
          <w:sz w:val="24"/>
          <w:szCs w:val="24"/>
        </w:rPr>
        <w:t xml:space="preserve">, </w:t>
      </w:r>
      <w:r w:rsidRPr="005C1D3C">
        <w:rPr>
          <w:sz w:val="24"/>
          <w:szCs w:val="24"/>
        </w:rPr>
        <w:t>Isabel Leinenbach</w:t>
      </w:r>
      <w:r>
        <w:rPr>
          <w:sz w:val="24"/>
          <w:szCs w:val="24"/>
        </w:rPr>
        <w:t xml:space="preserve">, </w:t>
      </w:r>
      <w:r w:rsidRPr="005C1D3C">
        <w:rPr>
          <w:sz w:val="24"/>
          <w:szCs w:val="24"/>
        </w:rPr>
        <w:t>Stefan Michel</w:t>
      </w:r>
      <w:r>
        <w:rPr>
          <w:sz w:val="24"/>
          <w:szCs w:val="24"/>
        </w:rPr>
        <w:t xml:space="preserve">, </w:t>
      </w:r>
      <w:r w:rsidRPr="005C1D3C">
        <w:rPr>
          <w:sz w:val="24"/>
          <w:szCs w:val="24"/>
        </w:rPr>
        <w:t>Hendrik Prinz</w:t>
      </w:r>
      <w:r>
        <w:rPr>
          <w:sz w:val="24"/>
          <w:szCs w:val="24"/>
        </w:rPr>
        <w:t xml:space="preserve">, </w:t>
      </w:r>
      <w:r w:rsidRPr="005C1D3C">
        <w:rPr>
          <w:sz w:val="24"/>
          <w:szCs w:val="24"/>
        </w:rPr>
        <w:t>Judith Sikora</w:t>
      </w:r>
      <w:r>
        <w:rPr>
          <w:sz w:val="24"/>
          <w:szCs w:val="24"/>
        </w:rPr>
        <w:t>,</w:t>
      </w:r>
      <w:r w:rsidRPr="00192BA0">
        <w:rPr>
          <w:sz w:val="24"/>
          <w:szCs w:val="24"/>
        </w:rPr>
        <w:t xml:space="preserve"> </w:t>
      </w:r>
      <w:r w:rsidRPr="005C1D3C">
        <w:rPr>
          <w:sz w:val="24"/>
          <w:szCs w:val="24"/>
        </w:rPr>
        <w:t>Eva Skobel</w:t>
      </w:r>
      <w:r>
        <w:rPr>
          <w:sz w:val="24"/>
          <w:szCs w:val="24"/>
        </w:rPr>
        <w:t>,</w:t>
      </w:r>
      <w:r w:rsidRPr="00192BA0">
        <w:rPr>
          <w:sz w:val="24"/>
          <w:szCs w:val="24"/>
        </w:rPr>
        <w:t xml:space="preserve"> </w:t>
      </w:r>
      <w:r w:rsidRPr="005C1D3C">
        <w:rPr>
          <w:sz w:val="24"/>
          <w:szCs w:val="24"/>
        </w:rPr>
        <w:t>Erik Sollman</w:t>
      </w:r>
      <w:r w:rsidR="006A2F61">
        <w:rPr>
          <w:sz w:val="24"/>
          <w:szCs w:val="24"/>
        </w:rPr>
        <w:t>n</w:t>
      </w:r>
    </w:p>
    <w:p w14:paraId="311A8C65" w14:textId="466E195B" w:rsidR="001E6008" w:rsidRPr="005C1D3C" w:rsidRDefault="001E6008" w:rsidP="001E6008">
      <w:pPr>
        <w:jc w:val="center"/>
        <w:rPr>
          <w:sz w:val="24"/>
          <w:szCs w:val="24"/>
        </w:rPr>
      </w:pPr>
    </w:p>
    <w:p w14:paraId="3489265E" w14:textId="77777777" w:rsidR="001E6008" w:rsidRPr="005C1D3C" w:rsidRDefault="001E6008" w:rsidP="001E6008">
      <w:pPr>
        <w:jc w:val="center"/>
        <w:rPr>
          <w:sz w:val="24"/>
          <w:szCs w:val="24"/>
        </w:rPr>
      </w:pPr>
    </w:p>
    <w:p w14:paraId="48276A3A" w14:textId="77777777" w:rsidR="005C1D3C" w:rsidRPr="005C1D3C" w:rsidRDefault="005C1D3C" w:rsidP="001E6008">
      <w:pPr>
        <w:jc w:val="center"/>
        <w:rPr>
          <w:sz w:val="24"/>
          <w:szCs w:val="24"/>
        </w:rPr>
      </w:pPr>
    </w:p>
    <w:p w14:paraId="0C91B0BB" w14:textId="3C640DAE" w:rsidR="001E6008" w:rsidRDefault="001E6008" w:rsidP="001E6008">
      <w:pPr>
        <w:jc w:val="center"/>
        <w:rPr>
          <w:sz w:val="24"/>
          <w:szCs w:val="24"/>
        </w:rPr>
      </w:pPr>
      <w:r w:rsidRPr="006A2F61">
        <w:rPr>
          <w:sz w:val="24"/>
          <w:szCs w:val="24"/>
        </w:rPr>
        <w:t xml:space="preserve">1. </w:t>
      </w:r>
      <w:r w:rsidR="003218E8" w:rsidRPr="006A2F61">
        <w:rPr>
          <w:sz w:val="24"/>
          <w:szCs w:val="24"/>
        </w:rPr>
        <w:t>Aufl.</w:t>
      </w:r>
      <w:r w:rsidR="003E7127" w:rsidRPr="006A2F61">
        <w:rPr>
          <w:sz w:val="24"/>
          <w:szCs w:val="24"/>
        </w:rPr>
        <w:t xml:space="preserve"> 2020</w:t>
      </w:r>
    </w:p>
    <w:p w14:paraId="54D2B99C" w14:textId="77777777" w:rsidR="001E2800" w:rsidRPr="005C1D3C" w:rsidRDefault="001E2800" w:rsidP="001E2800">
      <w:pPr>
        <w:rPr>
          <w:sz w:val="24"/>
          <w:szCs w:val="24"/>
        </w:rPr>
      </w:pPr>
    </w:p>
    <w:p w14:paraId="186C2316" w14:textId="77777777" w:rsidR="004B403A" w:rsidRDefault="004B403A" w:rsidP="004B403A"/>
    <w:p w14:paraId="09CE5333" w14:textId="77777777" w:rsidR="001E2800" w:rsidRDefault="001E2800">
      <w:pPr>
        <w:jc w:val="left"/>
        <w:rPr>
          <w:sz w:val="24"/>
          <w:szCs w:val="24"/>
        </w:rPr>
      </w:pPr>
      <w:r>
        <w:rPr>
          <w:sz w:val="24"/>
          <w:szCs w:val="24"/>
        </w:rPr>
        <w:br w:type="page"/>
      </w:r>
    </w:p>
    <w:p w14:paraId="683A6CE1" w14:textId="77777777" w:rsidR="001E2800" w:rsidRDefault="001E2800" w:rsidP="001E6008">
      <w:pPr>
        <w:jc w:val="center"/>
        <w:rPr>
          <w:sz w:val="24"/>
          <w:szCs w:val="24"/>
        </w:rPr>
      </w:pPr>
    </w:p>
    <w:p w14:paraId="246FECC0" w14:textId="77777777" w:rsidR="001E2800" w:rsidRDefault="001E2800" w:rsidP="001E6008">
      <w:pPr>
        <w:jc w:val="center"/>
        <w:rPr>
          <w:sz w:val="24"/>
          <w:szCs w:val="24"/>
        </w:rPr>
      </w:pPr>
    </w:p>
    <w:p w14:paraId="36652C93" w14:textId="77777777" w:rsidR="006A2F61" w:rsidRDefault="006A2F61" w:rsidP="006A2F61">
      <w:pPr>
        <w:jc w:val="left"/>
        <w:rPr>
          <w:szCs w:val="20"/>
        </w:rPr>
      </w:pPr>
      <w:r w:rsidRPr="006A2F61">
        <w:rPr>
          <w:szCs w:val="20"/>
        </w:rPr>
        <w:t xml:space="preserve">Herausgeber: </w:t>
      </w:r>
    </w:p>
    <w:p w14:paraId="74DA42A3" w14:textId="084411A2" w:rsidR="001E2800" w:rsidRPr="006A2F61" w:rsidRDefault="006A2F61" w:rsidP="006A2F61">
      <w:pPr>
        <w:jc w:val="left"/>
        <w:rPr>
          <w:szCs w:val="20"/>
        </w:rPr>
      </w:pPr>
      <w:r w:rsidRPr="006A2F61">
        <w:rPr>
          <w:szCs w:val="20"/>
        </w:rPr>
        <w:t>Dipl.-Jur. Nikolas Eisentraut, Berlin</w:t>
      </w:r>
    </w:p>
    <w:p w14:paraId="743B4C97" w14:textId="77777777" w:rsidR="001E2800" w:rsidRDefault="001E2800" w:rsidP="001E6008">
      <w:pPr>
        <w:jc w:val="center"/>
        <w:rPr>
          <w:sz w:val="24"/>
          <w:szCs w:val="24"/>
        </w:rPr>
      </w:pPr>
    </w:p>
    <w:p w14:paraId="581061C9" w14:textId="3E80E434" w:rsidR="001E6008" w:rsidRPr="001E2800" w:rsidRDefault="001E6008" w:rsidP="006A2F61">
      <w:pPr>
        <w:rPr>
          <w:szCs w:val="20"/>
        </w:rPr>
      </w:pPr>
      <w:r w:rsidRPr="001E2800">
        <w:rPr>
          <w:szCs w:val="20"/>
        </w:rPr>
        <w:t>Zitiervorschlag: Bearbeiter</w:t>
      </w:r>
      <w:r w:rsidR="005C1D3C" w:rsidRPr="001E2800">
        <w:rPr>
          <w:szCs w:val="20"/>
        </w:rPr>
        <w:t>*in</w:t>
      </w:r>
      <w:r w:rsidRPr="001E2800">
        <w:rPr>
          <w:szCs w:val="20"/>
        </w:rPr>
        <w:t xml:space="preserve">, in: Eisentraut, </w:t>
      </w:r>
      <w:r w:rsidR="00315472">
        <w:rPr>
          <w:szCs w:val="20"/>
        </w:rPr>
        <w:t>Fälle zum Verwaltungsrecht</w:t>
      </w:r>
      <w:r w:rsidRPr="001E2800">
        <w:rPr>
          <w:szCs w:val="20"/>
        </w:rPr>
        <w:t xml:space="preserve">, </w:t>
      </w:r>
      <w:r w:rsidR="006B5269" w:rsidRPr="001E2800">
        <w:rPr>
          <w:szCs w:val="20"/>
        </w:rPr>
        <w:t xml:space="preserve">§, </w:t>
      </w:r>
      <w:r w:rsidRPr="001E2800">
        <w:rPr>
          <w:szCs w:val="20"/>
        </w:rPr>
        <w:t>Rn.</w:t>
      </w:r>
    </w:p>
    <w:p w14:paraId="07844A9E" w14:textId="77777777" w:rsidR="001E6008" w:rsidRPr="001E2800" w:rsidRDefault="001E6008" w:rsidP="001E6008">
      <w:pPr>
        <w:jc w:val="center"/>
        <w:rPr>
          <w:szCs w:val="20"/>
        </w:rPr>
      </w:pPr>
    </w:p>
    <w:p w14:paraId="792F46C4" w14:textId="77777777" w:rsidR="001E6008" w:rsidRPr="001E2800" w:rsidRDefault="001E6008" w:rsidP="001E6008">
      <w:pPr>
        <w:jc w:val="center"/>
        <w:rPr>
          <w:szCs w:val="20"/>
        </w:rPr>
      </w:pPr>
    </w:p>
    <w:p w14:paraId="1746D006" w14:textId="269D55DE" w:rsidR="006A2F61" w:rsidRDefault="006A2F61" w:rsidP="006A2F61">
      <w:r>
        <w:t xml:space="preserve">Diese Arbeit wurde unter der Creative Commons Lizenz </w:t>
      </w:r>
      <w:r w:rsidR="001E6008" w:rsidRPr="006A2F61">
        <w:t>CC BY-SA 4.0</w:t>
      </w:r>
      <w:r>
        <w:t xml:space="preserve"> veröffentlicht. Weitere detaillierte Informationen finden Sie unter </w:t>
      </w:r>
      <w:hyperlink r:id="rId8" w:history="1">
        <w:r w:rsidRPr="00FB4E2B">
          <w:rPr>
            <w:rStyle w:val="Hyperlink"/>
          </w:rPr>
          <w:t>https://creativecommons.org/licenses/by-sa/4.0/</w:t>
        </w:r>
      </w:hyperlink>
      <w:r>
        <w:t xml:space="preserve"> </w:t>
      </w:r>
    </w:p>
    <w:p w14:paraId="16040463" w14:textId="77777777" w:rsidR="006A2F61" w:rsidRDefault="006A2F61" w:rsidP="006A2F61"/>
    <w:p w14:paraId="7D7247ED" w14:textId="1798DE1E" w:rsidR="006A2F61" w:rsidRDefault="006D1FD1" w:rsidP="006A2F61">
      <w:pPr>
        <w:rPr>
          <w:szCs w:val="20"/>
        </w:rPr>
      </w:pPr>
      <w:bookmarkStart w:id="0" w:name="_Hlk22196619"/>
      <w:r>
        <w:rPr>
          <w:szCs w:val="20"/>
        </w:rPr>
        <w:t>Dieses Fallrepetitorium</w:t>
      </w:r>
      <w:r w:rsidR="006A2F61" w:rsidRPr="006A2F61">
        <w:rPr>
          <w:szCs w:val="20"/>
        </w:rPr>
        <w:t xml:space="preserve"> ist in weiteren Formaten erschienen: </w:t>
      </w:r>
      <w:r w:rsidR="006A2F61" w:rsidRPr="006A2F61">
        <w:rPr>
          <w:szCs w:val="20"/>
        </w:rPr>
        <w:br/>
      </w:r>
    </w:p>
    <w:p w14:paraId="7A21EC04" w14:textId="554E7F71" w:rsidR="006A2F61" w:rsidRPr="006A2F61" w:rsidRDefault="006A2F61" w:rsidP="005A16FB">
      <w:pPr>
        <w:pStyle w:val="Listenabsatz"/>
        <w:numPr>
          <w:ilvl w:val="0"/>
          <w:numId w:val="16"/>
        </w:numPr>
        <w:rPr>
          <w:szCs w:val="20"/>
        </w:rPr>
      </w:pPr>
      <w:r w:rsidRPr="006A2F61">
        <w:rPr>
          <w:szCs w:val="20"/>
        </w:rPr>
        <w:t xml:space="preserve">Es kann als gedrucktes Buch unter der ISBN </w:t>
      </w:r>
      <w:hyperlink r:id="rId9" w:history="1">
        <w:r w:rsidRPr="00A625BF">
          <w:rPr>
            <w:rStyle w:val="Hyperlink"/>
            <w:szCs w:val="20"/>
          </w:rPr>
          <w:t>978-3-941159-38-9</w:t>
        </w:r>
      </w:hyperlink>
      <w:r w:rsidRPr="006A2F61">
        <w:rPr>
          <w:szCs w:val="20"/>
        </w:rPr>
        <w:t xml:space="preserve"> käuflich erworben werden.</w:t>
      </w:r>
    </w:p>
    <w:p w14:paraId="01CE0189" w14:textId="4E447E29" w:rsidR="006A2F61" w:rsidRDefault="006A2F61" w:rsidP="005A16FB">
      <w:pPr>
        <w:pStyle w:val="Listenabsatz"/>
        <w:numPr>
          <w:ilvl w:val="0"/>
          <w:numId w:val="16"/>
        </w:numPr>
        <w:rPr>
          <w:szCs w:val="20"/>
        </w:rPr>
      </w:pPr>
      <w:r>
        <w:rPr>
          <w:szCs w:val="20"/>
        </w:rPr>
        <w:t xml:space="preserve">Es kann Open Access als e-Book in den Formaten PDF und epub unter der DOI </w:t>
      </w:r>
      <w:hyperlink r:id="rId10" w:history="1">
        <w:r w:rsidRPr="006A2F61">
          <w:rPr>
            <w:rStyle w:val="Hyperlink"/>
            <w:szCs w:val="20"/>
          </w:rPr>
          <w:t>10.24921/2020.941</w:t>
        </w:r>
        <w:r w:rsidRPr="006A2F61">
          <w:rPr>
            <w:rStyle w:val="Hyperlink"/>
            <w:szCs w:val="20"/>
          </w:rPr>
          <w:t>1</w:t>
        </w:r>
        <w:r w:rsidRPr="006A2F61">
          <w:rPr>
            <w:rStyle w:val="Hyperlink"/>
            <w:szCs w:val="20"/>
          </w:rPr>
          <w:t>5939</w:t>
        </w:r>
      </w:hyperlink>
      <w:r>
        <w:rPr>
          <w:szCs w:val="20"/>
        </w:rPr>
        <w:t xml:space="preserve"> oder unter der ISBN </w:t>
      </w:r>
      <w:r w:rsidRPr="006A2F61">
        <w:rPr>
          <w:szCs w:val="20"/>
        </w:rPr>
        <w:t>978-3-941159-39-6</w:t>
      </w:r>
      <w:r>
        <w:rPr>
          <w:szCs w:val="20"/>
        </w:rPr>
        <w:t xml:space="preserve"> heruntergeladen werden.</w:t>
      </w:r>
    </w:p>
    <w:p w14:paraId="1A8F6570" w14:textId="7CF3DE84" w:rsidR="00AC7BE5" w:rsidRPr="00AC7BE5" w:rsidRDefault="006A2F61" w:rsidP="005A16FB">
      <w:pPr>
        <w:pStyle w:val="Listenabsatz"/>
        <w:numPr>
          <w:ilvl w:val="0"/>
          <w:numId w:val="16"/>
        </w:numPr>
        <w:rPr>
          <w:szCs w:val="20"/>
        </w:rPr>
        <w:sectPr w:rsidR="00AC7BE5" w:rsidRPr="00AC7BE5" w:rsidSect="007F5EA3">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9639" w:h="13608"/>
          <w:pgMar w:top="1418" w:right="1134" w:bottom="1134" w:left="1134" w:header="709" w:footer="709" w:gutter="0"/>
          <w:pgNumType w:fmt="upperRoman"/>
          <w:cols w:space="708"/>
          <w:docGrid w:linePitch="360"/>
        </w:sectPr>
      </w:pPr>
      <w:r>
        <w:rPr>
          <w:szCs w:val="20"/>
        </w:rPr>
        <w:t xml:space="preserve">Es ist online auf wikibooks.org erschienen: </w:t>
      </w:r>
      <w:hyperlink r:id="rId17" w:history="1">
        <w:r w:rsidRPr="00FB4E2B">
          <w:rPr>
            <w:rStyle w:val="Hyperlink"/>
            <w:szCs w:val="20"/>
          </w:rPr>
          <w:t>https://de.wikibooks.org/wiki/Verwaltungsrecht_in_der_Klausur/_Die_Fälle</w:t>
        </w:r>
      </w:hyperlink>
      <w:r>
        <w:rPr>
          <w:szCs w:val="20"/>
        </w:rPr>
        <w:t xml:space="preserve"> </w:t>
      </w:r>
      <w:bookmarkStart w:id="1" w:name="_Toc10463366"/>
    </w:p>
    <w:p w14:paraId="006F6F99" w14:textId="3F27787C" w:rsidR="001E6008" w:rsidRDefault="001E6008" w:rsidP="00586556">
      <w:pPr>
        <w:pStyle w:val="berschrift1"/>
      </w:pPr>
      <w:bookmarkStart w:id="2" w:name="_Toc22132754"/>
      <w:bookmarkEnd w:id="0"/>
      <w:r>
        <w:lastRenderedPageBreak/>
        <w:t>Vorwort</w:t>
      </w:r>
      <w:bookmarkEnd w:id="1"/>
      <w:bookmarkEnd w:id="2"/>
    </w:p>
    <w:p w14:paraId="164DA0D6" w14:textId="7590FC83" w:rsidR="000936A6" w:rsidRDefault="00621BEB" w:rsidP="006678C1">
      <w:r>
        <w:t xml:space="preserve">Das vorliegende </w:t>
      </w:r>
      <w:r w:rsidR="003E7127">
        <w:t>Fallrepetitorium</w:t>
      </w:r>
      <w:r>
        <w:t xml:space="preserve"> zum Verwaltungsrecht </w:t>
      </w:r>
      <w:r w:rsidR="008869D4">
        <w:t>ist</w:t>
      </w:r>
      <w:r>
        <w:t xml:space="preserve"> das </w:t>
      </w:r>
      <w:r w:rsidR="00860A34">
        <w:rPr>
          <w:b/>
        </w:rPr>
        <w:t>erste offen lizenz</w:t>
      </w:r>
      <w:r w:rsidRPr="00E03951">
        <w:rPr>
          <w:b/>
        </w:rPr>
        <w:t xml:space="preserve">ierte </w:t>
      </w:r>
      <w:r w:rsidR="003E7127">
        <w:rPr>
          <w:b/>
        </w:rPr>
        <w:t>Fallrepetitorium</w:t>
      </w:r>
      <w:r>
        <w:t xml:space="preserve"> in </w:t>
      </w:r>
      <w:r w:rsidR="008869D4">
        <w:t>der deutschen Rechtswissenschaft</w:t>
      </w:r>
      <w:r w:rsidR="00BF719B">
        <w:t xml:space="preserve">. </w:t>
      </w:r>
      <w:r w:rsidR="008869D4">
        <w:t xml:space="preserve">Es will als „Leuchtturmprojekt“ </w:t>
      </w:r>
      <w:r w:rsidR="008869D4" w:rsidRPr="008869D4">
        <w:t xml:space="preserve">die </w:t>
      </w:r>
      <w:r w:rsidR="008869D4">
        <w:t xml:space="preserve">Idee freier Bildungsmaterialien </w:t>
      </w:r>
      <w:r w:rsidR="00BF719B">
        <w:t>(</w:t>
      </w:r>
      <w:r w:rsidR="00D802BE">
        <w:t>sog</w:t>
      </w:r>
      <w:r w:rsidR="00F46E62">
        <w:t>. O</w:t>
      </w:r>
      <w:r w:rsidR="00D802BE">
        <w:t xml:space="preserve">pen </w:t>
      </w:r>
      <w:r w:rsidR="00F46E62">
        <w:t>Educational R</w:t>
      </w:r>
      <w:r w:rsidR="00D802BE">
        <w:t>esources</w:t>
      </w:r>
      <w:r w:rsidR="00BF719B">
        <w:t>) in den Bereich</w:t>
      </w:r>
      <w:r w:rsidR="00E03951">
        <w:t xml:space="preserve"> der rechtswissenschaftlichen</w:t>
      </w:r>
      <w:r w:rsidR="00BF719B">
        <w:t xml:space="preserve"> Ausbildungsliteratur </w:t>
      </w:r>
      <w:r w:rsidR="00E03951">
        <w:t xml:space="preserve">tragen und zum Nachahmen anregen. </w:t>
      </w:r>
      <w:r w:rsidR="009F3CEA">
        <w:t xml:space="preserve">Es begleitet das </w:t>
      </w:r>
      <w:r w:rsidR="00885AD2">
        <w:t>bei</w:t>
      </w:r>
      <w:r w:rsidR="009F3CEA">
        <w:t xml:space="preserve"> De</w:t>
      </w:r>
      <w:r w:rsidR="00885AD2">
        <w:t xml:space="preserve"> Gruyter</w:t>
      </w:r>
      <w:r w:rsidR="009F3CEA">
        <w:t xml:space="preserve"> erschiene</w:t>
      </w:r>
      <w:r w:rsidR="00315472">
        <w:t>ne</w:t>
      </w:r>
      <w:r w:rsidR="009F3CEA">
        <w:t xml:space="preserve"> </w:t>
      </w:r>
      <w:hyperlink r:id="rId18" w:history="1">
        <w:r w:rsidR="009F3CEA" w:rsidRPr="000D2451">
          <w:rPr>
            <w:rStyle w:val="Hyperlink"/>
          </w:rPr>
          <w:t>Lehrbuch „Verwaltungsrecht in der Klausur“</w:t>
        </w:r>
      </w:hyperlink>
      <w:r w:rsidR="009F3CEA">
        <w:t xml:space="preserve"> und bereichert dieses um 16 große Fälle.</w:t>
      </w:r>
    </w:p>
    <w:p w14:paraId="0919B2E5" w14:textId="7E8F353A" w:rsidR="00BF719B" w:rsidRPr="009F3CEA" w:rsidRDefault="009F3CEA" w:rsidP="006678C1">
      <w:pPr>
        <w:rPr>
          <w:highlight w:val="yellow"/>
        </w:rPr>
      </w:pPr>
      <w:r>
        <w:t xml:space="preserve">Fallrepetitorium und </w:t>
      </w:r>
      <w:r w:rsidR="00453C38">
        <w:t xml:space="preserve">Lehrbuch </w:t>
      </w:r>
      <w:r>
        <w:t xml:space="preserve">können </w:t>
      </w:r>
      <w:r w:rsidR="00453C38" w:rsidRPr="00453C38">
        <w:rPr>
          <w:b/>
        </w:rPr>
        <w:t>vollständig</w:t>
      </w:r>
      <w:r w:rsidR="00453C38">
        <w:t xml:space="preserve"> </w:t>
      </w:r>
      <w:r w:rsidR="00BF719B" w:rsidRPr="00E03951">
        <w:rPr>
          <w:b/>
        </w:rPr>
        <w:t>kostenlos</w:t>
      </w:r>
      <w:r w:rsidR="00453C38">
        <w:t xml:space="preserve"> im Internet gelesen, heruntergeladen und geteilt </w:t>
      </w:r>
      <w:r w:rsidR="00BF719B">
        <w:t xml:space="preserve">werden. </w:t>
      </w:r>
      <w:r>
        <w:t xml:space="preserve">Lehrbuch und </w:t>
      </w:r>
      <w:r w:rsidR="003E7127">
        <w:t>Fallrepetitorium</w:t>
      </w:r>
      <w:r w:rsidR="004B403A">
        <w:t xml:space="preserve"> </w:t>
      </w:r>
      <w:r>
        <w:t xml:space="preserve">sind jedoch </w:t>
      </w:r>
      <w:r w:rsidR="004B403A">
        <w:t xml:space="preserve">nicht nur kostenlos, </w:t>
      </w:r>
      <w:r>
        <w:t>sie sind</w:t>
      </w:r>
      <w:r w:rsidR="004B403A" w:rsidRPr="00453C38">
        <w:rPr>
          <w:b/>
        </w:rPr>
        <w:t xml:space="preserve"> offen </w:t>
      </w:r>
      <w:r w:rsidR="00FB0730">
        <w:rPr>
          <w:b/>
        </w:rPr>
        <w:t>lizenz</w:t>
      </w:r>
      <w:r w:rsidR="00BF719B" w:rsidRPr="00453C38">
        <w:rPr>
          <w:b/>
        </w:rPr>
        <w:t>iert</w:t>
      </w:r>
      <w:r w:rsidR="00BF719B">
        <w:t xml:space="preserve">: Jeder ist daher herzlich </w:t>
      </w:r>
      <w:r w:rsidR="004B403A">
        <w:t xml:space="preserve">dazu </w:t>
      </w:r>
      <w:r w:rsidR="003E7127">
        <w:t xml:space="preserve">eingeladen, die Fälle </w:t>
      </w:r>
      <w:r w:rsidR="00BF719B">
        <w:t xml:space="preserve">zu seinen Zwecken zu nutzen, </w:t>
      </w:r>
      <w:r w:rsidR="003E7127">
        <w:t>sie</w:t>
      </w:r>
      <w:r w:rsidR="00453C38">
        <w:t xml:space="preserve"> zu bearbeiten, darauf aufbauende Unterlagen zu erstellen und </w:t>
      </w:r>
      <w:r w:rsidR="003E7127">
        <w:t>sie</w:t>
      </w:r>
      <w:r w:rsidR="00453C38">
        <w:t xml:space="preserve"> weiterzuentwickeln (</w:t>
      </w:r>
      <w:r w:rsidR="00BB03BF">
        <w:t>s. </w:t>
      </w:r>
      <w:r w:rsidR="00453C38">
        <w:t>näher</w:t>
      </w:r>
      <w:r w:rsidR="00BB03BF">
        <w:t xml:space="preserve"> zur Creative Commons Lizenz </w:t>
      </w:r>
      <w:r w:rsidR="00BB03BF" w:rsidRPr="009F3CEA">
        <w:t>CC BY</w:t>
      </w:r>
      <w:r w:rsidR="00BB03BF" w:rsidRPr="009F3CEA">
        <w:noBreakHyphen/>
        <w:t>SA </w:t>
      </w:r>
      <w:r w:rsidR="00453C38" w:rsidRPr="009F3CEA">
        <w:t xml:space="preserve">4.0 </w:t>
      </w:r>
      <w:r w:rsidR="00BB03BF" w:rsidRPr="009F3CEA">
        <w:t>das Kapitel</w:t>
      </w:r>
      <w:r w:rsidR="00453C38" w:rsidRPr="009F3CEA">
        <w:t xml:space="preserve"> „Die offene Lizenz: Was darf ich mit dem </w:t>
      </w:r>
      <w:r w:rsidR="003E7127" w:rsidRPr="009F3CEA">
        <w:t>Fallrepetitorium</w:t>
      </w:r>
      <w:r w:rsidR="00453C38" w:rsidRPr="009F3CEA">
        <w:t xml:space="preserve"> alles machen?“</w:t>
      </w:r>
      <w:r w:rsidR="00BB03BF" w:rsidRPr="009F3CEA">
        <w:t>).</w:t>
      </w:r>
    </w:p>
    <w:p w14:paraId="4DEE0779" w14:textId="5FB52676" w:rsidR="00F46E62" w:rsidRDefault="00453C38" w:rsidP="00453C38">
      <w:r w:rsidRPr="009F3CEA">
        <w:t xml:space="preserve">Natürlich bedeutet </w:t>
      </w:r>
      <w:r w:rsidR="000D2451">
        <w:t xml:space="preserve">kostenlos </w:t>
      </w:r>
      <w:r w:rsidRPr="009F3CEA">
        <w:t xml:space="preserve">nicht, dass mit der Herstellung des </w:t>
      </w:r>
      <w:r w:rsidR="009F3CEA" w:rsidRPr="009F3CEA">
        <w:t>Fallrepetitoriums</w:t>
      </w:r>
      <w:r w:rsidRPr="009F3CEA">
        <w:t xml:space="preserve"> keine Kosten verbunden gewesen wären: Ohne die </w:t>
      </w:r>
      <w:r w:rsidRPr="009F3CEA">
        <w:rPr>
          <w:b/>
        </w:rPr>
        <w:t>Förderung des Fellow-Programms Freies Wissen</w:t>
      </w:r>
      <w:r w:rsidRPr="009F3CEA">
        <w:t xml:space="preserve"> hätte ich weder die Kapazitäten, noch die finanziellen Mittel aufbringen können, um ein so umfassendes </w:t>
      </w:r>
      <w:r w:rsidR="00AE4DFE">
        <w:t>P</w:t>
      </w:r>
      <w:r w:rsidRPr="009F3CEA">
        <w:t xml:space="preserve">rojekt unter </w:t>
      </w:r>
      <w:r w:rsidR="00FD71BF" w:rsidRPr="009F3CEA">
        <w:t>offener</w:t>
      </w:r>
      <w:r w:rsidRPr="009F3CEA">
        <w:t xml:space="preserve"> Lizenz zu realisieren. </w:t>
      </w:r>
      <w:r w:rsidRPr="009F3CEA">
        <w:rPr>
          <w:b/>
        </w:rPr>
        <w:t>Alle Autor*innen haben ihre Beiträge unter enormem Zeiteinsatz ehrenamtlich erstellt</w:t>
      </w:r>
      <w:r w:rsidR="00F46E62" w:rsidRPr="009F3CEA">
        <w:rPr>
          <w:b/>
        </w:rPr>
        <w:t xml:space="preserve">; ihnen gebührt mein größter Dank, weil sie voller Überzeugung für die gute Sache keine Mühen gescheut haben, um unser </w:t>
      </w:r>
      <w:r w:rsidR="00F46E62" w:rsidRPr="00AE4DFE">
        <w:rPr>
          <w:b/>
        </w:rPr>
        <w:t>Projekt zu einem Erfolg werden zu lassen</w:t>
      </w:r>
      <w:r w:rsidRPr="00AE4DFE">
        <w:rPr>
          <w:b/>
        </w:rPr>
        <w:t>.</w:t>
      </w:r>
      <w:r w:rsidRPr="00AE4DFE">
        <w:t xml:space="preserve"> </w:t>
      </w:r>
      <w:r w:rsidR="000D2451">
        <w:t xml:space="preserve">Von Herzen </w:t>
      </w:r>
      <w:r w:rsidR="003C01D5">
        <w:t>möchte</w:t>
      </w:r>
      <w:r w:rsidR="000D2451">
        <w:t xml:space="preserve"> ich </w:t>
      </w:r>
      <w:r w:rsidR="003C01D5">
        <w:t xml:space="preserve">mich bei </w:t>
      </w:r>
      <w:r w:rsidR="000D2451">
        <w:t>meiner Lebensgefährtin Anne Klitscher für ihre Unterstzützung von Projektbeginn an</w:t>
      </w:r>
      <w:r w:rsidR="003C01D5">
        <w:t xml:space="preserve"> bedanken</w:t>
      </w:r>
      <w:r w:rsidR="000D2451">
        <w:t xml:space="preserve">. </w:t>
      </w:r>
      <w:r w:rsidR="00B13112">
        <w:t xml:space="preserve">Schließlich wäre eine Verlagsveröffentlichung des Fallrepetitoriums ohne das großzügige Entgegenkommen des Carl Grossmann Verlags nicht möglich gewesen; dafür und für die gute Zusammenarbeit ein ganz herzliches Dankeschön. </w:t>
      </w:r>
      <w:r w:rsidR="00AA35BD" w:rsidRPr="00AE4DFE">
        <w:t xml:space="preserve">Wer das </w:t>
      </w:r>
      <w:r w:rsidR="009F3CEA" w:rsidRPr="00AE4DFE">
        <w:t xml:space="preserve">Fallrepetitorium </w:t>
      </w:r>
      <w:r w:rsidR="00AA35BD" w:rsidRPr="00AE4DFE">
        <w:t>finanz</w:t>
      </w:r>
      <w:r w:rsidR="00AE4DFE" w:rsidRPr="00AE4DFE">
        <w:t xml:space="preserve">iell unterstützen möchte: Rund </w:t>
      </w:r>
      <w:r w:rsidR="000D2451" w:rsidRPr="000D2451">
        <w:t>3</w:t>
      </w:r>
      <w:r w:rsidR="00AA35BD" w:rsidRPr="000D2451">
        <w:t xml:space="preserve"> Euro</w:t>
      </w:r>
      <w:r w:rsidR="00AA35BD" w:rsidRPr="00AE4DFE">
        <w:t xml:space="preserve"> von jeder verkauften Printausgabe</w:t>
      </w:r>
      <w:r w:rsidR="00AE4DFE" w:rsidRPr="00AE4DFE">
        <w:t xml:space="preserve"> </w:t>
      </w:r>
      <w:r w:rsidR="00AA35BD" w:rsidRPr="00AE4DFE">
        <w:t>fließen in die 2. Auflage!</w:t>
      </w:r>
    </w:p>
    <w:p w14:paraId="5879C3FE" w14:textId="32AC68FD" w:rsidR="00AF59F8" w:rsidRDefault="000D2451" w:rsidP="00AF59F8">
      <w:r>
        <w:t>Ich</w:t>
      </w:r>
      <w:r w:rsidR="00F46E62">
        <w:t xml:space="preserve"> möchte</w:t>
      </w:r>
      <w:r>
        <w:t xml:space="preserve"> </w:t>
      </w:r>
      <w:r w:rsidR="00F46E62">
        <w:t xml:space="preserve">alle </w:t>
      </w:r>
      <w:r w:rsidR="00AF59F8">
        <w:t xml:space="preserve">Leser*innen </w:t>
      </w:r>
      <w:r w:rsidR="00F46E62" w:rsidRPr="00681F01">
        <w:t xml:space="preserve">dazu einladen, das </w:t>
      </w:r>
      <w:r w:rsidR="003E7127">
        <w:t xml:space="preserve">Fallrepetitorium </w:t>
      </w:r>
      <w:r w:rsidR="00F46E62" w:rsidRPr="00681F01">
        <w:t>zu einer optimalen Lernressource zu machen. B</w:t>
      </w:r>
      <w:r w:rsidR="00AF59F8" w:rsidRPr="00681F01">
        <w:t xml:space="preserve">ei Verständnisfragen oder Anmerkungen </w:t>
      </w:r>
      <w:r w:rsidR="00681F01" w:rsidRPr="00681F01">
        <w:t>könnt ihr euch</w:t>
      </w:r>
      <w:r w:rsidR="00AF59F8" w:rsidRPr="00681F01">
        <w:t xml:space="preserve"> einfach mit einer </w:t>
      </w:r>
      <w:r w:rsidR="00AF59F8" w:rsidRPr="00C764A3">
        <w:rPr>
          <w:b/>
        </w:rPr>
        <w:t>E-Mail</w:t>
      </w:r>
      <w:r w:rsidR="00AF59F8" w:rsidRPr="00681F01">
        <w:t xml:space="preserve"> an </w:t>
      </w:r>
      <w:r w:rsidR="00FD71BF">
        <w:t>mich wenden (</w:t>
      </w:r>
      <w:hyperlink r:id="rId19" w:history="1">
        <w:r w:rsidR="00FD71BF" w:rsidRPr="000D2451">
          <w:rPr>
            <w:rStyle w:val="Hyperlink"/>
          </w:rPr>
          <w:t>mail@nikolaseisentraut.de</w:t>
        </w:r>
      </w:hyperlink>
      <w:r w:rsidR="00FD71BF">
        <w:t>).</w:t>
      </w:r>
      <w:r w:rsidR="00681F01">
        <w:t xml:space="preserve"> Zudem </w:t>
      </w:r>
      <w:r w:rsidR="003E7127">
        <w:t>seid</w:t>
      </w:r>
      <w:r w:rsidR="00681F01">
        <w:t xml:space="preserve"> ihr </w:t>
      </w:r>
      <w:r w:rsidR="003E7127">
        <w:t xml:space="preserve">herzlich </w:t>
      </w:r>
      <w:r>
        <w:t xml:space="preserve">dazu </w:t>
      </w:r>
      <w:r w:rsidR="003E7127">
        <w:t xml:space="preserve">eingeladen, an dem </w:t>
      </w:r>
      <w:r w:rsidR="00885AD2">
        <w:t xml:space="preserve">ebenfalls </w:t>
      </w:r>
      <w:r w:rsidR="003E7127">
        <w:t xml:space="preserve">auf </w:t>
      </w:r>
      <w:r w:rsidR="00315472">
        <w:t>w</w:t>
      </w:r>
      <w:r w:rsidR="003E7127">
        <w:t>ikibooks</w:t>
      </w:r>
      <w:r w:rsidR="00315472">
        <w:t>.org</w:t>
      </w:r>
      <w:r w:rsidR="003E7127">
        <w:t xml:space="preserve"> erschienenen Fallrepetitorium (</w:t>
      </w:r>
      <w:hyperlink r:id="rId20" w:history="1">
        <w:r w:rsidR="00681F01" w:rsidRPr="00395C6F">
          <w:rPr>
            <w:rStyle w:val="Hyperlink"/>
          </w:rPr>
          <w:t>https://de.wikibooks.org/wiki/Verwaltungsrecht_in_der_Klausur</w:t>
        </w:r>
      </w:hyperlink>
      <w:r w:rsidR="003E7127">
        <w:t>) mitzuarbeiten!</w:t>
      </w:r>
    </w:p>
    <w:p w14:paraId="5260D052" w14:textId="7A0E91B3" w:rsidR="00AF59F8" w:rsidRDefault="00AF59F8" w:rsidP="00AF59F8">
      <w:r w:rsidRPr="00AF59F8">
        <w:t xml:space="preserve">Last but not least: Das </w:t>
      </w:r>
      <w:r w:rsidR="003E7127">
        <w:t xml:space="preserve">Fallrepetitorium </w:t>
      </w:r>
      <w:r w:rsidRPr="00AF59F8">
        <w:t xml:space="preserve">legt </w:t>
      </w:r>
      <w:r w:rsidR="001F2436">
        <w:t>selbstverständlich</w:t>
      </w:r>
      <w:r w:rsidRPr="00AF59F8">
        <w:t xml:space="preserve"> Wert auf eine </w:t>
      </w:r>
      <w:r w:rsidRPr="00C764A3">
        <w:rPr>
          <w:b/>
        </w:rPr>
        <w:t>geschlechtergerechte Sprache</w:t>
      </w:r>
      <w:r w:rsidRPr="00AF59F8">
        <w:t xml:space="preserve">. Die </w:t>
      </w:r>
      <w:r w:rsidR="00FD71BF">
        <w:t>Autor*innen</w:t>
      </w:r>
      <w:r w:rsidRPr="00AF59F8">
        <w:t xml:space="preserve"> gehen mit der damit einhergehenden sprachlichen Herausforderung ganz unterschiedlich um: Während sich teils gegenderte Sprache findet, wird andernorts ausschließlich die weibliche </w:t>
      </w:r>
      <w:r w:rsidR="001F2436">
        <w:t xml:space="preserve">Form oder die männliche </w:t>
      </w:r>
      <w:r w:rsidRPr="00AF59F8">
        <w:t xml:space="preserve">verwendet. Jeder Beitrag versteht sich selbstverständlich stets auch unter Einbeziehung </w:t>
      </w:r>
      <w:r w:rsidR="00F46E62">
        <w:t xml:space="preserve">aller anderen </w:t>
      </w:r>
      <w:r w:rsidRPr="00AF59F8">
        <w:t>Geschlechter.</w:t>
      </w:r>
    </w:p>
    <w:p w14:paraId="51E86FEB" w14:textId="571D38F7" w:rsidR="003C1F7A" w:rsidRDefault="003C1F7A" w:rsidP="006678C1">
      <w:r>
        <w:t xml:space="preserve">Die </w:t>
      </w:r>
      <w:r w:rsidR="003E7127">
        <w:t>Fälle</w:t>
      </w:r>
      <w:r>
        <w:t xml:space="preserve"> befinden sich auf dem </w:t>
      </w:r>
      <w:r w:rsidRPr="00BB03BF">
        <w:t xml:space="preserve">Stand </w:t>
      </w:r>
      <w:r w:rsidR="000D2451">
        <w:t>September</w:t>
      </w:r>
      <w:r w:rsidRPr="00BB03BF">
        <w:t xml:space="preserve"> 2019.</w:t>
      </w:r>
    </w:p>
    <w:p w14:paraId="28E15094" w14:textId="77777777" w:rsidR="000D2451" w:rsidRDefault="00C31901" w:rsidP="00681F01">
      <w:r>
        <w:lastRenderedPageBreak/>
        <w:t xml:space="preserve">Auch im Namen der Autor*innen </w:t>
      </w:r>
      <w:r w:rsidR="00D802BE">
        <w:t xml:space="preserve">wünsche </w:t>
      </w:r>
      <w:r>
        <w:t xml:space="preserve">ich </w:t>
      </w:r>
      <w:r w:rsidR="00D802BE">
        <w:t>reic</w:t>
      </w:r>
      <w:r w:rsidR="00C11D60">
        <w:t>he Erkenntnisse bei der Lektüre!</w:t>
      </w:r>
      <w:r>
        <w:t xml:space="preserve"> Wir </w:t>
      </w:r>
      <w:r w:rsidR="00D802BE">
        <w:t>hoffe</w:t>
      </w:r>
      <w:r>
        <w:t>n</w:t>
      </w:r>
      <w:r w:rsidR="00D802BE">
        <w:t>, da</w:t>
      </w:r>
      <w:r>
        <w:t>s</w:t>
      </w:r>
      <w:r w:rsidR="00D802BE">
        <w:t xml:space="preserve">s </w:t>
      </w:r>
      <w:r>
        <w:t xml:space="preserve">das </w:t>
      </w:r>
      <w:r w:rsidR="003E7127">
        <w:t xml:space="preserve">Fallrepetitorium </w:t>
      </w:r>
      <w:r w:rsidR="0039546A">
        <w:t>auch</w:t>
      </w:r>
      <w:r w:rsidR="00D802BE">
        <w:t xml:space="preserve"> darüber hinaus </w:t>
      </w:r>
      <w:r w:rsidR="0039546A">
        <w:t>breite Verwendung</w:t>
      </w:r>
      <w:r>
        <w:t xml:space="preserve"> findet und freuen uns über jede Nachnutzung</w:t>
      </w:r>
      <w:r w:rsidR="003E7127">
        <w:t>!</w:t>
      </w:r>
    </w:p>
    <w:p w14:paraId="5AA70190" w14:textId="2CB68308" w:rsidR="000936A6" w:rsidRPr="00AE4DFE" w:rsidRDefault="000D2451" w:rsidP="000D2451">
      <w:pPr>
        <w:jc w:val="left"/>
      </w:pPr>
      <w:r>
        <w:t>Berlin, September 2019</w:t>
      </w:r>
      <w:r>
        <w:tab/>
      </w:r>
      <w:r>
        <w:tab/>
      </w:r>
      <w:r>
        <w:tab/>
      </w:r>
      <w:r>
        <w:tab/>
      </w:r>
      <w:r>
        <w:tab/>
      </w:r>
      <w:r w:rsidRPr="000D2451">
        <w:rPr>
          <w:i/>
          <w:iCs/>
        </w:rPr>
        <w:tab/>
        <w:t>Nikolas Eisentraut</w:t>
      </w:r>
      <w:r w:rsidR="000936A6">
        <w:br w:type="page"/>
      </w:r>
    </w:p>
    <w:p w14:paraId="6B041818" w14:textId="77777777" w:rsidR="003E4818" w:rsidRDefault="003E4818" w:rsidP="003E4818">
      <w:pPr>
        <w:pStyle w:val="berschrift1"/>
      </w:pPr>
      <w:bookmarkStart w:id="3" w:name="_Toc10463370"/>
      <w:bookmarkStart w:id="4" w:name="_Toc22132755"/>
      <w:bookmarkStart w:id="5" w:name="_Toc10463367"/>
      <w:r>
        <w:lastRenderedPageBreak/>
        <w:t>Inhaltsübersicht</w:t>
      </w:r>
      <w:bookmarkEnd w:id="3"/>
      <w:bookmarkEnd w:id="4"/>
    </w:p>
    <w:p w14:paraId="2E9D5626" w14:textId="53161AF9" w:rsidR="007537A8" w:rsidRDefault="003E4818">
      <w:pPr>
        <w:pStyle w:val="Verzeichnis1"/>
        <w:tabs>
          <w:tab w:val="right" w:leader="dot" w:pos="7361"/>
        </w:tabs>
        <w:rPr>
          <w:rFonts w:eastAsiaTheme="minorEastAsia"/>
          <w:b w:val="0"/>
          <w:noProof/>
          <w:sz w:val="22"/>
          <w:szCs w:val="22"/>
          <w:lang w:eastAsia="de-DE"/>
        </w:rPr>
      </w:pPr>
      <w:r>
        <w:rPr>
          <w:b w:val="0"/>
        </w:rPr>
        <w:fldChar w:fldCharType="begin"/>
      </w:r>
      <w:r>
        <w:rPr>
          <w:b w:val="0"/>
        </w:rPr>
        <w:instrText xml:space="preserve"> TOC \o "1-2" \h \z \u </w:instrText>
      </w:r>
      <w:r>
        <w:rPr>
          <w:b w:val="0"/>
        </w:rPr>
        <w:fldChar w:fldCharType="separate"/>
      </w:r>
      <w:hyperlink w:anchor="_Toc22132754" w:history="1">
        <w:r w:rsidR="007537A8" w:rsidRPr="008D35AA">
          <w:rPr>
            <w:rStyle w:val="Hyperlink"/>
            <w:noProof/>
          </w:rPr>
          <w:t>Vorwort</w:t>
        </w:r>
        <w:r w:rsidR="007537A8">
          <w:rPr>
            <w:noProof/>
            <w:webHidden/>
          </w:rPr>
          <w:tab/>
        </w:r>
        <w:r w:rsidR="007537A8">
          <w:rPr>
            <w:noProof/>
            <w:webHidden/>
          </w:rPr>
          <w:fldChar w:fldCharType="begin"/>
        </w:r>
        <w:r w:rsidR="007537A8">
          <w:rPr>
            <w:noProof/>
            <w:webHidden/>
          </w:rPr>
          <w:instrText xml:space="preserve"> PAGEREF _Toc22132754 \h </w:instrText>
        </w:r>
        <w:r w:rsidR="007537A8">
          <w:rPr>
            <w:noProof/>
            <w:webHidden/>
          </w:rPr>
        </w:r>
        <w:r w:rsidR="007537A8">
          <w:rPr>
            <w:noProof/>
            <w:webHidden/>
          </w:rPr>
          <w:fldChar w:fldCharType="separate"/>
        </w:r>
        <w:r w:rsidR="007537A8">
          <w:rPr>
            <w:noProof/>
            <w:webHidden/>
          </w:rPr>
          <w:t>V</w:t>
        </w:r>
        <w:r w:rsidR="007537A8">
          <w:rPr>
            <w:noProof/>
            <w:webHidden/>
          </w:rPr>
          <w:fldChar w:fldCharType="end"/>
        </w:r>
      </w:hyperlink>
    </w:p>
    <w:p w14:paraId="64FECD9D" w14:textId="12659871" w:rsidR="007537A8" w:rsidRDefault="00091FED">
      <w:pPr>
        <w:pStyle w:val="Verzeichnis1"/>
        <w:tabs>
          <w:tab w:val="right" w:leader="dot" w:pos="7361"/>
        </w:tabs>
        <w:rPr>
          <w:rFonts w:eastAsiaTheme="minorEastAsia"/>
          <w:b w:val="0"/>
          <w:noProof/>
          <w:sz w:val="22"/>
          <w:szCs w:val="22"/>
          <w:lang w:eastAsia="de-DE"/>
        </w:rPr>
      </w:pPr>
      <w:hyperlink w:anchor="_Toc22132755" w:history="1">
        <w:r w:rsidR="007537A8" w:rsidRPr="008D35AA">
          <w:rPr>
            <w:rStyle w:val="Hyperlink"/>
            <w:noProof/>
          </w:rPr>
          <w:t>Inhaltsübersicht</w:t>
        </w:r>
        <w:r w:rsidR="007537A8">
          <w:rPr>
            <w:noProof/>
            <w:webHidden/>
          </w:rPr>
          <w:tab/>
        </w:r>
        <w:r w:rsidR="007537A8">
          <w:rPr>
            <w:noProof/>
            <w:webHidden/>
          </w:rPr>
          <w:fldChar w:fldCharType="begin"/>
        </w:r>
        <w:r w:rsidR="007537A8">
          <w:rPr>
            <w:noProof/>
            <w:webHidden/>
          </w:rPr>
          <w:instrText xml:space="preserve"> PAGEREF _Toc22132755 \h </w:instrText>
        </w:r>
        <w:r w:rsidR="007537A8">
          <w:rPr>
            <w:noProof/>
            <w:webHidden/>
          </w:rPr>
        </w:r>
        <w:r w:rsidR="007537A8">
          <w:rPr>
            <w:noProof/>
            <w:webHidden/>
          </w:rPr>
          <w:fldChar w:fldCharType="separate"/>
        </w:r>
        <w:r w:rsidR="007537A8">
          <w:rPr>
            <w:noProof/>
            <w:webHidden/>
          </w:rPr>
          <w:t>VII</w:t>
        </w:r>
        <w:r w:rsidR="007537A8">
          <w:rPr>
            <w:noProof/>
            <w:webHidden/>
          </w:rPr>
          <w:fldChar w:fldCharType="end"/>
        </w:r>
      </w:hyperlink>
    </w:p>
    <w:p w14:paraId="1E22E9C3" w14:textId="1D3ED2D3" w:rsidR="007537A8" w:rsidRDefault="00091FED">
      <w:pPr>
        <w:pStyle w:val="Verzeichnis1"/>
        <w:tabs>
          <w:tab w:val="right" w:leader="dot" w:pos="7361"/>
        </w:tabs>
        <w:rPr>
          <w:rFonts w:eastAsiaTheme="minorEastAsia"/>
          <w:b w:val="0"/>
          <w:noProof/>
          <w:sz w:val="22"/>
          <w:szCs w:val="22"/>
          <w:lang w:eastAsia="de-DE"/>
        </w:rPr>
      </w:pPr>
      <w:hyperlink w:anchor="_Toc22132756" w:history="1">
        <w:r w:rsidR="007537A8" w:rsidRPr="008D35AA">
          <w:rPr>
            <w:rStyle w:val="Hyperlink"/>
            <w:noProof/>
          </w:rPr>
          <w:t>Die offene Lizenz: Was darf ich mit dem Fallrepetitorium machen?</w:t>
        </w:r>
        <w:r w:rsidR="007537A8">
          <w:rPr>
            <w:noProof/>
            <w:webHidden/>
          </w:rPr>
          <w:tab/>
        </w:r>
        <w:r w:rsidR="007537A8">
          <w:rPr>
            <w:noProof/>
            <w:webHidden/>
          </w:rPr>
          <w:fldChar w:fldCharType="begin"/>
        </w:r>
        <w:r w:rsidR="007537A8">
          <w:rPr>
            <w:noProof/>
            <w:webHidden/>
          </w:rPr>
          <w:instrText xml:space="preserve"> PAGEREF _Toc22132756 \h </w:instrText>
        </w:r>
        <w:r w:rsidR="007537A8">
          <w:rPr>
            <w:noProof/>
            <w:webHidden/>
          </w:rPr>
        </w:r>
        <w:r w:rsidR="007537A8">
          <w:rPr>
            <w:noProof/>
            <w:webHidden/>
          </w:rPr>
          <w:fldChar w:fldCharType="separate"/>
        </w:r>
        <w:r w:rsidR="007537A8">
          <w:rPr>
            <w:noProof/>
            <w:webHidden/>
          </w:rPr>
          <w:t>IX</w:t>
        </w:r>
        <w:r w:rsidR="007537A8">
          <w:rPr>
            <w:noProof/>
            <w:webHidden/>
          </w:rPr>
          <w:fldChar w:fldCharType="end"/>
        </w:r>
      </w:hyperlink>
    </w:p>
    <w:p w14:paraId="3C6E9CA1" w14:textId="28B4E045" w:rsidR="007537A8" w:rsidRDefault="00091FED">
      <w:pPr>
        <w:pStyle w:val="Verzeichnis1"/>
        <w:tabs>
          <w:tab w:val="right" w:leader="dot" w:pos="7361"/>
        </w:tabs>
        <w:rPr>
          <w:rFonts w:eastAsiaTheme="minorEastAsia"/>
          <w:b w:val="0"/>
          <w:noProof/>
          <w:sz w:val="22"/>
          <w:szCs w:val="22"/>
          <w:lang w:eastAsia="de-DE"/>
        </w:rPr>
      </w:pPr>
      <w:hyperlink w:anchor="_Toc22132757" w:history="1">
        <w:r w:rsidR="007537A8" w:rsidRPr="008D35AA">
          <w:rPr>
            <w:rStyle w:val="Hyperlink"/>
            <w:noProof/>
          </w:rPr>
          <w:t>Das Fellow-Programm Freies Wissen</w:t>
        </w:r>
        <w:r w:rsidR="007537A8">
          <w:rPr>
            <w:noProof/>
            <w:webHidden/>
          </w:rPr>
          <w:tab/>
        </w:r>
        <w:r w:rsidR="007537A8">
          <w:rPr>
            <w:noProof/>
            <w:webHidden/>
          </w:rPr>
          <w:fldChar w:fldCharType="begin"/>
        </w:r>
        <w:r w:rsidR="007537A8">
          <w:rPr>
            <w:noProof/>
            <w:webHidden/>
          </w:rPr>
          <w:instrText xml:space="preserve"> PAGEREF _Toc22132757 \h </w:instrText>
        </w:r>
        <w:r w:rsidR="007537A8">
          <w:rPr>
            <w:noProof/>
            <w:webHidden/>
          </w:rPr>
        </w:r>
        <w:r w:rsidR="007537A8">
          <w:rPr>
            <w:noProof/>
            <w:webHidden/>
          </w:rPr>
          <w:fldChar w:fldCharType="separate"/>
        </w:r>
        <w:r w:rsidR="007537A8">
          <w:rPr>
            <w:noProof/>
            <w:webHidden/>
          </w:rPr>
          <w:t>XI</w:t>
        </w:r>
        <w:r w:rsidR="007537A8">
          <w:rPr>
            <w:noProof/>
            <w:webHidden/>
          </w:rPr>
          <w:fldChar w:fldCharType="end"/>
        </w:r>
      </w:hyperlink>
    </w:p>
    <w:p w14:paraId="7A7BAE91" w14:textId="2D11541F" w:rsidR="007537A8" w:rsidRDefault="00091FED">
      <w:pPr>
        <w:pStyle w:val="Verzeichnis1"/>
        <w:tabs>
          <w:tab w:val="right" w:leader="dot" w:pos="7361"/>
        </w:tabs>
        <w:rPr>
          <w:rFonts w:eastAsiaTheme="minorEastAsia"/>
          <w:b w:val="0"/>
          <w:noProof/>
          <w:sz w:val="22"/>
          <w:szCs w:val="22"/>
          <w:lang w:eastAsia="de-DE"/>
        </w:rPr>
      </w:pPr>
      <w:hyperlink w:anchor="_Toc22132758" w:history="1">
        <w:r w:rsidR="007537A8" w:rsidRPr="008D35AA">
          <w:rPr>
            <w:rStyle w:val="Hyperlink"/>
            <w:noProof/>
          </w:rPr>
          <w:t>Zur Arbeit mit diesem Fallrepetitorium</w:t>
        </w:r>
        <w:r w:rsidR="007537A8">
          <w:rPr>
            <w:noProof/>
            <w:webHidden/>
          </w:rPr>
          <w:tab/>
        </w:r>
        <w:r w:rsidR="007537A8">
          <w:rPr>
            <w:noProof/>
            <w:webHidden/>
          </w:rPr>
          <w:fldChar w:fldCharType="begin"/>
        </w:r>
        <w:r w:rsidR="007537A8">
          <w:rPr>
            <w:noProof/>
            <w:webHidden/>
          </w:rPr>
          <w:instrText xml:space="preserve"> PAGEREF _Toc22132758 \h </w:instrText>
        </w:r>
        <w:r w:rsidR="007537A8">
          <w:rPr>
            <w:noProof/>
            <w:webHidden/>
          </w:rPr>
        </w:r>
        <w:r w:rsidR="007537A8">
          <w:rPr>
            <w:noProof/>
            <w:webHidden/>
          </w:rPr>
          <w:fldChar w:fldCharType="separate"/>
        </w:r>
        <w:r w:rsidR="007537A8">
          <w:rPr>
            <w:noProof/>
            <w:webHidden/>
          </w:rPr>
          <w:t>XII</w:t>
        </w:r>
        <w:r w:rsidR="007537A8">
          <w:rPr>
            <w:noProof/>
            <w:webHidden/>
          </w:rPr>
          <w:fldChar w:fldCharType="end"/>
        </w:r>
      </w:hyperlink>
    </w:p>
    <w:p w14:paraId="75E4E7F5" w14:textId="04C247B5" w:rsidR="007537A8" w:rsidRDefault="00091FED">
      <w:pPr>
        <w:pStyle w:val="Verzeichnis1"/>
        <w:tabs>
          <w:tab w:val="right" w:leader="dot" w:pos="7361"/>
        </w:tabs>
        <w:rPr>
          <w:rFonts w:eastAsiaTheme="minorEastAsia"/>
          <w:b w:val="0"/>
          <w:noProof/>
          <w:sz w:val="22"/>
          <w:szCs w:val="22"/>
          <w:lang w:eastAsia="de-DE"/>
        </w:rPr>
      </w:pPr>
      <w:hyperlink w:anchor="_Toc22132759" w:history="1">
        <w:r w:rsidR="007537A8" w:rsidRPr="008D35AA">
          <w:rPr>
            <w:rStyle w:val="Hyperlink"/>
            <w:noProof/>
          </w:rPr>
          <w:t>Bearbeiter*innenverzeichnis</w:t>
        </w:r>
        <w:r w:rsidR="007537A8">
          <w:rPr>
            <w:noProof/>
            <w:webHidden/>
          </w:rPr>
          <w:tab/>
        </w:r>
        <w:r w:rsidR="007537A8">
          <w:rPr>
            <w:noProof/>
            <w:webHidden/>
          </w:rPr>
          <w:fldChar w:fldCharType="begin"/>
        </w:r>
        <w:r w:rsidR="007537A8">
          <w:rPr>
            <w:noProof/>
            <w:webHidden/>
          </w:rPr>
          <w:instrText xml:space="preserve"> PAGEREF _Toc22132759 \h </w:instrText>
        </w:r>
        <w:r w:rsidR="007537A8">
          <w:rPr>
            <w:noProof/>
            <w:webHidden/>
          </w:rPr>
        </w:r>
        <w:r w:rsidR="007537A8">
          <w:rPr>
            <w:noProof/>
            <w:webHidden/>
          </w:rPr>
          <w:fldChar w:fldCharType="separate"/>
        </w:r>
        <w:r w:rsidR="007537A8">
          <w:rPr>
            <w:noProof/>
            <w:webHidden/>
          </w:rPr>
          <w:t>XIII</w:t>
        </w:r>
        <w:r w:rsidR="007537A8">
          <w:rPr>
            <w:noProof/>
            <w:webHidden/>
          </w:rPr>
          <w:fldChar w:fldCharType="end"/>
        </w:r>
      </w:hyperlink>
    </w:p>
    <w:p w14:paraId="69A3A8CC" w14:textId="3C12B305" w:rsidR="007537A8" w:rsidRDefault="00091FED">
      <w:pPr>
        <w:pStyle w:val="Verzeichnis1"/>
        <w:tabs>
          <w:tab w:val="right" w:leader="dot" w:pos="7361"/>
        </w:tabs>
        <w:rPr>
          <w:rFonts w:eastAsiaTheme="minorEastAsia"/>
          <w:b w:val="0"/>
          <w:noProof/>
          <w:sz w:val="22"/>
          <w:szCs w:val="22"/>
          <w:lang w:eastAsia="de-DE"/>
        </w:rPr>
      </w:pPr>
      <w:hyperlink w:anchor="_Toc22132760" w:history="1">
        <w:r w:rsidR="007537A8" w:rsidRPr="008D35AA">
          <w:rPr>
            <w:rStyle w:val="Hyperlink"/>
            <w:noProof/>
          </w:rPr>
          <w:t>Abkürzungsverzeichnis</w:t>
        </w:r>
        <w:r w:rsidR="007537A8">
          <w:rPr>
            <w:noProof/>
            <w:webHidden/>
          </w:rPr>
          <w:tab/>
        </w:r>
        <w:r w:rsidR="007537A8">
          <w:rPr>
            <w:noProof/>
            <w:webHidden/>
          </w:rPr>
          <w:fldChar w:fldCharType="begin"/>
        </w:r>
        <w:r w:rsidR="007537A8">
          <w:rPr>
            <w:noProof/>
            <w:webHidden/>
          </w:rPr>
          <w:instrText xml:space="preserve"> PAGEREF _Toc22132760 \h </w:instrText>
        </w:r>
        <w:r w:rsidR="007537A8">
          <w:rPr>
            <w:noProof/>
            <w:webHidden/>
          </w:rPr>
        </w:r>
        <w:r w:rsidR="007537A8">
          <w:rPr>
            <w:noProof/>
            <w:webHidden/>
          </w:rPr>
          <w:fldChar w:fldCharType="separate"/>
        </w:r>
        <w:r w:rsidR="007537A8">
          <w:rPr>
            <w:noProof/>
            <w:webHidden/>
          </w:rPr>
          <w:t>XV</w:t>
        </w:r>
        <w:r w:rsidR="007537A8">
          <w:rPr>
            <w:noProof/>
            <w:webHidden/>
          </w:rPr>
          <w:fldChar w:fldCharType="end"/>
        </w:r>
      </w:hyperlink>
    </w:p>
    <w:p w14:paraId="468F919F" w14:textId="58FF4434" w:rsidR="007537A8" w:rsidRDefault="00091FED">
      <w:pPr>
        <w:pStyle w:val="Verzeichnis1"/>
        <w:tabs>
          <w:tab w:val="right" w:leader="dot" w:pos="7361"/>
        </w:tabs>
        <w:rPr>
          <w:rFonts w:eastAsiaTheme="minorEastAsia"/>
          <w:b w:val="0"/>
          <w:noProof/>
          <w:sz w:val="22"/>
          <w:szCs w:val="22"/>
          <w:lang w:eastAsia="de-DE"/>
        </w:rPr>
      </w:pPr>
      <w:hyperlink w:anchor="_Toc22132761" w:history="1">
        <w:r w:rsidR="007537A8" w:rsidRPr="008D35AA">
          <w:rPr>
            <w:rStyle w:val="Hyperlink"/>
            <w:noProof/>
          </w:rPr>
          <w:t>§ 1 Die Eröffnung der gutachterlichen Prüfung</w:t>
        </w:r>
        <w:r w:rsidR="007537A8">
          <w:rPr>
            <w:noProof/>
            <w:webHidden/>
          </w:rPr>
          <w:tab/>
        </w:r>
        <w:r w:rsidR="007537A8">
          <w:rPr>
            <w:noProof/>
            <w:webHidden/>
          </w:rPr>
          <w:fldChar w:fldCharType="begin"/>
        </w:r>
        <w:r w:rsidR="007537A8">
          <w:rPr>
            <w:noProof/>
            <w:webHidden/>
          </w:rPr>
          <w:instrText xml:space="preserve"> PAGEREF _Toc22132761 \h </w:instrText>
        </w:r>
        <w:r w:rsidR="007537A8">
          <w:rPr>
            <w:noProof/>
            <w:webHidden/>
          </w:rPr>
        </w:r>
        <w:r w:rsidR="007537A8">
          <w:rPr>
            <w:noProof/>
            <w:webHidden/>
          </w:rPr>
          <w:fldChar w:fldCharType="separate"/>
        </w:r>
        <w:r w:rsidR="007537A8">
          <w:rPr>
            <w:noProof/>
            <w:webHidden/>
          </w:rPr>
          <w:t>1</w:t>
        </w:r>
        <w:r w:rsidR="007537A8">
          <w:rPr>
            <w:noProof/>
            <w:webHidden/>
          </w:rPr>
          <w:fldChar w:fldCharType="end"/>
        </w:r>
      </w:hyperlink>
    </w:p>
    <w:p w14:paraId="0CD24FBD" w14:textId="6FE6E12E" w:rsidR="007537A8" w:rsidRDefault="00091FED">
      <w:pPr>
        <w:pStyle w:val="Verzeichnis2"/>
        <w:tabs>
          <w:tab w:val="right" w:leader="dot" w:pos="7361"/>
        </w:tabs>
        <w:rPr>
          <w:rFonts w:eastAsiaTheme="minorEastAsia"/>
          <w:noProof/>
          <w:sz w:val="22"/>
          <w:szCs w:val="22"/>
          <w:lang w:eastAsia="de-DE"/>
        </w:rPr>
      </w:pPr>
      <w:hyperlink w:anchor="_Toc22132762" w:history="1">
        <w:r w:rsidR="007537A8" w:rsidRPr="008D35AA">
          <w:rPr>
            <w:rStyle w:val="Hyperlink"/>
            <w:noProof/>
          </w:rPr>
          <w:t>A. Die Struktur verwaltungsrechtlicher Klausuren (Nikolas Eisentraut)</w:t>
        </w:r>
        <w:r w:rsidR="007537A8">
          <w:rPr>
            <w:noProof/>
            <w:webHidden/>
          </w:rPr>
          <w:tab/>
        </w:r>
        <w:r w:rsidR="007537A8">
          <w:rPr>
            <w:noProof/>
            <w:webHidden/>
          </w:rPr>
          <w:fldChar w:fldCharType="begin"/>
        </w:r>
        <w:r w:rsidR="007537A8">
          <w:rPr>
            <w:noProof/>
            <w:webHidden/>
          </w:rPr>
          <w:instrText xml:space="preserve"> PAGEREF _Toc22132762 \h </w:instrText>
        </w:r>
        <w:r w:rsidR="007537A8">
          <w:rPr>
            <w:noProof/>
            <w:webHidden/>
          </w:rPr>
        </w:r>
        <w:r w:rsidR="007537A8">
          <w:rPr>
            <w:noProof/>
            <w:webHidden/>
          </w:rPr>
          <w:fldChar w:fldCharType="separate"/>
        </w:r>
        <w:r w:rsidR="007537A8">
          <w:rPr>
            <w:noProof/>
            <w:webHidden/>
          </w:rPr>
          <w:t>1</w:t>
        </w:r>
        <w:r w:rsidR="007537A8">
          <w:rPr>
            <w:noProof/>
            <w:webHidden/>
          </w:rPr>
          <w:fldChar w:fldCharType="end"/>
        </w:r>
      </w:hyperlink>
    </w:p>
    <w:p w14:paraId="7B49CA5E" w14:textId="3500E111" w:rsidR="007537A8" w:rsidRDefault="00091FED">
      <w:pPr>
        <w:pStyle w:val="Verzeichnis2"/>
        <w:tabs>
          <w:tab w:val="right" w:leader="dot" w:pos="7361"/>
        </w:tabs>
        <w:rPr>
          <w:rFonts w:eastAsiaTheme="minorEastAsia"/>
          <w:noProof/>
          <w:sz w:val="22"/>
          <w:szCs w:val="22"/>
          <w:lang w:eastAsia="de-DE"/>
        </w:rPr>
      </w:pPr>
      <w:hyperlink w:anchor="_Toc22132763" w:history="1">
        <w:r w:rsidR="007537A8" w:rsidRPr="008D35AA">
          <w:rPr>
            <w:rStyle w:val="Hyperlink"/>
            <w:noProof/>
          </w:rPr>
          <w:t>B. Die Eröffnung des Verwaltungsrechtswegs (Nikolas Eisentraut)</w:t>
        </w:r>
        <w:r w:rsidR="007537A8">
          <w:rPr>
            <w:noProof/>
            <w:webHidden/>
          </w:rPr>
          <w:tab/>
        </w:r>
        <w:r w:rsidR="007537A8">
          <w:rPr>
            <w:noProof/>
            <w:webHidden/>
          </w:rPr>
          <w:fldChar w:fldCharType="begin"/>
        </w:r>
        <w:r w:rsidR="007537A8">
          <w:rPr>
            <w:noProof/>
            <w:webHidden/>
          </w:rPr>
          <w:instrText xml:space="preserve"> PAGEREF _Toc22132763 \h </w:instrText>
        </w:r>
        <w:r w:rsidR="007537A8">
          <w:rPr>
            <w:noProof/>
            <w:webHidden/>
          </w:rPr>
        </w:r>
        <w:r w:rsidR="007537A8">
          <w:rPr>
            <w:noProof/>
            <w:webHidden/>
          </w:rPr>
          <w:fldChar w:fldCharType="separate"/>
        </w:r>
        <w:r w:rsidR="007537A8">
          <w:rPr>
            <w:noProof/>
            <w:webHidden/>
          </w:rPr>
          <w:t>2</w:t>
        </w:r>
        <w:r w:rsidR="007537A8">
          <w:rPr>
            <w:noProof/>
            <w:webHidden/>
          </w:rPr>
          <w:fldChar w:fldCharType="end"/>
        </w:r>
      </w:hyperlink>
    </w:p>
    <w:p w14:paraId="58E567A4" w14:textId="129C2847" w:rsidR="007537A8" w:rsidRDefault="00091FED">
      <w:pPr>
        <w:pStyle w:val="Verzeichnis2"/>
        <w:tabs>
          <w:tab w:val="right" w:leader="dot" w:pos="7361"/>
        </w:tabs>
        <w:rPr>
          <w:rFonts w:eastAsiaTheme="minorEastAsia"/>
          <w:noProof/>
          <w:sz w:val="22"/>
          <w:szCs w:val="22"/>
          <w:lang w:eastAsia="de-DE"/>
        </w:rPr>
      </w:pPr>
      <w:hyperlink w:anchor="_Toc22132764" w:history="1">
        <w:r w:rsidR="007537A8" w:rsidRPr="008D35AA">
          <w:rPr>
            <w:rStyle w:val="Hyperlink"/>
            <w:noProof/>
          </w:rPr>
          <w:t>C. Die Bestimmung der statthaften Klage-/Antragsart (Nikolas Eisentraut)</w:t>
        </w:r>
        <w:r w:rsidR="007537A8">
          <w:rPr>
            <w:noProof/>
            <w:webHidden/>
          </w:rPr>
          <w:tab/>
        </w:r>
        <w:r w:rsidR="007537A8">
          <w:rPr>
            <w:noProof/>
            <w:webHidden/>
          </w:rPr>
          <w:fldChar w:fldCharType="begin"/>
        </w:r>
        <w:r w:rsidR="007537A8">
          <w:rPr>
            <w:noProof/>
            <w:webHidden/>
          </w:rPr>
          <w:instrText xml:space="preserve"> PAGEREF _Toc22132764 \h </w:instrText>
        </w:r>
        <w:r w:rsidR="007537A8">
          <w:rPr>
            <w:noProof/>
            <w:webHidden/>
          </w:rPr>
        </w:r>
        <w:r w:rsidR="007537A8">
          <w:rPr>
            <w:noProof/>
            <w:webHidden/>
          </w:rPr>
          <w:fldChar w:fldCharType="separate"/>
        </w:r>
        <w:r w:rsidR="007537A8">
          <w:rPr>
            <w:noProof/>
            <w:webHidden/>
          </w:rPr>
          <w:t>4</w:t>
        </w:r>
        <w:r w:rsidR="007537A8">
          <w:rPr>
            <w:noProof/>
            <w:webHidden/>
          </w:rPr>
          <w:fldChar w:fldCharType="end"/>
        </w:r>
      </w:hyperlink>
    </w:p>
    <w:p w14:paraId="73C5E334" w14:textId="7168A6CB" w:rsidR="007537A8" w:rsidRDefault="00091FED">
      <w:pPr>
        <w:pStyle w:val="Verzeichnis1"/>
        <w:tabs>
          <w:tab w:val="right" w:leader="dot" w:pos="7361"/>
        </w:tabs>
        <w:rPr>
          <w:rFonts w:eastAsiaTheme="minorEastAsia"/>
          <w:b w:val="0"/>
          <w:noProof/>
          <w:sz w:val="22"/>
          <w:szCs w:val="22"/>
          <w:lang w:eastAsia="de-DE"/>
        </w:rPr>
      </w:pPr>
      <w:hyperlink w:anchor="_Toc22132765" w:history="1">
        <w:r w:rsidR="007537A8" w:rsidRPr="008D35AA">
          <w:rPr>
            <w:rStyle w:val="Hyperlink"/>
            <w:noProof/>
          </w:rPr>
          <w:t>§ 2 Übungsfälle zur Anfechtungsklage</w:t>
        </w:r>
        <w:r w:rsidR="007537A8">
          <w:rPr>
            <w:noProof/>
            <w:webHidden/>
          </w:rPr>
          <w:tab/>
        </w:r>
        <w:r w:rsidR="007537A8">
          <w:rPr>
            <w:noProof/>
            <w:webHidden/>
          </w:rPr>
          <w:fldChar w:fldCharType="begin"/>
        </w:r>
        <w:r w:rsidR="007537A8">
          <w:rPr>
            <w:noProof/>
            <w:webHidden/>
          </w:rPr>
          <w:instrText xml:space="preserve"> PAGEREF _Toc22132765 \h </w:instrText>
        </w:r>
        <w:r w:rsidR="007537A8">
          <w:rPr>
            <w:noProof/>
            <w:webHidden/>
          </w:rPr>
        </w:r>
        <w:r w:rsidR="007537A8">
          <w:rPr>
            <w:noProof/>
            <w:webHidden/>
          </w:rPr>
          <w:fldChar w:fldCharType="separate"/>
        </w:r>
        <w:r w:rsidR="007537A8">
          <w:rPr>
            <w:noProof/>
            <w:webHidden/>
          </w:rPr>
          <w:t>1</w:t>
        </w:r>
        <w:r w:rsidR="007537A8">
          <w:rPr>
            <w:noProof/>
            <w:webHidden/>
          </w:rPr>
          <w:fldChar w:fldCharType="end"/>
        </w:r>
      </w:hyperlink>
    </w:p>
    <w:p w14:paraId="09AA3FEC" w14:textId="7C23D98D" w:rsidR="007537A8" w:rsidRDefault="00091FED">
      <w:pPr>
        <w:pStyle w:val="Verzeichnis2"/>
        <w:tabs>
          <w:tab w:val="right" w:leader="dot" w:pos="7361"/>
        </w:tabs>
        <w:rPr>
          <w:rFonts w:eastAsiaTheme="minorEastAsia"/>
          <w:noProof/>
          <w:sz w:val="22"/>
          <w:szCs w:val="22"/>
          <w:lang w:eastAsia="de-DE"/>
        </w:rPr>
      </w:pPr>
      <w:hyperlink w:anchor="_Toc22132766" w:history="1">
        <w:r w:rsidR="007537A8" w:rsidRPr="008D35AA">
          <w:rPr>
            <w:rStyle w:val="Hyperlink"/>
            <w:noProof/>
          </w:rPr>
          <w:t>Die Struktur der Anfechtungsklage (Nikolas Eisentraut)</w:t>
        </w:r>
        <w:r w:rsidR="007537A8">
          <w:rPr>
            <w:noProof/>
            <w:webHidden/>
          </w:rPr>
          <w:tab/>
        </w:r>
        <w:r w:rsidR="007537A8">
          <w:rPr>
            <w:noProof/>
            <w:webHidden/>
          </w:rPr>
          <w:fldChar w:fldCharType="begin"/>
        </w:r>
        <w:r w:rsidR="007537A8">
          <w:rPr>
            <w:noProof/>
            <w:webHidden/>
          </w:rPr>
          <w:instrText xml:space="preserve"> PAGEREF _Toc22132766 \h </w:instrText>
        </w:r>
        <w:r w:rsidR="007537A8">
          <w:rPr>
            <w:noProof/>
            <w:webHidden/>
          </w:rPr>
        </w:r>
        <w:r w:rsidR="007537A8">
          <w:rPr>
            <w:noProof/>
            <w:webHidden/>
          </w:rPr>
          <w:fldChar w:fldCharType="separate"/>
        </w:r>
        <w:r w:rsidR="007537A8">
          <w:rPr>
            <w:noProof/>
            <w:webHidden/>
          </w:rPr>
          <w:t>1</w:t>
        </w:r>
        <w:r w:rsidR="007537A8">
          <w:rPr>
            <w:noProof/>
            <w:webHidden/>
          </w:rPr>
          <w:fldChar w:fldCharType="end"/>
        </w:r>
      </w:hyperlink>
    </w:p>
    <w:p w14:paraId="6363084A" w14:textId="75AD9C2E" w:rsidR="007537A8" w:rsidRDefault="00091FED">
      <w:pPr>
        <w:pStyle w:val="Verzeichnis2"/>
        <w:tabs>
          <w:tab w:val="right" w:leader="dot" w:pos="7361"/>
        </w:tabs>
        <w:rPr>
          <w:rFonts w:eastAsiaTheme="minorEastAsia"/>
          <w:noProof/>
          <w:sz w:val="22"/>
          <w:szCs w:val="22"/>
          <w:lang w:eastAsia="de-DE"/>
        </w:rPr>
      </w:pPr>
      <w:hyperlink w:anchor="_Toc22132767" w:history="1">
        <w:r w:rsidR="007537A8" w:rsidRPr="008D35AA">
          <w:rPr>
            <w:rStyle w:val="Hyperlink"/>
            <w:noProof/>
          </w:rPr>
          <w:t>Fall 1: Anfechtungsklage bei einer Ordnungsverfügung nach der polizeilichen Generalklausel (Tanja Kernchen)</w:t>
        </w:r>
        <w:r w:rsidR="007537A8">
          <w:rPr>
            <w:noProof/>
            <w:webHidden/>
          </w:rPr>
          <w:tab/>
        </w:r>
        <w:r w:rsidR="007537A8">
          <w:rPr>
            <w:noProof/>
            <w:webHidden/>
          </w:rPr>
          <w:fldChar w:fldCharType="begin"/>
        </w:r>
        <w:r w:rsidR="007537A8">
          <w:rPr>
            <w:noProof/>
            <w:webHidden/>
          </w:rPr>
          <w:instrText xml:space="preserve"> PAGEREF _Toc22132767 \h </w:instrText>
        </w:r>
        <w:r w:rsidR="007537A8">
          <w:rPr>
            <w:noProof/>
            <w:webHidden/>
          </w:rPr>
        </w:r>
        <w:r w:rsidR="007537A8">
          <w:rPr>
            <w:noProof/>
            <w:webHidden/>
          </w:rPr>
          <w:fldChar w:fldCharType="separate"/>
        </w:r>
        <w:r w:rsidR="007537A8">
          <w:rPr>
            <w:noProof/>
            <w:webHidden/>
          </w:rPr>
          <w:t>3</w:t>
        </w:r>
        <w:r w:rsidR="007537A8">
          <w:rPr>
            <w:noProof/>
            <w:webHidden/>
          </w:rPr>
          <w:fldChar w:fldCharType="end"/>
        </w:r>
      </w:hyperlink>
    </w:p>
    <w:p w14:paraId="6941EAA1" w14:textId="60132725" w:rsidR="007537A8" w:rsidRDefault="00091FED">
      <w:pPr>
        <w:pStyle w:val="Verzeichnis2"/>
        <w:tabs>
          <w:tab w:val="right" w:leader="dot" w:pos="7361"/>
        </w:tabs>
        <w:rPr>
          <w:rFonts w:eastAsiaTheme="minorEastAsia"/>
          <w:noProof/>
          <w:sz w:val="22"/>
          <w:szCs w:val="22"/>
          <w:lang w:eastAsia="de-DE"/>
        </w:rPr>
      </w:pPr>
      <w:hyperlink w:anchor="_Toc22132768" w:history="1">
        <w:r w:rsidR="007537A8" w:rsidRPr="008D35AA">
          <w:rPr>
            <w:rStyle w:val="Hyperlink"/>
            <w:noProof/>
          </w:rPr>
          <w:t>Fall 2: Anfechtungsklage bei Nebenbestimmungen (Isabel Leinenbach)</w:t>
        </w:r>
        <w:r w:rsidR="007537A8">
          <w:rPr>
            <w:noProof/>
            <w:webHidden/>
          </w:rPr>
          <w:tab/>
        </w:r>
        <w:r w:rsidR="007537A8">
          <w:rPr>
            <w:noProof/>
            <w:webHidden/>
          </w:rPr>
          <w:fldChar w:fldCharType="begin"/>
        </w:r>
        <w:r w:rsidR="007537A8">
          <w:rPr>
            <w:noProof/>
            <w:webHidden/>
          </w:rPr>
          <w:instrText xml:space="preserve"> PAGEREF _Toc22132768 \h </w:instrText>
        </w:r>
        <w:r w:rsidR="007537A8">
          <w:rPr>
            <w:noProof/>
            <w:webHidden/>
          </w:rPr>
        </w:r>
        <w:r w:rsidR="007537A8">
          <w:rPr>
            <w:noProof/>
            <w:webHidden/>
          </w:rPr>
          <w:fldChar w:fldCharType="separate"/>
        </w:r>
        <w:r w:rsidR="007537A8">
          <w:rPr>
            <w:noProof/>
            <w:webHidden/>
          </w:rPr>
          <w:t>20</w:t>
        </w:r>
        <w:r w:rsidR="007537A8">
          <w:rPr>
            <w:noProof/>
            <w:webHidden/>
          </w:rPr>
          <w:fldChar w:fldCharType="end"/>
        </w:r>
      </w:hyperlink>
    </w:p>
    <w:p w14:paraId="20D303F9" w14:textId="561D15B7" w:rsidR="007537A8" w:rsidRDefault="00091FED">
      <w:pPr>
        <w:pStyle w:val="Verzeichnis2"/>
        <w:tabs>
          <w:tab w:val="right" w:leader="dot" w:pos="7361"/>
        </w:tabs>
        <w:rPr>
          <w:rFonts w:eastAsiaTheme="minorEastAsia"/>
          <w:noProof/>
          <w:sz w:val="22"/>
          <w:szCs w:val="22"/>
          <w:lang w:eastAsia="de-DE"/>
        </w:rPr>
      </w:pPr>
      <w:hyperlink w:anchor="_Toc22132769" w:history="1">
        <w:r w:rsidR="007537A8" w:rsidRPr="008D35AA">
          <w:rPr>
            <w:rStyle w:val="Hyperlink"/>
            <w:noProof/>
          </w:rPr>
          <w:t>Fall 3: Drittanfechtungsklage gegen eine Baugenehmigung: „Von Landwirten und Windmühlen“ (Hendrik Burbach)</w:t>
        </w:r>
        <w:r w:rsidR="007537A8">
          <w:rPr>
            <w:noProof/>
            <w:webHidden/>
          </w:rPr>
          <w:tab/>
        </w:r>
        <w:r w:rsidR="007537A8">
          <w:rPr>
            <w:noProof/>
            <w:webHidden/>
          </w:rPr>
          <w:fldChar w:fldCharType="begin"/>
        </w:r>
        <w:r w:rsidR="007537A8">
          <w:rPr>
            <w:noProof/>
            <w:webHidden/>
          </w:rPr>
          <w:instrText xml:space="preserve"> PAGEREF _Toc22132769 \h </w:instrText>
        </w:r>
        <w:r w:rsidR="007537A8">
          <w:rPr>
            <w:noProof/>
            <w:webHidden/>
          </w:rPr>
        </w:r>
        <w:r w:rsidR="007537A8">
          <w:rPr>
            <w:noProof/>
            <w:webHidden/>
          </w:rPr>
          <w:fldChar w:fldCharType="separate"/>
        </w:r>
        <w:r w:rsidR="007537A8">
          <w:rPr>
            <w:noProof/>
            <w:webHidden/>
          </w:rPr>
          <w:t>30</w:t>
        </w:r>
        <w:r w:rsidR="007537A8">
          <w:rPr>
            <w:noProof/>
            <w:webHidden/>
          </w:rPr>
          <w:fldChar w:fldCharType="end"/>
        </w:r>
      </w:hyperlink>
    </w:p>
    <w:p w14:paraId="5A4C26FF" w14:textId="11FBACD4" w:rsidR="007537A8" w:rsidRDefault="00091FED">
      <w:pPr>
        <w:pStyle w:val="Verzeichnis1"/>
        <w:tabs>
          <w:tab w:val="right" w:leader="dot" w:pos="7361"/>
        </w:tabs>
        <w:rPr>
          <w:rFonts w:eastAsiaTheme="minorEastAsia"/>
          <w:b w:val="0"/>
          <w:noProof/>
          <w:sz w:val="22"/>
          <w:szCs w:val="22"/>
          <w:lang w:eastAsia="de-DE"/>
        </w:rPr>
      </w:pPr>
      <w:hyperlink w:anchor="_Toc22132770" w:history="1">
        <w:r w:rsidR="007537A8" w:rsidRPr="008D35AA">
          <w:rPr>
            <w:rStyle w:val="Hyperlink"/>
            <w:noProof/>
          </w:rPr>
          <w:t>§ 3 Übungsfälle zur Verpflichtungsklage</w:t>
        </w:r>
        <w:r w:rsidR="007537A8">
          <w:rPr>
            <w:noProof/>
            <w:webHidden/>
          </w:rPr>
          <w:tab/>
        </w:r>
        <w:r w:rsidR="007537A8">
          <w:rPr>
            <w:noProof/>
            <w:webHidden/>
          </w:rPr>
          <w:fldChar w:fldCharType="begin"/>
        </w:r>
        <w:r w:rsidR="007537A8">
          <w:rPr>
            <w:noProof/>
            <w:webHidden/>
          </w:rPr>
          <w:instrText xml:space="preserve"> PAGEREF _Toc22132770 \h </w:instrText>
        </w:r>
        <w:r w:rsidR="007537A8">
          <w:rPr>
            <w:noProof/>
            <w:webHidden/>
          </w:rPr>
        </w:r>
        <w:r w:rsidR="007537A8">
          <w:rPr>
            <w:noProof/>
            <w:webHidden/>
          </w:rPr>
          <w:fldChar w:fldCharType="separate"/>
        </w:r>
        <w:r w:rsidR="007537A8">
          <w:rPr>
            <w:noProof/>
            <w:webHidden/>
          </w:rPr>
          <w:t>40</w:t>
        </w:r>
        <w:r w:rsidR="007537A8">
          <w:rPr>
            <w:noProof/>
            <w:webHidden/>
          </w:rPr>
          <w:fldChar w:fldCharType="end"/>
        </w:r>
      </w:hyperlink>
    </w:p>
    <w:p w14:paraId="3680DFAD" w14:textId="66AC09F0" w:rsidR="007537A8" w:rsidRDefault="00091FED">
      <w:pPr>
        <w:pStyle w:val="Verzeichnis2"/>
        <w:tabs>
          <w:tab w:val="right" w:leader="dot" w:pos="7361"/>
        </w:tabs>
        <w:rPr>
          <w:rFonts w:eastAsiaTheme="minorEastAsia"/>
          <w:noProof/>
          <w:sz w:val="22"/>
          <w:szCs w:val="22"/>
          <w:lang w:eastAsia="de-DE"/>
        </w:rPr>
      </w:pPr>
      <w:hyperlink w:anchor="_Toc22132771" w:history="1">
        <w:r w:rsidR="007537A8" w:rsidRPr="008D35AA">
          <w:rPr>
            <w:rStyle w:val="Hyperlink"/>
            <w:noProof/>
          </w:rPr>
          <w:t>Die Struktur der Verpflichtungsklage (Nikolas Eisentraut)</w:t>
        </w:r>
        <w:r w:rsidR="007537A8">
          <w:rPr>
            <w:noProof/>
            <w:webHidden/>
          </w:rPr>
          <w:tab/>
        </w:r>
        <w:r w:rsidR="007537A8">
          <w:rPr>
            <w:noProof/>
            <w:webHidden/>
          </w:rPr>
          <w:fldChar w:fldCharType="begin"/>
        </w:r>
        <w:r w:rsidR="007537A8">
          <w:rPr>
            <w:noProof/>
            <w:webHidden/>
          </w:rPr>
          <w:instrText xml:space="preserve"> PAGEREF _Toc22132771 \h </w:instrText>
        </w:r>
        <w:r w:rsidR="007537A8">
          <w:rPr>
            <w:noProof/>
            <w:webHidden/>
          </w:rPr>
        </w:r>
        <w:r w:rsidR="007537A8">
          <w:rPr>
            <w:noProof/>
            <w:webHidden/>
          </w:rPr>
          <w:fldChar w:fldCharType="separate"/>
        </w:r>
        <w:r w:rsidR="007537A8">
          <w:rPr>
            <w:noProof/>
            <w:webHidden/>
          </w:rPr>
          <w:t>40</w:t>
        </w:r>
        <w:r w:rsidR="007537A8">
          <w:rPr>
            <w:noProof/>
            <w:webHidden/>
          </w:rPr>
          <w:fldChar w:fldCharType="end"/>
        </w:r>
      </w:hyperlink>
    </w:p>
    <w:p w14:paraId="0911BDED" w14:textId="0EFC13E3" w:rsidR="007537A8" w:rsidRDefault="00091FED">
      <w:pPr>
        <w:pStyle w:val="Verzeichnis2"/>
        <w:tabs>
          <w:tab w:val="right" w:leader="dot" w:pos="7361"/>
        </w:tabs>
        <w:rPr>
          <w:rFonts w:eastAsiaTheme="minorEastAsia"/>
          <w:noProof/>
          <w:sz w:val="22"/>
          <w:szCs w:val="22"/>
          <w:lang w:eastAsia="de-DE"/>
        </w:rPr>
      </w:pPr>
      <w:hyperlink w:anchor="_Toc22132772" w:history="1">
        <w:r w:rsidR="007537A8" w:rsidRPr="008D35AA">
          <w:rPr>
            <w:rStyle w:val="Hyperlink"/>
            <w:noProof/>
          </w:rPr>
          <w:t>Fall 4: Verpflichtungsklage auf Erteilung einer Baugenehmigung (Erik Sollmann)</w:t>
        </w:r>
        <w:r w:rsidR="007537A8">
          <w:rPr>
            <w:noProof/>
            <w:webHidden/>
          </w:rPr>
          <w:tab/>
        </w:r>
        <w:r w:rsidR="007537A8">
          <w:rPr>
            <w:noProof/>
            <w:webHidden/>
          </w:rPr>
          <w:fldChar w:fldCharType="begin"/>
        </w:r>
        <w:r w:rsidR="007537A8">
          <w:rPr>
            <w:noProof/>
            <w:webHidden/>
          </w:rPr>
          <w:instrText xml:space="preserve"> PAGEREF _Toc22132772 \h </w:instrText>
        </w:r>
        <w:r w:rsidR="007537A8">
          <w:rPr>
            <w:noProof/>
            <w:webHidden/>
          </w:rPr>
        </w:r>
        <w:r w:rsidR="007537A8">
          <w:rPr>
            <w:noProof/>
            <w:webHidden/>
          </w:rPr>
          <w:fldChar w:fldCharType="separate"/>
        </w:r>
        <w:r w:rsidR="007537A8">
          <w:rPr>
            <w:noProof/>
            <w:webHidden/>
          </w:rPr>
          <w:t>42</w:t>
        </w:r>
        <w:r w:rsidR="007537A8">
          <w:rPr>
            <w:noProof/>
            <w:webHidden/>
          </w:rPr>
          <w:fldChar w:fldCharType="end"/>
        </w:r>
      </w:hyperlink>
    </w:p>
    <w:p w14:paraId="08AFEAEB" w14:textId="6F1A254C" w:rsidR="007537A8" w:rsidRDefault="00091FED">
      <w:pPr>
        <w:pStyle w:val="Verzeichnis2"/>
        <w:tabs>
          <w:tab w:val="right" w:leader="dot" w:pos="7361"/>
        </w:tabs>
        <w:rPr>
          <w:rFonts w:eastAsiaTheme="minorEastAsia"/>
          <w:noProof/>
          <w:sz w:val="22"/>
          <w:szCs w:val="22"/>
          <w:lang w:eastAsia="de-DE"/>
        </w:rPr>
      </w:pPr>
      <w:hyperlink w:anchor="_Toc22132773" w:history="1">
        <w:r w:rsidR="007537A8" w:rsidRPr="008D35AA">
          <w:rPr>
            <w:rStyle w:val="Hyperlink"/>
            <w:noProof/>
          </w:rPr>
          <w:t>Fall 5: Verpflichtungsklage auf polizeiliches Einschreiten wegen Schmähkritik (Eva Skobel)</w:t>
        </w:r>
        <w:r w:rsidR="007537A8">
          <w:rPr>
            <w:noProof/>
            <w:webHidden/>
          </w:rPr>
          <w:tab/>
        </w:r>
        <w:r w:rsidR="007537A8">
          <w:rPr>
            <w:noProof/>
            <w:webHidden/>
          </w:rPr>
          <w:fldChar w:fldCharType="begin"/>
        </w:r>
        <w:r w:rsidR="007537A8">
          <w:rPr>
            <w:noProof/>
            <w:webHidden/>
          </w:rPr>
          <w:instrText xml:space="preserve"> PAGEREF _Toc22132773 \h </w:instrText>
        </w:r>
        <w:r w:rsidR="007537A8">
          <w:rPr>
            <w:noProof/>
            <w:webHidden/>
          </w:rPr>
        </w:r>
        <w:r w:rsidR="007537A8">
          <w:rPr>
            <w:noProof/>
            <w:webHidden/>
          </w:rPr>
          <w:fldChar w:fldCharType="separate"/>
        </w:r>
        <w:r w:rsidR="007537A8">
          <w:rPr>
            <w:noProof/>
            <w:webHidden/>
          </w:rPr>
          <w:t>60</w:t>
        </w:r>
        <w:r w:rsidR="007537A8">
          <w:rPr>
            <w:noProof/>
            <w:webHidden/>
          </w:rPr>
          <w:fldChar w:fldCharType="end"/>
        </w:r>
      </w:hyperlink>
    </w:p>
    <w:p w14:paraId="5FD3E73A" w14:textId="3E94CB68" w:rsidR="007537A8" w:rsidRDefault="00091FED">
      <w:pPr>
        <w:pStyle w:val="Verzeichnis1"/>
        <w:tabs>
          <w:tab w:val="right" w:leader="dot" w:pos="7361"/>
        </w:tabs>
        <w:rPr>
          <w:rFonts w:eastAsiaTheme="minorEastAsia"/>
          <w:b w:val="0"/>
          <w:noProof/>
          <w:sz w:val="22"/>
          <w:szCs w:val="22"/>
          <w:lang w:eastAsia="de-DE"/>
        </w:rPr>
      </w:pPr>
      <w:hyperlink w:anchor="_Toc22132774" w:history="1">
        <w:r w:rsidR="007537A8" w:rsidRPr="008D35AA">
          <w:rPr>
            <w:rStyle w:val="Hyperlink"/>
            <w:noProof/>
          </w:rPr>
          <w:t>§ 4 Übungsfälle zur Fortsetzungsfeststellungsklage</w:t>
        </w:r>
        <w:r w:rsidR="007537A8">
          <w:rPr>
            <w:noProof/>
            <w:webHidden/>
          </w:rPr>
          <w:tab/>
        </w:r>
        <w:r w:rsidR="007537A8">
          <w:rPr>
            <w:noProof/>
            <w:webHidden/>
          </w:rPr>
          <w:fldChar w:fldCharType="begin"/>
        </w:r>
        <w:r w:rsidR="007537A8">
          <w:rPr>
            <w:noProof/>
            <w:webHidden/>
          </w:rPr>
          <w:instrText xml:space="preserve"> PAGEREF _Toc22132774 \h </w:instrText>
        </w:r>
        <w:r w:rsidR="007537A8">
          <w:rPr>
            <w:noProof/>
            <w:webHidden/>
          </w:rPr>
        </w:r>
        <w:r w:rsidR="007537A8">
          <w:rPr>
            <w:noProof/>
            <w:webHidden/>
          </w:rPr>
          <w:fldChar w:fldCharType="separate"/>
        </w:r>
        <w:r w:rsidR="007537A8">
          <w:rPr>
            <w:noProof/>
            <w:webHidden/>
          </w:rPr>
          <w:t>80</w:t>
        </w:r>
        <w:r w:rsidR="007537A8">
          <w:rPr>
            <w:noProof/>
            <w:webHidden/>
          </w:rPr>
          <w:fldChar w:fldCharType="end"/>
        </w:r>
      </w:hyperlink>
    </w:p>
    <w:p w14:paraId="5F5A7C34" w14:textId="6FE688DA" w:rsidR="007537A8" w:rsidRDefault="00091FED">
      <w:pPr>
        <w:pStyle w:val="Verzeichnis2"/>
        <w:tabs>
          <w:tab w:val="right" w:leader="dot" w:pos="7361"/>
        </w:tabs>
        <w:rPr>
          <w:rFonts w:eastAsiaTheme="minorEastAsia"/>
          <w:noProof/>
          <w:sz w:val="22"/>
          <w:szCs w:val="22"/>
          <w:lang w:eastAsia="de-DE"/>
        </w:rPr>
      </w:pPr>
      <w:hyperlink w:anchor="_Toc22132775" w:history="1">
        <w:r w:rsidR="007537A8" w:rsidRPr="008D35AA">
          <w:rPr>
            <w:rStyle w:val="Hyperlink"/>
            <w:noProof/>
          </w:rPr>
          <w:t>Die Struktur der Fortsetzungsfeststellungsklage (Nikolas Eisentraut)</w:t>
        </w:r>
        <w:r w:rsidR="007537A8">
          <w:rPr>
            <w:noProof/>
            <w:webHidden/>
          </w:rPr>
          <w:tab/>
        </w:r>
        <w:r w:rsidR="007537A8">
          <w:rPr>
            <w:noProof/>
            <w:webHidden/>
          </w:rPr>
          <w:fldChar w:fldCharType="begin"/>
        </w:r>
        <w:r w:rsidR="007537A8">
          <w:rPr>
            <w:noProof/>
            <w:webHidden/>
          </w:rPr>
          <w:instrText xml:space="preserve"> PAGEREF _Toc22132775 \h </w:instrText>
        </w:r>
        <w:r w:rsidR="007537A8">
          <w:rPr>
            <w:noProof/>
            <w:webHidden/>
          </w:rPr>
        </w:r>
        <w:r w:rsidR="007537A8">
          <w:rPr>
            <w:noProof/>
            <w:webHidden/>
          </w:rPr>
          <w:fldChar w:fldCharType="separate"/>
        </w:r>
        <w:r w:rsidR="007537A8">
          <w:rPr>
            <w:noProof/>
            <w:webHidden/>
          </w:rPr>
          <w:t>80</w:t>
        </w:r>
        <w:r w:rsidR="007537A8">
          <w:rPr>
            <w:noProof/>
            <w:webHidden/>
          </w:rPr>
          <w:fldChar w:fldCharType="end"/>
        </w:r>
      </w:hyperlink>
    </w:p>
    <w:p w14:paraId="2D5BB274" w14:textId="1824B984" w:rsidR="007537A8" w:rsidRDefault="00091FED">
      <w:pPr>
        <w:pStyle w:val="Verzeichnis2"/>
        <w:tabs>
          <w:tab w:val="right" w:leader="dot" w:pos="7361"/>
        </w:tabs>
        <w:rPr>
          <w:rFonts w:eastAsiaTheme="minorEastAsia"/>
          <w:noProof/>
          <w:sz w:val="22"/>
          <w:szCs w:val="22"/>
          <w:lang w:eastAsia="de-DE"/>
        </w:rPr>
      </w:pPr>
      <w:hyperlink w:anchor="_Toc22132776" w:history="1">
        <w:r w:rsidR="007537A8" w:rsidRPr="008D35AA">
          <w:rPr>
            <w:rStyle w:val="Hyperlink"/>
            <w:noProof/>
          </w:rPr>
          <w:t>Fall 6: Fortsetzungsfeststellungsklage gegen ein Aufenthaltsverbot für Fußballfans (Judith Sikora)</w:t>
        </w:r>
        <w:r w:rsidR="007537A8">
          <w:rPr>
            <w:noProof/>
            <w:webHidden/>
          </w:rPr>
          <w:tab/>
        </w:r>
        <w:r w:rsidR="007537A8">
          <w:rPr>
            <w:noProof/>
            <w:webHidden/>
          </w:rPr>
          <w:fldChar w:fldCharType="begin"/>
        </w:r>
        <w:r w:rsidR="007537A8">
          <w:rPr>
            <w:noProof/>
            <w:webHidden/>
          </w:rPr>
          <w:instrText xml:space="preserve"> PAGEREF _Toc22132776 \h </w:instrText>
        </w:r>
        <w:r w:rsidR="007537A8">
          <w:rPr>
            <w:noProof/>
            <w:webHidden/>
          </w:rPr>
        </w:r>
        <w:r w:rsidR="007537A8">
          <w:rPr>
            <w:noProof/>
            <w:webHidden/>
          </w:rPr>
          <w:fldChar w:fldCharType="separate"/>
        </w:r>
        <w:r w:rsidR="007537A8">
          <w:rPr>
            <w:noProof/>
            <w:webHidden/>
          </w:rPr>
          <w:t>82</w:t>
        </w:r>
        <w:r w:rsidR="007537A8">
          <w:rPr>
            <w:noProof/>
            <w:webHidden/>
          </w:rPr>
          <w:fldChar w:fldCharType="end"/>
        </w:r>
      </w:hyperlink>
    </w:p>
    <w:p w14:paraId="31D9E4A2" w14:textId="238B9800" w:rsidR="007537A8" w:rsidRDefault="00091FED">
      <w:pPr>
        <w:pStyle w:val="Verzeichnis2"/>
        <w:tabs>
          <w:tab w:val="right" w:leader="dot" w:pos="7361"/>
        </w:tabs>
        <w:rPr>
          <w:rFonts w:eastAsiaTheme="minorEastAsia"/>
          <w:noProof/>
          <w:sz w:val="22"/>
          <w:szCs w:val="22"/>
          <w:lang w:eastAsia="de-DE"/>
        </w:rPr>
      </w:pPr>
      <w:hyperlink w:anchor="_Toc22132777" w:history="1">
        <w:r w:rsidR="007537A8" w:rsidRPr="008D35AA">
          <w:rPr>
            <w:rStyle w:val="Hyperlink"/>
            <w:noProof/>
          </w:rPr>
          <w:t>Fall 7: Fortsetzungsfeststellungsklage gegen die Untersagung eines politischen Straßentheaters (Judith Sikora)</w:t>
        </w:r>
        <w:r w:rsidR="007537A8">
          <w:rPr>
            <w:noProof/>
            <w:webHidden/>
          </w:rPr>
          <w:tab/>
        </w:r>
        <w:r w:rsidR="007537A8">
          <w:rPr>
            <w:noProof/>
            <w:webHidden/>
          </w:rPr>
          <w:fldChar w:fldCharType="begin"/>
        </w:r>
        <w:r w:rsidR="007537A8">
          <w:rPr>
            <w:noProof/>
            <w:webHidden/>
          </w:rPr>
          <w:instrText xml:space="preserve"> PAGEREF _Toc22132777 \h </w:instrText>
        </w:r>
        <w:r w:rsidR="007537A8">
          <w:rPr>
            <w:noProof/>
            <w:webHidden/>
          </w:rPr>
        </w:r>
        <w:r w:rsidR="007537A8">
          <w:rPr>
            <w:noProof/>
            <w:webHidden/>
          </w:rPr>
          <w:fldChar w:fldCharType="separate"/>
        </w:r>
        <w:r w:rsidR="007537A8">
          <w:rPr>
            <w:noProof/>
            <w:webHidden/>
          </w:rPr>
          <w:t>96</w:t>
        </w:r>
        <w:r w:rsidR="007537A8">
          <w:rPr>
            <w:noProof/>
            <w:webHidden/>
          </w:rPr>
          <w:fldChar w:fldCharType="end"/>
        </w:r>
      </w:hyperlink>
    </w:p>
    <w:p w14:paraId="0F24E230" w14:textId="3DE72968" w:rsidR="007537A8" w:rsidRDefault="00091FED">
      <w:pPr>
        <w:pStyle w:val="Verzeichnis2"/>
        <w:tabs>
          <w:tab w:val="right" w:leader="dot" w:pos="7361"/>
        </w:tabs>
        <w:rPr>
          <w:rFonts w:eastAsiaTheme="minorEastAsia"/>
          <w:noProof/>
          <w:sz w:val="22"/>
          <w:szCs w:val="22"/>
          <w:lang w:eastAsia="de-DE"/>
        </w:rPr>
      </w:pPr>
      <w:hyperlink w:anchor="_Toc22132778" w:history="1">
        <w:r w:rsidR="007537A8" w:rsidRPr="008D35AA">
          <w:rPr>
            <w:rStyle w:val="Hyperlink"/>
            <w:noProof/>
          </w:rPr>
          <w:t>Fall 8: Fortsetzungsfeststellungsklage auf Feststellung des Bestehens eines Zulassungsanspruchs einer Partei zu einer kommunalen Einrichtung (Judith Sikora)</w:t>
        </w:r>
        <w:r w:rsidR="007537A8">
          <w:rPr>
            <w:noProof/>
            <w:webHidden/>
          </w:rPr>
          <w:tab/>
        </w:r>
        <w:r w:rsidR="007537A8">
          <w:rPr>
            <w:noProof/>
            <w:webHidden/>
          </w:rPr>
          <w:fldChar w:fldCharType="begin"/>
        </w:r>
        <w:r w:rsidR="007537A8">
          <w:rPr>
            <w:noProof/>
            <w:webHidden/>
          </w:rPr>
          <w:instrText xml:space="preserve"> PAGEREF _Toc22132778 \h </w:instrText>
        </w:r>
        <w:r w:rsidR="007537A8">
          <w:rPr>
            <w:noProof/>
            <w:webHidden/>
          </w:rPr>
        </w:r>
        <w:r w:rsidR="007537A8">
          <w:rPr>
            <w:noProof/>
            <w:webHidden/>
          </w:rPr>
          <w:fldChar w:fldCharType="separate"/>
        </w:r>
        <w:r w:rsidR="007537A8">
          <w:rPr>
            <w:noProof/>
            <w:webHidden/>
          </w:rPr>
          <w:t>110</w:t>
        </w:r>
        <w:r w:rsidR="007537A8">
          <w:rPr>
            <w:noProof/>
            <w:webHidden/>
          </w:rPr>
          <w:fldChar w:fldCharType="end"/>
        </w:r>
      </w:hyperlink>
    </w:p>
    <w:p w14:paraId="1505FBEB" w14:textId="2ABD24AD" w:rsidR="007537A8" w:rsidRDefault="00091FED">
      <w:pPr>
        <w:pStyle w:val="Verzeichnis1"/>
        <w:tabs>
          <w:tab w:val="right" w:leader="dot" w:pos="7361"/>
        </w:tabs>
        <w:rPr>
          <w:rFonts w:eastAsiaTheme="minorEastAsia"/>
          <w:b w:val="0"/>
          <w:noProof/>
          <w:sz w:val="22"/>
          <w:szCs w:val="22"/>
          <w:lang w:eastAsia="de-DE"/>
        </w:rPr>
      </w:pPr>
      <w:hyperlink w:anchor="_Toc22132779" w:history="1">
        <w:r w:rsidR="007537A8" w:rsidRPr="008D35AA">
          <w:rPr>
            <w:rStyle w:val="Hyperlink"/>
            <w:noProof/>
          </w:rPr>
          <w:t>§ 5 Übungsfälle zur allgemeinen Leistungsklage</w:t>
        </w:r>
        <w:r w:rsidR="007537A8">
          <w:rPr>
            <w:noProof/>
            <w:webHidden/>
          </w:rPr>
          <w:tab/>
        </w:r>
        <w:r w:rsidR="007537A8">
          <w:rPr>
            <w:noProof/>
            <w:webHidden/>
          </w:rPr>
          <w:fldChar w:fldCharType="begin"/>
        </w:r>
        <w:r w:rsidR="007537A8">
          <w:rPr>
            <w:noProof/>
            <w:webHidden/>
          </w:rPr>
          <w:instrText xml:space="preserve"> PAGEREF _Toc22132779 \h </w:instrText>
        </w:r>
        <w:r w:rsidR="007537A8">
          <w:rPr>
            <w:noProof/>
            <w:webHidden/>
          </w:rPr>
        </w:r>
        <w:r w:rsidR="007537A8">
          <w:rPr>
            <w:noProof/>
            <w:webHidden/>
          </w:rPr>
          <w:fldChar w:fldCharType="separate"/>
        </w:r>
        <w:r w:rsidR="007537A8">
          <w:rPr>
            <w:noProof/>
            <w:webHidden/>
          </w:rPr>
          <w:t>124</w:t>
        </w:r>
        <w:r w:rsidR="007537A8">
          <w:rPr>
            <w:noProof/>
            <w:webHidden/>
          </w:rPr>
          <w:fldChar w:fldCharType="end"/>
        </w:r>
      </w:hyperlink>
    </w:p>
    <w:p w14:paraId="219E2DDB" w14:textId="551C3D0B" w:rsidR="007537A8" w:rsidRDefault="00091FED">
      <w:pPr>
        <w:pStyle w:val="Verzeichnis2"/>
        <w:tabs>
          <w:tab w:val="right" w:leader="dot" w:pos="7361"/>
        </w:tabs>
        <w:rPr>
          <w:rFonts w:eastAsiaTheme="minorEastAsia"/>
          <w:noProof/>
          <w:sz w:val="22"/>
          <w:szCs w:val="22"/>
          <w:lang w:eastAsia="de-DE"/>
        </w:rPr>
      </w:pPr>
      <w:hyperlink w:anchor="_Toc22132780" w:history="1">
        <w:r w:rsidR="007537A8" w:rsidRPr="008D35AA">
          <w:rPr>
            <w:rStyle w:val="Hyperlink"/>
            <w:noProof/>
          </w:rPr>
          <w:t>Die Struktur der allgemeinen Leistungsklage (Nikolas Eisentraut)</w:t>
        </w:r>
        <w:r w:rsidR="007537A8">
          <w:rPr>
            <w:noProof/>
            <w:webHidden/>
          </w:rPr>
          <w:tab/>
        </w:r>
        <w:r w:rsidR="007537A8">
          <w:rPr>
            <w:noProof/>
            <w:webHidden/>
          </w:rPr>
          <w:fldChar w:fldCharType="begin"/>
        </w:r>
        <w:r w:rsidR="007537A8">
          <w:rPr>
            <w:noProof/>
            <w:webHidden/>
          </w:rPr>
          <w:instrText xml:space="preserve"> PAGEREF _Toc22132780 \h </w:instrText>
        </w:r>
        <w:r w:rsidR="007537A8">
          <w:rPr>
            <w:noProof/>
            <w:webHidden/>
          </w:rPr>
        </w:r>
        <w:r w:rsidR="007537A8">
          <w:rPr>
            <w:noProof/>
            <w:webHidden/>
          </w:rPr>
          <w:fldChar w:fldCharType="separate"/>
        </w:r>
        <w:r w:rsidR="007537A8">
          <w:rPr>
            <w:noProof/>
            <w:webHidden/>
          </w:rPr>
          <w:t>124</w:t>
        </w:r>
        <w:r w:rsidR="007537A8">
          <w:rPr>
            <w:noProof/>
            <w:webHidden/>
          </w:rPr>
          <w:fldChar w:fldCharType="end"/>
        </w:r>
      </w:hyperlink>
    </w:p>
    <w:p w14:paraId="4C51E8F9" w14:textId="4082A51C" w:rsidR="007537A8" w:rsidRDefault="00091FED">
      <w:pPr>
        <w:pStyle w:val="Verzeichnis2"/>
        <w:tabs>
          <w:tab w:val="right" w:leader="dot" w:pos="7361"/>
        </w:tabs>
        <w:rPr>
          <w:rFonts w:eastAsiaTheme="minorEastAsia"/>
          <w:noProof/>
          <w:sz w:val="22"/>
          <w:szCs w:val="22"/>
          <w:lang w:eastAsia="de-DE"/>
        </w:rPr>
      </w:pPr>
      <w:hyperlink w:anchor="_Toc22132781" w:history="1">
        <w:r w:rsidR="007537A8" w:rsidRPr="008D35AA">
          <w:rPr>
            <w:rStyle w:val="Hyperlink"/>
            <w:noProof/>
          </w:rPr>
          <w:t>Fall 9: Leistungsklage zur Geltendmachung eines Anspruchs aus öffentlich-rechtlichem Vertrag (Wolfgang Abromeit)</w:t>
        </w:r>
        <w:r w:rsidR="007537A8">
          <w:rPr>
            <w:noProof/>
            <w:webHidden/>
          </w:rPr>
          <w:tab/>
        </w:r>
        <w:r w:rsidR="007537A8">
          <w:rPr>
            <w:noProof/>
            <w:webHidden/>
          </w:rPr>
          <w:fldChar w:fldCharType="begin"/>
        </w:r>
        <w:r w:rsidR="007537A8">
          <w:rPr>
            <w:noProof/>
            <w:webHidden/>
          </w:rPr>
          <w:instrText xml:space="preserve"> PAGEREF _Toc22132781 \h </w:instrText>
        </w:r>
        <w:r w:rsidR="007537A8">
          <w:rPr>
            <w:noProof/>
            <w:webHidden/>
          </w:rPr>
        </w:r>
        <w:r w:rsidR="007537A8">
          <w:rPr>
            <w:noProof/>
            <w:webHidden/>
          </w:rPr>
          <w:fldChar w:fldCharType="separate"/>
        </w:r>
        <w:r w:rsidR="007537A8">
          <w:rPr>
            <w:noProof/>
            <w:webHidden/>
          </w:rPr>
          <w:t>125</w:t>
        </w:r>
        <w:r w:rsidR="007537A8">
          <w:rPr>
            <w:noProof/>
            <w:webHidden/>
          </w:rPr>
          <w:fldChar w:fldCharType="end"/>
        </w:r>
      </w:hyperlink>
    </w:p>
    <w:p w14:paraId="7D637E0E" w14:textId="5FBAD2BC" w:rsidR="007537A8" w:rsidRDefault="00091FED">
      <w:pPr>
        <w:pStyle w:val="Verzeichnis2"/>
        <w:tabs>
          <w:tab w:val="right" w:leader="dot" w:pos="7361"/>
        </w:tabs>
        <w:rPr>
          <w:rFonts w:eastAsiaTheme="minorEastAsia"/>
          <w:noProof/>
          <w:sz w:val="22"/>
          <w:szCs w:val="22"/>
          <w:lang w:eastAsia="de-DE"/>
        </w:rPr>
      </w:pPr>
      <w:hyperlink w:anchor="_Toc22132782" w:history="1">
        <w:r w:rsidR="007537A8" w:rsidRPr="008D35AA">
          <w:rPr>
            <w:rStyle w:val="Hyperlink"/>
            <w:noProof/>
          </w:rPr>
          <w:t>Fall 10: Vorbeugende Unterlassungsklage bei staatlichem Informationshandeln (Stefan Michel)</w:t>
        </w:r>
        <w:r w:rsidR="007537A8">
          <w:rPr>
            <w:noProof/>
            <w:webHidden/>
          </w:rPr>
          <w:tab/>
        </w:r>
        <w:r w:rsidR="007537A8">
          <w:rPr>
            <w:noProof/>
            <w:webHidden/>
          </w:rPr>
          <w:fldChar w:fldCharType="begin"/>
        </w:r>
        <w:r w:rsidR="007537A8">
          <w:rPr>
            <w:noProof/>
            <w:webHidden/>
          </w:rPr>
          <w:instrText xml:space="preserve"> PAGEREF _Toc22132782 \h </w:instrText>
        </w:r>
        <w:r w:rsidR="007537A8">
          <w:rPr>
            <w:noProof/>
            <w:webHidden/>
          </w:rPr>
        </w:r>
        <w:r w:rsidR="007537A8">
          <w:rPr>
            <w:noProof/>
            <w:webHidden/>
          </w:rPr>
          <w:fldChar w:fldCharType="separate"/>
        </w:r>
        <w:r w:rsidR="007537A8">
          <w:rPr>
            <w:noProof/>
            <w:webHidden/>
          </w:rPr>
          <w:t>141</w:t>
        </w:r>
        <w:r w:rsidR="007537A8">
          <w:rPr>
            <w:noProof/>
            <w:webHidden/>
          </w:rPr>
          <w:fldChar w:fldCharType="end"/>
        </w:r>
      </w:hyperlink>
    </w:p>
    <w:p w14:paraId="6CE7EAFA" w14:textId="3E626792" w:rsidR="007537A8" w:rsidRDefault="00091FED">
      <w:pPr>
        <w:pStyle w:val="Verzeichnis1"/>
        <w:tabs>
          <w:tab w:val="right" w:leader="dot" w:pos="7361"/>
        </w:tabs>
        <w:rPr>
          <w:rFonts w:eastAsiaTheme="minorEastAsia"/>
          <w:b w:val="0"/>
          <w:noProof/>
          <w:sz w:val="22"/>
          <w:szCs w:val="22"/>
          <w:lang w:eastAsia="de-DE"/>
        </w:rPr>
      </w:pPr>
      <w:hyperlink w:anchor="_Toc22132783" w:history="1">
        <w:r w:rsidR="007537A8" w:rsidRPr="008D35AA">
          <w:rPr>
            <w:rStyle w:val="Hyperlink"/>
            <w:noProof/>
          </w:rPr>
          <w:t>§ 6 Übungsfälle zur Feststellungsklage</w:t>
        </w:r>
        <w:r w:rsidR="007537A8">
          <w:rPr>
            <w:noProof/>
            <w:webHidden/>
          </w:rPr>
          <w:tab/>
        </w:r>
        <w:r w:rsidR="007537A8">
          <w:rPr>
            <w:noProof/>
            <w:webHidden/>
          </w:rPr>
          <w:fldChar w:fldCharType="begin"/>
        </w:r>
        <w:r w:rsidR="007537A8">
          <w:rPr>
            <w:noProof/>
            <w:webHidden/>
          </w:rPr>
          <w:instrText xml:space="preserve"> PAGEREF _Toc22132783 \h </w:instrText>
        </w:r>
        <w:r w:rsidR="007537A8">
          <w:rPr>
            <w:noProof/>
            <w:webHidden/>
          </w:rPr>
        </w:r>
        <w:r w:rsidR="007537A8">
          <w:rPr>
            <w:noProof/>
            <w:webHidden/>
          </w:rPr>
          <w:fldChar w:fldCharType="separate"/>
        </w:r>
        <w:r w:rsidR="007537A8">
          <w:rPr>
            <w:noProof/>
            <w:webHidden/>
          </w:rPr>
          <w:t>157</w:t>
        </w:r>
        <w:r w:rsidR="007537A8">
          <w:rPr>
            <w:noProof/>
            <w:webHidden/>
          </w:rPr>
          <w:fldChar w:fldCharType="end"/>
        </w:r>
      </w:hyperlink>
    </w:p>
    <w:p w14:paraId="182E5775" w14:textId="244988D1" w:rsidR="007537A8" w:rsidRDefault="00091FED">
      <w:pPr>
        <w:pStyle w:val="Verzeichnis2"/>
        <w:tabs>
          <w:tab w:val="right" w:leader="dot" w:pos="7361"/>
        </w:tabs>
        <w:rPr>
          <w:rFonts w:eastAsiaTheme="minorEastAsia"/>
          <w:noProof/>
          <w:sz w:val="22"/>
          <w:szCs w:val="22"/>
          <w:lang w:eastAsia="de-DE"/>
        </w:rPr>
      </w:pPr>
      <w:hyperlink w:anchor="_Toc22132784" w:history="1">
        <w:r w:rsidR="007537A8" w:rsidRPr="008D35AA">
          <w:rPr>
            <w:rStyle w:val="Hyperlink"/>
            <w:noProof/>
          </w:rPr>
          <w:t>Die Struktur der Feststellungsklage (Nikolas Eisentraut)</w:t>
        </w:r>
        <w:r w:rsidR="007537A8">
          <w:rPr>
            <w:noProof/>
            <w:webHidden/>
          </w:rPr>
          <w:tab/>
        </w:r>
        <w:r w:rsidR="007537A8">
          <w:rPr>
            <w:noProof/>
            <w:webHidden/>
          </w:rPr>
          <w:fldChar w:fldCharType="begin"/>
        </w:r>
        <w:r w:rsidR="007537A8">
          <w:rPr>
            <w:noProof/>
            <w:webHidden/>
          </w:rPr>
          <w:instrText xml:space="preserve"> PAGEREF _Toc22132784 \h </w:instrText>
        </w:r>
        <w:r w:rsidR="007537A8">
          <w:rPr>
            <w:noProof/>
            <w:webHidden/>
          </w:rPr>
        </w:r>
        <w:r w:rsidR="007537A8">
          <w:rPr>
            <w:noProof/>
            <w:webHidden/>
          </w:rPr>
          <w:fldChar w:fldCharType="separate"/>
        </w:r>
        <w:r w:rsidR="007537A8">
          <w:rPr>
            <w:noProof/>
            <w:webHidden/>
          </w:rPr>
          <w:t>157</w:t>
        </w:r>
        <w:r w:rsidR="007537A8">
          <w:rPr>
            <w:noProof/>
            <w:webHidden/>
          </w:rPr>
          <w:fldChar w:fldCharType="end"/>
        </w:r>
      </w:hyperlink>
    </w:p>
    <w:p w14:paraId="44DDE6DD" w14:textId="7954A457" w:rsidR="007537A8" w:rsidRDefault="00091FED">
      <w:pPr>
        <w:pStyle w:val="Verzeichnis2"/>
        <w:tabs>
          <w:tab w:val="right" w:leader="dot" w:pos="7361"/>
        </w:tabs>
        <w:rPr>
          <w:rFonts w:eastAsiaTheme="minorEastAsia"/>
          <w:noProof/>
          <w:sz w:val="22"/>
          <w:szCs w:val="22"/>
          <w:lang w:eastAsia="de-DE"/>
        </w:rPr>
      </w:pPr>
      <w:hyperlink w:anchor="_Toc22132785" w:history="1">
        <w:r w:rsidR="007537A8" w:rsidRPr="008D35AA">
          <w:rPr>
            <w:rStyle w:val="Hyperlink"/>
            <w:noProof/>
          </w:rPr>
          <w:t>Fall 11: Feststellungsklage bei staatlicher Warnung im Internet vor einer Versammlung: „Lichter aus in Leipzig“ (Katrin Giere)</w:t>
        </w:r>
        <w:r w:rsidR="007537A8">
          <w:rPr>
            <w:noProof/>
            <w:webHidden/>
          </w:rPr>
          <w:tab/>
        </w:r>
        <w:r w:rsidR="007537A8">
          <w:rPr>
            <w:noProof/>
            <w:webHidden/>
          </w:rPr>
          <w:fldChar w:fldCharType="begin"/>
        </w:r>
        <w:r w:rsidR="007537A8">
          <w:rPr>
            <w:noProof/>
            <w:webHidden/>
          </w:rPr>
          <w:instrText xml:space="preserve"> PAGEREF _Toc22132785 \h </w:instrText>
        </w:r>
        <w:r w:rsidR="007537A8">
          <w:rPr>
            <w:noProof/>
            <w:webHidden/>
          </w:rPr>
        </w:r>
        <w:r w:rsidR="007537A8">
          <w:rPr>
            <w:noProof/>
            <w:webHidden/>
          </w:rPr>
          <w:fldChar w:fldCharType="separate"/>
        </w:r>
        <w:r w:rsidR="007537A8">
          <w:rPr>
            <w:noProof/>
            <w:webHidden/>
          </w:rPr>
          <w:t>158</w:t>
        </w:r>
        <w:r w:rsidR="007537A8">
          <w:rPr>
            <w:noProof/>
            <w:webHidden/>
          </w:rPr>
          <w:fldChar w:fldCharType="end"/>
        </w:r>
      </w:hyperlink>
    </w:p>
    <w:p w14:paraId="0FEE9171" w14:textId="27E19964" w:rsidR="007537A8" w:rsidRDefault="00091FED">
      <w:pPr>
        <w:pStyle w:val="Verzeichnis2"/>
        <w:tabs>
          <w:tab w:val="right" w:leader="dot" w:pos="7361"/>
        </w:tabs>
        <w:rPr>
          <w:rFonts w:eastAsiaTheme="minorEastAsia"/>
          <w:noProof/>
          <w:sz w:val="22"/>
          <w:szCs w:val="22"/>
          <w:lang w:eastAsia="de-DE"/>
        </w:rPr>
      </w:pPr>
      <w:hyperlink w:anchor="_Toc22132786" w:history="1">
        <w:r w:rsidR="007537A8" w:rsidRPr="008D35AA">
          <w:rPr>
            <w:rStyle w:val="Hyperlink"/>
            <w:noProof/>
          </w:rPr>
          <w:t>Fall 12: Nichtigkeitsfeststellungsklage bei fehlerhafter Gaststättenerlaubnis (Tobias Brings-Wiesen)</w:t>
        </w:r>
        <w:r w:rsidR="007537A8">
          <w:rPr>
            <w:noProof/>
            <w:webHidden/>
          </w:rPr>
          <w:tab/>
        </w:r>
        <w:r w:rsidR="007537A8">
          <w:rPr>
            <w:noProof/>
            <w:webHidden/>
          </w:rPr>
          <w:fldChar w:fldCharType="begin"/>
        </w:r>
        <w:r w:rsidR="007537A8">
          <w:rPr>
            <w:noProof/>
            <w:webHidden/>
          </w:rPr>
          <w:instrText xml:space="preserve"> PAGEREF _Toc22132786 \h </w:instrText>
        </w:r>
        <w:r w:rsidR="007537A8">
          <w:rPr>
            <w:noProof/>
            <w:webHidden/>
          </w:rPr>
        </w:r>
        <w:r w:rsidR="007537A8">
          <w:rPr>
            <w:noProof/>
            <w:webHidden/>
          </w:rPr>
          <w:fldChar w:fldCharType="separate"/>
        </w:r>
        <w:r w:rsidR="007537A8">
          <w:rPr>
            <w:noProof/>
            <w:webHidden/>
          </w:rPr>
          <w:t>171</w:t>
        </w:r>
        <w:r w:rsidR="007537A8">
          <w:rPr>
            <w:noProof/>
            <w:webHidden/>
          </w:rPr>
          <w:fldChar w:fldCharType="end"/>
        </w:r>
      </w:hyperlink>
    </w:p>
    <w:p w14:paraId="4E4E57C5" w14:textId="105894FC" w:rsidR="007537A8" w:rsidRDefault="00091FED">
      <w:pPr>
        <w:pStyle w:val="Verzeichnis1"/>
        <w:tabs>
          <w:tab w:val="right" w:leader="dot" w:pos="7361"/>
        </w:tabs>
        <w:rPr>
          <w:rFonts w:eastAsiaTheme="minorEastAsia"/>
          <w:b w:val="0"/>
          <w:noProof/>
          <w:sz w:val="22"/>
          <w:szCs w:val="22"/>
          <w:lang w:eastAsia="de-DE"/>
        </w:rPr>
      </w:pPr>
      <w:hyperlink w:anchor="_Toc22132787" w:history="1">
        <w:r w:rsidR="007537A8" w:rsidRPr="008D35AA">
          <w:rPr>
            <w:rStyle w:val="Hyperlink"/>
            <w:noProof/>
          </w:rPr>
          <w:t>§ 7 Übungsfall zur verwaltungsgerichtlichen Normenkontrolle</w:t>
        </w:r>
        <w:r w:rsidR="007537A8">
          <w:rPr>
            <w:noProof/>
            <w:webHidden/>
          </w:rPr>
          <w:tab/>
        </w:r>
        <w:r w:rsidR="007537A8">
          <w:rPr>
            <w:noProof/>
            <w:webHidden/>
          </w:rPr>
          <w:fldChar w:fldCharType="begin"/>
        </w:r>
        <w:r w:rsidR="007537A8">
          <w:rPr>
            <w:noProof/>
            <w:webHidden/>
          </w:rPr>
          <w:instrText xml:space="preserve"> PAGEREF _Toc22132787 \h </w:instrText>
        </w:r>
        <w:r w:rsidR="007537A8">
          <w:rPr>
            <w:noProof/>
            <w:webHidden/>
          </w:rPr>
        </w:r>
        <w:r w:rsidR="007537A8">
          <w:rPr>
            <w:noProof/>
            <w:webHidden/>
          </w:rPr>
          <w:fldChar w:fldCharType="separate"/>
        </w:r>
        <w:r w:rsidR="007537A8">
          <w:rPr>
            <w:noProof/>
            <w:webHidden/>
          </w:rPr>
          <w:t>195</w:t>
        </w:r>
        <w:r w:rsidR="007537A8">
          <w:rPr>
            <w:noProof/>
            <w:webHidden/>
          </w:rPr>
          <w:fldChar w:fldCharType="end"/>
        </w:r>
      </w:hyperlink>
    </w:p>
    <w:p w14:paraId="2E89F17E" w14:textId="3AFA11F8" w:rsidR="007537A8" w:rsidRDefault="00091FED">
      <w:pPr>
        <w:pStyle w:val="Verzeichnis2"/>
        <w:tabs>
          <w:tab w:val="right" w:leader="dot" w:pos="7361"/>
        </w:tabs>
        <w:rPr>
          <w:rFonts w:eastAsiaTheme="minorEastAsia"/>
          <w:noProof/>
          <w:sz w:val="22"/>
          <w:szCs w:val="22"/>
          <w:lang w:eastAsia="de-DE"/>
        </w:rPr>
      </w:pPr>
      <w:hyperlink w:anchor="_Toc22132788" w:history="1">
        <w:r w:rsidR="007537A8" w:rsidRPr="008D35AA">
          <w:rPr>
            <w:rStyle w:val="Hyperlink"/>
            <w:noProof/>
          </w:rPr>
          <w:t>Die Struktur der verwaltungsgerichtlichen Normenkontrolle (Nikolas Eisentraut)</w:t>
        </w:r>
        <w:r w:rsidR="007537A8">
          <w:rPr>
            <w:noProof/>
            <w:webHidden/>
          </w:rPr>
          <w:tab/>
        </w:r>
        <w:r w:rsidR="007537A8">
          <w:rPr>
            <w:noProof/>
            <w:webHidden/>
          </w:rPr>
          <w:fldChar w:fldCharType="begin"/>
        </w:r>
        <w:r w:rsidR="007537A8">
          <w:rPr>
            <w:noProof/>
            <w:webHidden/>
          </w:rPr>
          <w:instrText xml:space="preserve"> PAGEREF _Toc22132788 \h </w:instrText>
        </w:r>
        <w:r w:rsidR="007537A8">
          <w:rPr>
            <w:noProof/>
            <w:webHidden/>
          </w:rPr>
        </w:r>
        <w:r w:rsidR="007537A8">
          <w:rPr>
            <w:noProof/>
            <w:webHidden/>
          </w:rPr>
          <w:fldChar w:fldCharType="separate"/>
        </w:r>
        <w:r w:rsidR="007537A8">
          <w:rPr>
            <w:noProof/>
            <w:webHidden/>
          </w:rPr>
          <w:t>195</w:t>
        </w:r>
        <w:r w:rsidR="007537A8">
          <w:rPr>
            <w:noProof/>
            <w:webHidden/>
          </w:rPr>
          <w:fldChar w:fldCharType="end"/>
        </w:r>
      </w:hyperlink>
    </w:p>
    <w:p w14:paraId="7D0228D7" w14:textId="226AF6FD" w:rsidR="007537A8" w:rsidRDefault="00091FED">
      <w:pPr>
        <w:pStyle w:val="Verzeichnis2"/>
        <w:tabs>
          <w:tab w:val="right" w:leader="dot" w:pos="7361"/>
        </w:tabs>
        <w:rPr>
          <w:rFonts w:eastAsiaTheme="minorEastAsia"/>
          <w:noProof/>
          <w:sz w:val="22"/>
          <w:szCs w:val="22"/>
          <w:lang w:eastAsia="de-DE"/>
        </w:rPr>
      </w:pPr>
      <w:hyperlink w:anchor="_Toc22132789" w:history="1">
        <w:r w:rsidR="007537A8" w:rsidRPr="008D35AA">
          <w:rPr>
            <w:rStyle w:val="Hyperlink"/>
            <w:noProof/>
          </w:rPr>
          <w:t>Fall 13: Verwaltungsgerichtliche Normenkontrolle und Kommunalverfassungsstreit (Thomas Kienle)</w:t>
        </w:r>
        <w:r w:rsidR="007537A8">
          <w:rPr>
            <w:noProof/>
            <w:webHidden/>
          </w:rPr>
          <w:tab/>
        </w:r>
        <w:r w:rsidR="007537A8">
          <w:rPr>
            <w:noProof/>
            <w:webHidden/>
          </w:rPr>
          <w:fldChar w:fldCharType="begin"/>
        </w:r>
        <w:r w:rsidR="007537A8">
          <w:rPr>
            <w:noProof/>
            <w:webHidden/>
          </w:rPr>
          <w:instrText xml:space="preserve"> PAGEREF _Toc22132789 \h </w:instrText>
        </w:r>
        <w:r w:rsidR="007537A8">
          <w:rPr>
            <w:noProof/>
            <w:webHidden/>
          </w:rPr>
        </w:r>
        <w:r w:rsidR="007537A8">
          <w:rPr>
            <w:noProof/>
            <w:webHidden/>
          </w:rPr>
          <w:fldChar w:fldCharType="separate"/>
        </w:r>
        <w:r w:rsidR="007537A8">
          <w:rPr>
            <w:noProof/>
            <w:webHidden/>
          </w:rPr>
          <w:t>196</w:t>
        </w:r>
        <w:r w:rsidR="007537A8">
          <w:rPr>
            <w:noProof/>
            <w:webHidden/>
          </w:rPr>
          <w:fldChar w:fldCharType="end"/>
        </w:r>
      </w:hyperlink>
    </w:p>
    <w:p w14:paraId="56E5B78A" w14:textId="29789973" w:rsidR="007537A8" w:rsidRDefault="00091FED">
      <w:pPr>
        <w:pStyle w:val="Verzeichnis1"/>
        <w:tabs>
          <w:tab w:val="right" w:leader="dot" w:pos="7361"/>
        </w:tabs>
        <w:rPr>
          <w:rFonts w:eastAsiaTheme="minorEastAsia"/>
          <w:b w:val="0"/>
          <w:noProof/>
          <w:sz w:val="22"/>
          <w:szCs w:val="22"/>
          <w:lang w:eastAsia="de-DE"/>
        </w:rPr>
      </w:pPr>
      <w:hyperlink w:anchor="_Toc22132790" w:history="1">
        <w:r w:rsidR="007537A8" w:rsidRPr="008D35AA">
          <w:rPr>
            <w:rStyle w:val="Hyperlink"/>
            <w:noProof/>
          </w:rPr>
          <w:t>§ 8 Übungsfall zum Antrag nach § 80 V VwGO</w:t>
        </w:r>
        <w:r w:rsidR="007537A8">
          <w:rPr>
            <w:noProof/>
            <w:webHidden/>
          </w:rPr>
          <w:tab/>
        </w:r>
        <w:r w:rsidR="007537A8">
          <w:rPr>
            <w:noProof/>
            <w:webHidden/>
          </w:rPr>
          <w:fldChar w:fldCharType="begin"/>
        </w:r>
        <w:r w:rsidR="007537A8">
          <w:rPr>
            <w:noProof/>
            <w:webHidden/>
          </w:rPr>
          <w:instrText xml:space="preserve"> PAGEREF _Toc22132790 \h </w:instrText>
        </w:r>
        <w:r w:rsidR="007537A8">
          <w:rPr>
            <w:noProof/>
            <w:webHidden/>
          </w:rPr>
        </w:r>
        <w:r w:rsidR="007537A8">
          <w:rPr>
            <w:noProof/>
            <w:webHidden/>
          </w:rPr>
          <w:fldChar w:fldCharType="separate"/>
        </w:r>
        <w:r w:rsidR="007537A8">
          <w:rPr>
            <w:noProof/>
            <w:webHidden/>
          </w:rPr>
          <w:t>216</w:t>
        </w:r>
        <w:r w:rsidR="007537A8">
          <w:rPr>
            <w:noProof/>
            <w:webHidden/>
          </w:rPr>
          <w:fldChar w:fldCharType="end"/>
        </w:r>
      </w:hyperlink>
    </w:p>
    <w:p w14:paraId="45BF17A7" w14:textId="09B0D933" w:rsidR="007537A8" w:rsidRDefault="00091FED">
      <w:pPr>
        <w:pStyle w:val="Verzeichnis2"/>
        <w:tabs>
          <w:tab w:val="right" w:leader="dot" w:pos="7361"/>
        </w:tabs>
        <w:rPr>
          <w:rFonts w:eastAsiaTheme="minorEastAsia"/>
          <w:noProof/>
          <w:sz w:val="22"/>
          <w:szCs w:val="22"/>
          <w:lang w:eastAsia="de-DE"/>
        </w:rPr>
      </w:pPr>
      <w:hyperlink w:anchor="_Toc22132791" w:history="1">
        <w:r w:rsidR="007537A8" w:rsidRPr="008D35AA">
          <w:rPr>
            <w:rStyle w:val="Hyperlink"/>
            <w:noProof/>
          </w:rPr>
          <w:t>Die Struktur des Antrags nach § 80 V VwGO (Nikolas Eisentraut)</w:t>
        </w:r>
        <w:r w:rsidR="007537A8">
          <w:rPr>
            <w:noProof/>
            <w:webHidden/>
          </w:rPr>
          <w:tab/>
        </w:r>
        <w:r w:rsidR="007537A8">
          <w:rPr>
            <w:noProof/>
            <w:webHidden/>
          </w:rPr>
          <w:fldChar w:fldCharType="begin"/>
        </w:r>
        <w:r w:rsidR="007537A8">
          <w:rPr>
            <w:noProof/>
            <w:webHidden/>
          </w:rPr>
          <w:instrText xml:space="preserve"> PAGEREF _Toc22132791 \h </w:instrText>
        </w:r>
        <w:r w:rsidR="007537A8">
          <w:rPr>
            <w:noProof/>
            <w:webHidden/>
          </w:rPr>
        </w:r>
        <w:r w:rsidR="007537A8">
          <w:rPr>
            <w:noProof/>
            <w:webHidden/>
          </w:rPr>
          <w:fldChar w:fldCharType="separate"/>
        </w:r>
        <w:r w:rsidR="007537A8">
          <w:rPr>
            <w:noProof/>
            <w:webHidden/>
          </w:rPr>
          <w:t>216</w:t>
        </w:r>
        <w:r w:rsidR="007537A8">
          <w:rPr>
            <w:noProof/>
            <w:webHidden/>
          </w:rPr>
          <w:fldChar w:fldCharType="end"/>
        </w:r>
      </w:hyperlink>
    </w:p>
    <w:p w14:paraId="4EFB386F" w14:textId="16E37306" w:rsidR="007537A8" w:rsidRDefault="00091FED">
      <w:pPr>
        <w:pStyle w:val="Verzeichnis2"/>
        <w:tabs>
          <w:tab w:val="right" w:leader="dot" w:pos="7361"/>
        </w:tabs>
        <w:rPr>
          <w:rFonts w:eastAsiaTheme="minorEastAsia"/>
          <w:noProof/>
          <w:sz w:val="22"/>
          <w:szCs w:val="22"/>
          <w:lang w:eastAsia="de-DE"/>
        </w:rPr>
      </w:pPr>
      <w:hyperlink w:anchor="_Toc22132792" w:history="1">
        <w:r w:rsidR="007537A8" w:rsidRPr="008D35AA">
          <w:rPr>
            <w:rStyle w:val="Hyperlink"/>
            <w:noProof/>
          </w:rPr>
          <w:t>Fall 14: Antrag nach § 80 V VwGO bei einer Versammlung unter Auflagen (Hendrik Prinz)</w:t>
        </w:r>
        <w:r w:rsidR="007537A8">
          <w:rPr>
            <w:noProof/>
            <w:webHidden/>
          </w:rPr>
          <w:tab/>
        </w:r>
        <w:r w:rsidR="007537A8">
          <w:rPr>
            <w:noProof/>
            <w:webHidden/>
          </w:rPr>
          <w:fldChar w:fldCharType="begin"/>
        </w:r>
        <w:r w:rsidR="007537A8">
          <w:rPr>
            <w:noProof/>
            <w:webHidden/>
          </w:rPr>
          <w:instrText xml:space="preserve"> PAGEREF _Toc22132792 \h </w:instrText>
        </w:r>
        <w:r w:rsidR="007537A8">
          <w:rPr>
            <w:noProof/>
            <w:webHidden/>
          </w:rPr>
        </w:r>
        <w:r w:rsidR="007537A8">
          <w:rPr>
            <w:noProof/>
            <w:webHidden/>
          </w:rPr>
          <w:fldChar w:fldCharType="separate"/>
        </w:r>
        <w:r w:rsidR="007537A8">
          <w:rPr>
            <w:noProof/>
            <w:webHidden/>
          </w:rPr>
          <w:t>217</w:t>
        </w:r>
        <w:r w:rsidR="007537A8">
          <w:rPr>
            <w:noProof/>
            <w:webHidden/>
          </w:rPr>
          <w:fldChar w:fldCharType="end"/>
        </w:r>
      </w:hyperlink>
    </w:p>
    <w:p w14:paraId="16B0E134" w14:textId="066E4244" w:rsidR="007537A8" w:rsidRDefault="00091FED">
      <w:pPr>
        <w:pStyle w:val="Verzeichnis1"/>
        <w:tabs>
          <w:tab w:val="right" w:leader="dot" w:pos="7361"/>
        </w:tabs>
        <w:rPr>
          <w:rFonts w:eastAsiaTheme="minorEastAsia"/>
          <w:b w:val="0"/>
          <w:noProof/>
          <w:sz w:val="22"/>
          <w:szCs w:val="22"/>
          <w:lang w:eastAsia="de-DE"/>
        </w:rPr>
      </w:pPr>
      <w:hyperlink w:anchor="_Toc22132793" w:history="1">
        <w:r w:rsidR="007537A8" w:rsidRPr="008D35AA">
          <w:rPr>
            <w:rStyle w:val="Hyperlink"/>
            <w:noProof/>
          </w:rPr>
          <w:t>§ 9 Übungsfall zum Antrag nach § 123 VwGO</w:t>
        </w:r>
        <w:r w:rsidR="007537A8">
          <w:rPr>
            <w:noProof/>
            <w:webHidden/>
          </w:rPr>
          <w:tab/>
        </w:r>
        <w:r w:rsidR="007537A8">
          <w:rPr>
            <w:noProof/>
            <w:webHidden/>
          </w:rPr>
          <w:fldChar w:fldCharType="begin"/>
        </w:r>
        <w:r w:rsidR="007537A8">
          <w:rPr>
            <w:noProof/>
            <w:webHidden/>
          </w:rPr>
          <w:instrText xml:space="preserve"> PAGEREF _Toc22132793 \h </w:instrText>
        </w:r>
        <w:r w:rsidR="007537A8">
          <w:rPr>
            <w:noProof/>
            <w:webHidden/>
          </w:rPr>
        </w:r>
        <w:r w:rsidR="007537A8">
          <w:rPr>
            <w:noProof/>
            <w:webHidden/>
          </w:rPr>
          <w:fldChar w:fldCharType="separate"/>
        </w:r>
        <w:r w:rsidR="007537A8">
          <w:rPr>
            <w:noProof/>
            <w:webHidden/>
          </w:rPr>
          <w:t>232</w:t>
        </w:r>
        <w:r w:rsidR="007537A8">
          <w:rPr>
            <w:noProof/>
            <w:webHidden/>
          </w:rPr>
          <w:fldChar w:fldCharType="end"/>
        </w:r>
      </w:hyperlink>
    </w:p>
    <w:p w14:paraId="1ABC4A6E" w14:textId="55E4DF3F" w:rsidR="007537A8" w:rsidRDefault="00091FED">
      <w:pPr>
        <w:pStyle w:val="Verzeichnis2"/>
        <w:tabs>
          <w:tab w:val="right" w:leader="dot" w:pos="7361"/>
        </w:tabs>
        <w:rPr>
          <w:rFonts w:eastAsiaTheme="minorEastAsia"/>
          <w:noProof/>
          <w:sz w:val="22"/>
          <w:szCs w:val="22"/>
          <w:lang w:eastAsia="de-DE"/>
        </w:rPr>
      </w:pPr>
      <w:hyperlink w:anchor="_Toc22132794" w:history="1">
        <w:r w:rsidR="007537A8" w:rsidRPr="008D35AA">
          <w:rPr>
            <w:rStyle w:val="Hyperlink"/>
            <w:noProof/>
          </w:rPr>
          <w:t>Die Struktur des Antrags nach § 123 VwGO (Nikolas Eisentraut)</w:t>
        </w:r>
        <w:r w:rsidR="007537A8">
          <w:rPr>
            <w:noProof/>
            <w:webHidden/>
          </w:rPr>
          <w:tab/>
        </w:r>
        <w:r w:rsidR="007537A8">
          <w:rPr>
            <w:noProof/>
            <w:webHidden/>
          </w:rPr>
          <w:fldChar w:fldCharType="begin"/>
        </w:r>
        <w:r w:rsidR="007537A8">
          <w:rPr>
            <w:noProof/>
            <w:webHidden/>
          </w:rPr>
          <w:instrText xml:space="preserve"> PAGEREF _Toc22132794 \h </w:instrText>
        </w:r>
        <w:r w:rsidR="007537A8">
          <w:rPr>
            <w:noProof/>
            <w:webHidden/>
          </w:rPr>
        </w:r>
        <w:r w:rsidR="007537A8">
          <w:rPr>
            <w:noProof/>
            <w:webHidden/>
          </w:rPr>
          <w:fldChar w:fldCharType="separate"/>
        </w:r>
        <w:r w:rsidR="007537A8">
          <w:rPr>
            <w:noProof/>
            <w:webHidden/>
          </w:rPr>
          <w:t>232</w:t>
        </w:r>
        <w:r w:rsidR="007537A8">
          <w:rPr>
            <w:noProof/>
            <w:webHidden/>
          </w:rPr>
          <w:fldChar w:fldCharType="end"/>
        </w:r>
      </w:hyperlink>
    </w:p>
    <w:p w14:paraId="44801CD3" w14:textId="74E01070" w:rsidR="007537A8" w:rsidRDefault="00091FED">
      <w:pPr>
        <w:pStyle w:val="Verzeichnis2"/>
        <w:tabs>
          <w:tab w:val="right" w:leader="dot" w:pos="7361"/>
        </w:tabs>
        <w:rPr>
          <w:rFonts w:eastAsiaTheme="minorEastAsia"/>
          <w:noProof/>
          <w:sz w:val="22"/>
          <w:szCs w:val="22"/>
          <w:lang w:eastAsia="de-DE"/>
        </w:rPr>
      </w:pPr>
      <w:hyperlink w:anchor="_Toc22132795" w:history="1">
        <w:r w:rsidR="007537A8" w:rsidRPr="008D35AA">
          <w:rPr>
            <w:rStyle w:val="Hyperlink"/>
            <w:noProof/>
          </w:rPr>
          <w:t>Fall 15: Antrag nach § 123 VwGO auf Zulassung zu einer Kindertagesstätte: „Ärger mit den Naseweisen“ (Alexander Brade)</w:t>
        </w:r>
        <w:r w:rsidR="007537A8">
          <w:rPr>
            <w:noProof/>
            <w:webHidden/>
          </w:rPr>
          <w:tab/>
        </w:r>
        <w:r w:rsidR="007537A8">
          <w:rPr>
            <w:noProof/>
            <w:webHidden/>
          </w:rPr>
          <w:fldChar w:fldCharType="begin"/>
        </w:r>
        <w:r w:rsidR="007537A8">
          <w:rPr>
            <w:noProof/>
            <w:webHidden/>
          </w:rPr>
          <w:instrText xml:space="preserve"> PAGEREF _Toc22132795 \h </w:instrText>
        </w:r>
        <w:r w:rsidR="007537A8">
          <w:rPr>
            <w:noProof/>
            <w:webHidden/>
          </w:rPr>
        </w:r>
        <w:r w:rsidR="007537A8">
          <w:rPr>
            <w:noProof/>
            <w:webHidden/>
          </w:rPr>
          <w:fldChar w:fldCharType="separate"/>
        </w:r>
        <w:r w:rsidR="007537A8">
          <w:rPr>
            <w:noProof/>
            <w:webHidden/>
          </w:rPr>
          <w:t>233</w:t>
        </w:r>
        <w:r w:rsidR="007537A8">
          <w:rPr>
            <w:noProof/>
            <w:webHidden/>
          </w:rPr>
          <w:fldChar w:fldCharType="end"/>
        </w:r>
      </w:hyperlink>
    </w:p>
    <w:p w14:paraId="01DEB3B5" w14:textId="4322280E" w:rsidR="007537A8" w:rsidRDefault="00091FED">
      <w:pPr>
        <w:pStyle w:val="Verzeichnis1"/>
        <w:tabs>
          <w:tab w:val="right" w:leader="dot" w:pos="7361"/>
        </w:tabs>
        <w:rPr>
          <w:rFonts w:eastAsiaTheme="minorEastAsia"/>
          <w:b w:val="0"/>
          <w:noProof/>
          <w:sz w:val="22"/>
          <w:szCs w:val="22"/>
          <w:lang w:eastAsia="de-DE"/>
        </w:rPr>
      </w:pPr>
      <w:hyperlink w:anchor="_Toc22132796" w:history="1">
        <w:r w:rsidR="007537A8" w:rsidRPr="008D35AA">
          <w:rPr>
            <w:rStyle w:val="Hyperlink"/>
            <w:noProof/>
          </w:rPr>
          <w:t>§ 10 Übungsfall zum Recht der öffentlichen Ersatzleistungen</w:t>
        </w:r>
        <w:r w:rsidR="007537A8">
          <w:rPr>
            <w:noProof/>
            <w:webHidden/>
          </w:rPr>
          <w:tab/>
        </w:r>
        <w:r w:rsidR="007537A8">
          <w:rPr>
            <w:noProof/>
            <w:webHidden/>
          </w:rPr>
          <w:fldChar w:fldCharType="begin"/>
        </w:r>
        <w:r w:rsidR="007537A8">
          <w:rPr>
            <w:noProof/>
            <w:webHidden/>
          </w:rPr>
          <w:instrText xml:space="preserve"> PAGEREF _Toc22132796 \h </w:instrText>
        </w:r>
        <w:r w:rsidR="007537A8">
          <w:rPr>
            <w:noProof/>
            <w:webHidden/>
          </w:rPr>
        </w:r>
        <w:r w:rsidR="007537A8">
          <w:rPr>
            <w:noProof/>
            <w:webHidden/>
          </w:rPr>
          <w:fldChar w:fldCharType="separate"/>
        </w:r>
        <w:r w:rsidR="007537A8">
          <w:rPr>
            <w:noProof/>
            <w:webHidden/>
          </w:rPr>
          <w:t>246</w:t>
        </w:r>
        <w:r w:rsidR="007537A8">
          <w:rPr>
            <w:noProof/>
            <w:webHidden/>
          </w:rPr>
          <w:fldChar w:fldCharType="end"/>
        </w:r>
      </w:hyperlink>
    </w:p>
    <w:p w14:paraId="57A0CD31" w14:textId="73EA4144" w:rsidR="007537A8" w:rsidRDefault="00091FED">
      <w:pPr>
        <w:pStyle w:val="Verzeichnis2"/>
        <w:tabs>
          <w:tab w:val="right" w:leader="dot" w:pos="7361"/>
        </w:tabs>
        <w:rPr>
          <w:rFonts w:eastAsiaTheme="minorEastAsia"/>
          <w:noProof/>
          <w:sz w:val="22"/>
          <w:szCs w:val="22"/>
          <w:lang w:eastAsia="de-DE"/>
        </w:rPr>
      </w:pPr>
      <w:hyperlink w:anchor="_Toc22132797" w:history="1">
        <w:r w:rsidR="007537A8" w:rsidRPr="008D35AA">
          <w:rPr>
            <w:rStyle w:val="Hyperlink"/>
            <w:noProof/>
          </w:rPr>
          <w:t>Fall 16: Staatshaftung für unzureichende Badeaufsicht (Jana Himstedt)</w:t>
        </w:r>
        <w:r w:rsidR="007537A8">
          <w:rPr>
            <w:noProof/>
            <w:webHidden/>
          </w:rPr>
          <w:tab/>
        </w:r>
        <w:r w:rsidR="007537A8">
          <w:rPr>
            <w:noProof/>
            <w:webHidden/>
          </w:rPr>
          <w:fldChar w:fldCharType="begin"/>
        </w:r>
        <w:r w:rsidR="007537A8">
          <w:rPr>
            <w:noProof/>
            <w:webHidden/>
          </w:rPr>
          <w:instrText xml:space="preserve"> PAGEREF _Toc22132797 \h </w:instrText>
        </w:r>
        <w:r w:rsidR="007537A8">
          <w:rPr>
            <w:noProof/>
            <w:webHidden/>
          </w:rPr>
        </w:r>
        <w:r w:rsidR="007537A8">
          <w:rPr>
            <w:noProof/>
            <w:webHidden/>
          </w:rPr>
          <w:fldChar w:fldCharType="separate"/>
        </w:r>
        <w:r w:rsidR="007537A8">
          <w:rPr>
            <w:noProof/>
            <w:webHidden/>
          </w:rPr>
          <w:t>246</w:t>
        </w:r>
        <w:r w:rsidR="007537A8">
          <w:rPr>
            <w:noProof/>
            <w:webHidden/>
          </w:rPr>
          <w:fldChar w:fldCharType="end"/>
        </w:r>
      </w:hyperlink>
    </w:p>
    <w:p w14:paraId="5B466B3F" w14:textId="4EECB19C" w:rsidR="003E4818" w:rsidRDefault="003E4818" w:rsidP="003E4818">
      <w:r>
        <w:rPr>
          <w:rFonts w:eastAsiaTheme="minorHAnsi"/>
          <w:b/>
          <w:sz w:val="24"/>
          <w:szCs w:val="24"/>
        </w:rPr>
        <w:fldChar w:fldCharType="end"/>
      </w:r>
      <w:r>
        <w:br w:type="page"/>
      </w:r>
    </w:p>
    <w:p w14:paraId="304BDE9F" w14:textId="022E8842" w:rsidR="00623E0C" w:rsidRDefault="008869D4" w:rsidP="00586556">
      <w:pPr>
        <w:pStyle w:val="berschrift1"/>
      </w:pPr>
      <w:bookmarkStart w:id="6" w:name="_Toc22132756"/>
      <w:r>
        <w:lastRenderedPageBreak/>
        <w:t xml:space="preserve">Die </w:t>
      </w:r>
      <w:r w:rsidR="00621BEB">
        <w:t>offene Lizenz</w:t>
      </w:r>
      <w:r>
        <w:t xml:space="preserve">: Was darf ich mit dem </w:t>
      </w:r>
      <w:r w:rsidR="006E0653">
        <w:t>Fallrepetitorium</w:t>
      </w:r>
      <w:r>
        <w:t xml:space="preserve"> machen?</w:t>
      </w:r>
      <w:bookmarkEnd w:id="5"/>
      <w:bookmarkEnd w:id="6"/>
    </w:p>
    <w:p w14:paraId="6E2969C0" w14:textId="45CAE9E7" w:rsidR="00B43FD9" w:rsidRPr="00B43FD9" w:rsidRDefault="00B43FD9" w:rsidP="00B43FD9">
      <w:pPr>
        <w:pStyle w:val="Autorin"/>
      </w:pPr>
      <w:r>
        <w:t>Nikolas Eisentraut</w:t>
      </w:r>
    </w:p>
    <w:p w14:paraId="7389CD13" w14:textId="613CD71F" w:rsidR="00AC7C15" w:rsidRDefault="00621BEB" w:rsidP="00AC7C15">
      <w:r>
        <w:t xml:space="preserve">Dieses </w:t>
      </w:r>
      <w:r w:rsidR="003E7127">
        <w:t>Fallrepetitorium</w:t>
      </w:r>
      <w:r>
        <w:t xml:space="preserve"> ist unter der </w:t>
      </w:r>
      <w:r w:rsidRPr="005C1D3C">
        <w:rPr>
          <w:b/>
        </w:rPr>
        <w:t xml:space="preserve">Creative-Commons-Lizenz BY-SA 4.0 </w:t>
      </w:r>
      <w:r w:rsidR="008C6FCA">
        <w:t>offen</w:t>
      </w:r>
      <w:r>
        <w:t xml:space="preserve"> lizenziert worden.</w:t>
      </w:r>
      <w:r w:rsidR="00AC7C15">
        <w:t xml:space="preserve"> Die </w:t>
      </w:r>
      <w:r w:rsidR="008C6FCA">
        <w:t xml:space="preserve">offene </w:t>
      </w:r>
      <w:r w:rsidR="00AC7C15">
        <w:t xml:space="preserve">Lizenz ermöglicht es, dass die </w:t>
      </w:r>
      <w:r w:rsidR="006E0653">
        <w:t xml:space="preserve">Fälle </w:t>
      </w:r>
      <w:r w:rsidR="00AC7C15">
        <w:t xml:space="preserve">als Grundlage für viele weitere </w:t>
      </w:r>
      <w:r w:rsidR="00051075">
        <w:t>Open-Educational-Resources-</w:t>
      </w:r>
      <w:r w:rsidR="00AC7C15">
        <w:t>Projekte dienen können. Professor*in</w:t>
      </w:r>
      <w:r w:rsidR="005C1D3C">
        <w:t xml:space="preserve">nen, Anwendungskursleiter*innen, </w:t>
      </w:r>
      <w:r w:rsidR="00AC7C15">
        <w:t>Studierende</w:t>
      </w:r>
      <w:r w:rsidR="005C1D3C">
        <w:t>, aber auch alle darüber hinaus Interessierten</w:t>
      </w:r>
      <w:r w:rsidR="00AC7C15">
        <w:t xml:space="preserve"> sind herzlich eingeladen</w:t>
      </w:r>
      <w:r w:rsidR="006E0653">
        <w:t>, die Fälle</w:t>
      </w:r>
      <w:r w:rsidR="00AC7C15">
        <w:t xml:space="preserve"> zu ihren Zwecken zu nutzen, zu bearbeiten und weiterzuentwickeln.</w:t>
      </w:r>
    </w:p>
    <w:p w14:paraId="6391C612" w14:textId="72059CCD" w:rsidR="00621BEB" w:rsidRDefault="005C1D3C" w:rsidP="00621BEB">
      <w:r>
        <w:t xml:space="preserve">Was bedeutet die </w:t>
      </w:r>
      <w:r w:rsidR="00AC7C15">
        <w:t>Lizenz im Einzelnen</w:t>
      </w:r>
      <w:r>
        <w:t>?</w:t>
      </w:r>
      <w:r w:rsidR="00621BEB">
        <w:t xml:space="preserve"> </w:t>
      </w:r>
    </w:p>
    <w:p w14:paraId="22568CCB" w14:textId="69EEFE7F" w:rsidR="008C6FCA" w:rsidRDefault="006E0653" w:rsidP="005A16FB">
      <w:pPr>
        <w:pStyle w:val="Listenabsatz"/>
        <w:numPr>
          <w:ilvl w:val="0"/>
          <w:numId w:val="3"/>
        </w:numPr>
      </w:pPr>
      <w:r>
        <w:t>Die Fälle dürfen</w:t>
      </w:r>
      <w:r w:rsidR="00771E9E">
        <w:t xml:space="preserve"> </w:t>
      </w:r>
      <w:r w:rsidR="00621BEB" w:rsidRPr="00937CC9">
        <w:rPr>
          <w:b/>
        </w:rPr>
        <w:t>in jedwedem Format oder Medium vervielfältig</w:t>
      </w:r>
      <w:r w:rsidR="00771E9E" w:rsidRPr="00937CC9">
        <w:rPr>
          <w:b/>
        </w:rPr>
        <w:t>t und weiterverbreitet</w:t>
      </w:r>
      <w:r w:rsidR="00771E9E">
        <w:t xml:space="preserve"> werden!</w:t>
      </w:r>
      <w:r w:rsidR="008C6FCA">
        <w:t xml:space="preserve"> </w:t>
      </w:r>
    </w:p>
    <w:p w14:paraId="10A64294" w14:textId="77777777" w:rsidR="000D2451" w:rsidRDefault="000D2451" w:rsidP="000D2451">
      <w:pPr>
        <w:pStyle w:val="Listenabsatz"/>
      </w:pPr>
    </w:p>
    <w:p w14:paraId="17756F4D" w14:textId="0CEE8AAE" w:rsidR="00937CC9" w:rsidRDefault="00937CC9" w:rsidP="008C6FCA">
      <w:pPr>
        <w:pStyle w:val="Listenabsatz"/>
        <w:rPr>
          <w:i/>
        </w:rPr>
      </w:pPr>
      <w:r w:rsidRPr="008C6FCA">
        <w:rPr>
          <w:i/>
        </w:rPr>
        <w:t xml:space="preserve">Wenn ein Professor, </w:t>
      </w:r>
      <w:r w:rsidR="00F157AC" w:rsidRPr="008C6FCA">
        <w:rPr>
          <w:i/>
        </w:rPr>
        <w:t xml:space="preserve">ein*e Anwendungskursleiter*in </w:t>
      </w:r>
      <w:r w:rsidRPr="008C6FCA">
        <w:rPr>
          <w:i/>
        </w:rPr>
        <w:t xml:space="preserve">oder </w:t>
      </w:r>
      <w:r w:rsidR="00F157AC" w:rsidRPr="008C6FCA">
        <w:rPr>
          <w:i/>
        </w:rPr>
        <w:t xml:space="preserve">ein </w:t>
      </w:r>
      <w:r w:rsidRPr="008C6FCA">
        <w:rPr>
          <w:i/>
        </w:rPr>
        <w:t xml:space="preserve">privater Repetitor also findet, </w:t>
      </w:r>
      <w:r w:rsidR="006E0653">
        <w:rPr>
          <w:i/>
        </w:rPr>
        <w:t>einer oder mehrere der Fälle seien</w:t>
      </w:r>
      <w:r w:rsidRPr="008C6FCA">
        <w:rPr>
          <w:i/>
        </w:rPr>
        <w:t xml:space="preserve"> so gut, dass er </w:t>
      </w:r>
      <w:r w:rsidR="006E0653">
        <w:rPr>
          <w:i/>
        </w:rPr>
        <w:t>sie allen</w:t>
      </w:r>
      <w:r w:rsidRPr="008C6FCA">
        <w:rPr>
          <w:i/>
        </w:rPr>
        <w:t xml:space="preserve"> Studierenden zur Verfügung stellen</w:t>
      </w:r>
      <w:r w:rsidR="006E0653">
        <w:rPr>
          <w:i/>
        </w:rPr>
        <w:t xml:space="preserve"> möchte: Nur zu! Jeder kann die Fälle </w:t>
      </w:r>
      <w:r w:rsidRPr="008C6FCA">
        <w:rPr>
          <w:i/>
        </w:rPr>
        <w:t>frei verbreiten und allen Interessierten zur Verfügung stellen.</w:t>
      </w:r>
    </w:p>
    <w:p w14:paraId="364ADF66" w14:textId="77777777" w:rsidR="000D2451" w:rsidRDefault="000D2451" w:rsidP="008C6FCA">
      <w:pPr>
        <w:pStyle w:val="Listenabsatz"/>
      </w:pPr>
    </w:p>
    <w:p w14:paraId="568DA52B" w14:textId="7C75FFC4" w:rsidR="008C6FCA" w:rsidRDefault="006E0653" w:rsidP="005A16FB">
      <w:pPr>
        <w:pStyle w:val="Listenabsatz"/>
        <w:numPr>
          <w:ilvl w:val="0"/>
          <w:numId w:val="3"/>
        </w:numPr>
      </w:pPr>
      <w:r>
        <w:t>Die Fälle dürfen</w:t>
      </w:r>
      <w:r w:rsidR="00771E9E">
        <w:t xml:space="preserve"> </w:t>
      </w:r>
      <w:r w:rsidR="00771E9E" w:rsidRPr="00937CC9">
        <w:rPr>
          <w:b/>
        </w:rPr>
        <w:t>geremixt</w:t>
      </w:r>
      <w:r w:rsidR="00C11D60" w:rsidRPr="00937CC9">
        <w:rPr>
          <w:b/>
        </w:rPr>
        <w:t xml:space="preserve"> und</w:t>
      </w:r>
      <w:r w:rsidR="00621BEB" w:rsidRPr="00937CC9">
        <w:rPr>
          <w:b/>
        </w:rPr>
        <w:t xml:space="preserve"> veränder</w:t>
      </w:r>
      <w:r w:rsidR="00771E9E" w:rsidRPr="00937CC9">
        <w:rPr>
          <w:b/>
        </w:rPr>
        <w:t xml:space="preserve">t </w:t>
      </w:r>
      <w:r w:rsidR="00C11D60" w:rsidRPr="00937CC9">
        <w:rPr>
          <w:b/>
        </w:rPr>
        <w:t>werden</w:t>
      </w:r>
      <w:r w:rsidR="00C11D60">
        <w:t xml:space="preserve"> </w:t>
      </w:r>
      <w:r w:rsidR="00771E9E">
        <w:t xml:space="preserve">und </w:t>
      </w:r>
      <w:r>
        <w:t>es darf darauf</w:t>
      </w:r>
      <w:r w:rsidR="00C11D60">
        <w:t xml:space="preserve"> </w:t>
      </w:r>
      <w:r w:rsidR="00771E9E">
        <w:t>aufgebaut werden</w:t>
      </w:r>
      <w:r w:rsidR="00621BEB" w:rsidRPr="00621BEB">
        <w:t>, und zwar für beliebige Zwecke, sogar kommerziell!</w:t>
      </w:r>
    </w:p>
    <w:p w14:paraId="55E1FC43" w14:textId="77777777" w:rsidR="000D2451" w:rsidRDefault="000D2451" w:rsidP="000D2451">
      <w:pPr>
        <w:pStyle w:val="Listenabsatz"/>
      </w:pPr>
    </w:p>
    <w:p w14:paraId="222680A4" w14:textId="613C56E9" w:rsidR="00937CC9" w:rsidRDefault="00937CC9" w:rsidP="008C6FCA">
      <w:pPr>
        <w:pStyle w:val="Listenabsatz"/>
      </w:pPr>
      <w:r w:rsidRPr="008C6FCA">
        <w:rPr>
          <w:i/>
        </w:rPr>
        <w:t xml:space="preserve">Wenn ein Professor, </w:t>
      </w:r>
      <w:r w:rsidR="00F157AC" w:rsidRPr="008C6FCA">
        <w:rPr>
          <w:i/>
        </w:rPr>
        <w:t xml:space="preserve">ein*e Anwendungskursleiter*in </w:t>
      </w:r>
      <w:r w:rsidRPr="008C6FCA">
        <w:rPr>
          <w:i/>
        </w:rPr>
        <w:t xml:space="preserve">oder </w:t>
      </w:r>
      <w:r w:rsidR="000D2451">
        <w:rPr>
          <w:i/>
        </w:rPr>
        <w:t xml:space="preserve">ein </w:t>
      </w:r>
      <w:r w:rsidRPr="008C6FCA">
        <w:rPr>
          <w:i/>
        </w:rPr>
        <w:t>privater Repetitor also findet,</w:t>
      </w:r>
      <w:r w:rsidR="00A8236D">
        <w:rPr>
          <w:i/>
        </w:rPr>
        <w:t xml:space="preserve"> </w:t>
      </w:r>
      <w:r w:rsidR="006E0653">
        <w:rPr>
          <w:i/>
        </w:rPr>
        <w:t>ein oder mehrere Fälle</w:t>
      </w:r>
      <w:r w:rsidRPr="008C6FCA">
        <w:rPr>
          <w:i/>
        </w:rPr>
        <w:t xml:space="preserve"> eigneten sich perfekt für eine eigene Falllösung, ein Skript oder eigene wissenschaftliche Ausführungen, kann er Auszüge daraus einfach verarbeiten und sie auch um eigene Ausführungen ergänzen.</w:t>
      </w:r>
    </w:p>
    <w:p w14:paraId="1666138D" w14:textId="3E807FC9" w:rsidR="00621BEB" w:rsidRDefault="00621BEB" w:rsidP="00621BEB">
      <w:r>
        <w:t xml:space="preserve">Diese Rechte stehen </w:t>
      </w:r>
      <w:r w:rsidR="00C11D60">
        <w:t xml:space="preserve">jedoch nur </w:t>
      </w:r>
      <w:r>
        <w:t>un</w:t>
      </w:r>
      <w:r w:rsidR="00771E9E">
        <w:t xml:space="preserve">ter </w:t>
      </w:r>
      <w:r w:rsidR="00771E9E" w:rsidRPr="00937CC9">
        <w:rPr>
          <w:b/>
        </w:rPr>
        <w:t xml:space="preserve">zwei Einschränkungen </w:t>
      </w:r>
      <w:r w:rsidR="00771E9E">
        <w:t>offen:</w:t>
      </w:r>
    </w:p>
    <w:p w14:paraId="2758FFFD" w14:textId="52F71EE0" w:rsidR="008C6FCA" w:rsidRDefault="00771E9E" w:rsidP="005A16FB">
      <w:pPr>
        <w:pStyle w:val="Listenabsatz"/>
        <w:numPr>
          <w:ilvl w:val="0"/>
          <w:numId w:val="3"/>
        </w:numPr>
      </w:pPr>
      <w:r>
        <w:t xml:space="preserve">Es </w:t>
      </w:r>
      <w:r w:rsidR="00621BEB" w:rsidRPr="00621BEB">
        <w:t>müs</w:t>
      </w:r>
      <w:r>
        <w:t>sen</w:t>
      </w:r>
      <w:r w:rsidR="00621BEB" w:rsidRPr="00621BEB">
        <w:t xml:space="preserve"> </w:t>
      </w:r>
      <w:r w:rsidR="00621BEB" w:rsidRPr="00D941A4">
        <w:rPr>
          <w:b/>
        </w:rPr>
        <w:t>angemessene Urheber- und Rechteangaben</w:t>
      </w:r>
      <w:r w:rsidR="00621BEB" w:rsidRPr="00621BEB">
        <w:t xml:space="preserve"> </w:t>
      </w:r>
      <w:r>
        <w:t>gemacht</w:t>
      </w:r>
      <w:r w:rsidR="00363557">
        <w:t xml:space="preserve">, </w:t>
      </w:r>
      <w:r w:rsidR="00621BEB" w:rsidRPr="00621BEB">
        <w:t>einen Link zur Lizenz bei</w:t>
      </w:r>
      <w:r>
        <w:t>ge</w:t>
      </w:r>
      <w:r w:rsidR="00621BEB" w:rsidRPr="00621BEB">
        <w:t>füg</w:t>
      </w:r>
      <w:r>
        <w:t>t</w:t>
      </w:r>
      <w:r w:rsidR="00621BEB" w:rsidRPr="00621BEB">
        <w:t xml:space="preserve"> und angeben</w:t>
      </w:r>
      <w:r>
        <w:t xml:space="preserve"> werden</w:t>
      </w:r>
      <w:r w:rsidR="00621BEB" w:rsidRPr="00621BEB">
        <w:t>, ob</w:t>
      </w:r>
      <w:r w:rsidR="00621BEB">
        <w:t xml:space="preserve"> Änderungen vorgenommen wurden.</w:t>
      </w:r>
    </w:p>
    <w:p w14:paraId="6D685D20" w14:textId="77777777" w:rsidR="000D2451" w:rsidRDefault="000D2451" w:rsidP="000D2451">
      <w:pPr>
        <w:pStyle w:val="Listenabsatz"/>
      </w:pPr>
    </w:p>
    <w:p w14:paraId="144C55C4" w14:textId="72861288" w:rsidR="00937CC9" w:rsidRDefault="00937CC9" w:rsidP="008C6FCA">
      <w:pPr>
        <w:pStyle w:val="Listenabsatz"/>
        <w:rPr>
          <w:i/>
        </w:rPr>
      </w:pPr>
      <w:r w:rsidRPr="008C6FCA">
        <w:rPr>
          <w:i/>
        </w:rPr>
        <w:t>Professoren, Anwendungskursleiter*in</w:t>
      </w:r>
      <w:r w:rsidR="000D2451">
        <w:rPr>
          <w:i/>
        </w:rPr>
        <w:t>nen</w:t>
      </w:r>
      <w:r w:rsidRPr="008C6FCA">
        <w:rPr>
          <w:i/>
        </w:rPr>
        <w:t xml:space="preserve"> oder Repetitor</w:t>
      </w:r>
      <w:r w:rsidR="00F157AC" w:rsidRPr="008C6FCA">
        <w:rPr>
          <w:i/>
        </w:rPr>
        <w:t xml:space="preserve">en </w:t>
      </w:r>
      <w:r w:rsidR="000D2451">
        <w:rPr>
          <w:i/>
        </w:rPr>
        <w:t xml:space="preserve">müssen </w:t>
      </w:r>
      <w:r w:rsidRPr="008C6FCA">
        <w:rPr>
          <w:i/>
        </w:rPr>
        <w:t xml:space="preserve">also darauf hinweisen, dass </w:t>
      </w:r>
      <w:r w:rsidR="00F157AC" w:rsidRPr="008C6FCA">
        <w:rPr>
          <w:i/>
        </w:rPr>
        <w:t>ihre</w:t>
      </w:r>
      <w:r w:rsidRPr="008C6FCA">
        <w:rPr>
          <w:i/>
        </w:rPr>
        <w:t xml:space="preserve"> </w:t>
      </w:r>
      <w:r w:rsidR="00860A34" w:rsidRPr="008C6FCA">
        <w:rPr>
          <w:i/>
        </w:rPr>
        <w:t>Falllösung auf</w:t>
      </w:r>
      <w:r w:rsidR="006E0653">
        <w:rPr>
          <w:i/>
        </w:rPr>
        <w:t xml:space="preserve"> der Lösung im Fallrepetitorium</w:t>
      </w:r>
      <w:r w:rsidRPr="008C6FCA">
        <w:rPr>
          <w:i/>
        </w:rPr>
        <w:t xml:space="preserve"> beruht und dass </w:t>
      </w:r>
      <w:r w:rsidR="00860A34" w:rsidRPr="008C6FCA">
        <w:rPr>
          <w:i/>
        </w:rPr>
        <w:t>sie das Material verwenden</w:t>
      </w:r>
      <w:r w:rsidRPr="008C6FCA">
        <w:rPr>
          <w:i/>
        </w:rPr>
        <w:t xml:space="preserve">, weil es unter einer </w:t>
      </w:r>
      <w:r w:rsidR="008C6FCA">
        <w:rPr>
          <w:i/>
        </w:rPr>
        <w:t>offenen</w:t>
      </w:r>
      <w:r w:rsidRPr="008C6FCA">
        <w:rPr>
          <w:i/>
        </w:rPr>
        <w:t xml:space="preserve"> Lizenz veröffentlicht wurde. Außerdem </w:t>
      </w:r>
      <w:r w:rsidR="00F157AC" w:rsidRPr="008C6FCA">
        <w:rPr>
          <w:i/>
        </w:rPr>
        <w:t xml:space="preserve">müssen sie </w:t>
      </w:r>
      <w:r w:rsidRPr="008C6FCA">
        <w:rPr>
          <w:i/>
        </w:rPr>
        <w:t>darauf hinweisen, wenn</w:t>
      </w:r>
      <w:r w:rsidR="00860A34" w:rsidRPr="008C6FCA">
        <w:rPr>
          <w:i/>
        </w:rPr>
        <w:t xml:space="preserve"> das</w:t>
      </w:r>
      <w:r w:rsidRPr="008C6FCA">
        <w:rPr>
          <w:i/>
        </w:rPr>
        <w:t xml:space="preserve"> Material verändert</w:t>
      </w:r>
      <w:r w:rsidR="00860A34" w:rsidRPr="008C6FCA">
        <w:rPr>
          <w:i/>
        </w:rPr>
        <w:t xml:space="preserve"> wurde; </w:t>
      </w:r>
      <w:r w:rsidR="00F157AC" w:rsidRPr="008C6FCA">
        <w:rPr>
          <w:i/>
        </w:rPr>
        <w:t>sie</w:t>
      </w:r>
      <w:r w:rsidRPr="008C6FCA">
        <w:rPr>
          <w:i/>
        </w:rPr>
        <w:t xml:space="preserve"> </w:t>
      </w:r>
      <w:r w:rsidR="00860A34" w:rsidRPr="008C6FCA">
        <w:rPr>
          <w:i/>
        </w:rPr>
        <w:t>dürfen</w:t>
      </w:r>
      <w:r w:rsidRPr="008C6FCA">
        <w:rPr>
          <w:i/>
        </w:rPr>
        <w:t xml:space="preserve"> also nicht so tun, als ob </w:t>
      </w:r>
      <w:r w:rsidR="00F157AC" w:rsidRPr="008C6FCA">
        <w:rPr>
          <w:i/>
        </w:rPr>
        <w:t xml:space="preserve">ihre </w:t>
      </w:r>
      <w:r w:rsidRPr="008C6FCA">
        <w:rPr>
          <w:i/>
        </w:rPr>
        <w:t xml:space="preserve">Ergänzungen von </w:t>
      </w:r>
      <w:r w:rsidR="00860A34" w:rsidRPr="008C6FCA">
        <w:rPr>
          <w:i/>
        </w:rPr>
        <w:t>den Autor*innen</w:t>
      </w:r>
      <w:r w:rsidRPr="008C6FCA">
        <w:rPr>
          <w:i/>
        </w:rPr>
        <w:t xml:space="preserve"> zu verantworten wären.</w:t>
      </w:r>
    </w:p>
    <w:p w14:paraId="421F8965" w14:textId="77777777" w:rsidR="000D2451" w:rsidRPr="008C6FCA" w:rsidRDefault="000D2451" w:rsidP="008C6FCA">
      <w:pPr>
        <w:pStyle w:val="Listenabsatz"/>
        <w:rPr>
          <w:i/>
        </w:rPr>
      </w:pPr>
    </w:p>
    <w:p w14:paraId="5682C2EB" w14:textId="77777777" w:rsidR="008C6FCA" w:rsidRDefault="00621BEB" w:rsidP="005A16FB">
      <w:pPr>
        <w:pStyle w:val="Listenabsatz"/>
        <w:numPr>
          <w:ilvl w:val="0"/>
          <w:numId w:val="3"/>
        </w:numPr>
      </w:pPr>
      <w:r w:rsidRPr="00621BEB">
        <w:t xml:space="preserve">Wenn das Material </w:t>
      </w:r>
      <w:r w:rsidR="00771E9E">
        <w:t>ge</w:t>
      </w:r>
      <w:r w:rsidRPr="00621BEB">
        <w:t>remixt, verändert oder anderweitig direkt darauf aufbaut</w:t>
      </w:r>
      <w:r w:rsidR="00771E9E">
        <w:t xml:space="preserve"> wird, dürfen die neuen </w:t>
      </w:r>
      <w:r w:rsidRPr="00621BEB">
        <w:t xml:space="preserve">Beiträge </w:t>
      </w:r>
      <w:r w:rsidRPr="00D941A4">
        <w:rPr>
          <w:b/>
        </w:rPr>
        <w:t>nur unter derselben Li</w:t>
      </w:r>
      <w:r w:rsidR="00771E9E" w:rsidRPr="00D941A4">
        <w:rPr>
          <w:b/>
        </w:rPr>
        <w:t>zenz wie das Original</w:t>
      </w:r>
      <w:r w:rsidR="00771E9E">
        <w:t xml:space="preserve"> verbreitet werden</w:t>
      </w:r>
      <w:r w:rsidR="00363557">
        <w:t xml:space="preserve">, also unter der Creative-Commons-Lizenz </w:t>
      </w:r>
      <w:r w:rsidR="00363557" w:rsidRPr="00621BEB">
        <w:t>BY-SA 4.0</w:t>
      </w:r>
      <w:r w:rsidR="00363557">
        <w:t>.</w:t>
      </w:r>
    </w:p>
    <w:p w14:paraId="31410BB5" w14:textId="2E2C7F26" w:rsidR="00F157AC" w:rsidRDefault="00F157AC" w:rsidP="008C6FCA">
      <w:pPr>
        <w:pStyle w:val="Listenabsatz"/>
        <w:rPr>
          <w:i/>
        </w:rPr>
      </w:pPr>
      <w:r w:rsidRPr="008C6FCA">
        <w:rPr>
          <w:i/>
        </w:rPr>
        <w:lastRenderedPageBreak/>
        <w:t xml:space="preserve">Wenn </w:t>
      </w:r>
      <w:r w:rsidR="006E0653">
        <w:rPr>
          <w:i/>
        </w:rPr>
        <w:t xml:space="preserve">also </w:t>
      </w:r>
      <w:r w:rsidRPr="008C6FCA">
        <w:rPr>
          <w:i/>
        </w:rPr>
        <w:t xml:space="preserve">ein privates Repetitorium unser </w:t>
      </w:r>
      <w:r w:rsidR="006E0653">
        <w:rPr>
          <w:i/>
        </w:rPr>
        <w:t>Fallrepetitorium oder einzelne Fälle daraus</w:t>
      </w:r>
      <w:r w:rsidRPr="008C6FCA">
        <w:rPr>
          <w:i/>
        </w:rPr>
        <w:t xml:space="preserve"> als Grundlage seiner Skripte verwenden möchte, muss es auch seine Skripte unter </w:t>
      </w:r>
      <w:r w:rsidR="008C6FCA">
        <w:rPr>
          <w:i/>
        </w:rPr>
        <w:t>offener</w:t>
      </w:r>
      <w:r w:rsidRPr="008C6FCA">
        <w:rPr>
          <w:i/>
        </w:rPr>
        <w:t xml:space="preserve"> Lizenz zur Verfügung stellen. Auch die Anwendungskursleiter*innen oder Professoren, die auf Grundlage unseres </w:t>
      </w:r>
      <w:r w:rsidR="006E0653">
        <w:rPr>
          <w:i/>
        </w:rPr>
        <w:t>Fallrepetitoriums</w:t>
      </w:r>
      <w:r w:rsidRPr="008C6FCA">
        <w:rPr>
          <w:i/>
        </w:rPr>
        <w:t xml:space="preserve"> Fälle erstellen, sind dazu verpflichtet, diese sodann unter </w:t>
      </w:r>
      <w:r w:rsidR="008C6FCA">
        <w:rPr>
          <w:i/>
        </w:rPr>
        <w:t xml:space="preserve">offener </w:t>
      </w:r>
      <w:r w:rsidRPr="008C6FCA">
        <w:rPr>
          <w:i/>
        </w:rPr>
        <w:t>Lizenz zu veröffentlichen. Auch diese Werke stehen dann also frei für alle zur Verfügung.</w:t>
      </w:r>
    </w:p>
    <w:p w14:paraId="7C16B1DD" w14:textId="77777777" w:rsidR="000D2451" w:rsidRPr="008C6FCA" w:rsidRDefault="000D2451" w:rsidP="008C6FCA">
      <w:pPr>
        <w:pStyle w:val="Listenabsatz"/>
        <w:rPr>
          <w:i/>
        </w:rPr>
      </w:pPr>
    </w:p>
    <w:p w14:paraId="6B72E21E" w14:textId="7CD6C92E" w:rsidR="008C6FCA" w:rsidRPr="008C6FCA" w:rsidRDefault="008C6FCA" w:rsidP="008C6FCA">
      <w:pPr>
        <w:rPr>
          <w:i/>
        </w:rPr>
      </w:pPr>
      <w:r w:rsidRPr="008C6FCA">
        <w:t>Formulierungsvorschlag</w:t>
      </w:r>
      <w:r w:rsidR="000D2451">
        <w:t xml:space="preserve"> für die Nutzung von Fällen aus diesem Fallrepetitorium</w:t>
      </w:r>
      <w:r w:rsidRPr="008C6FCA">
        <w:t>:</w:t>
      </w:r>
      <w:r w:rsidRPr="008C6FCA">
        <w:rPr>
          <w:i/>
        </w:rPr>
        <w:t xml:space="preserve"> „Dieser Text </w:t>
      </w:r>
      <w:r>
        <w:rPr>
          <w:i/>
        </w:rPr>
        <w:t xml:space="preserve">steht unter der Lizenz </w:t>
      </w:r>
      <w:r w:rsidRPr="008C6FCA">
        <w:rPr>
          <w:i/>
        </w:rPr>
        <w:t>CC BY-SA 4.0 (</w:t>
      </w:r>
      <w:hyperlink r:id="rId21" w:history="1">
        <w:r w:rsidRPr="008C6FCA">
          <w:rPr>
            <w:rStyle w:val="Hyperlink"/>
            <w:i/>
          </w:rPr>
          <w:t>https://creativecommons.org/licenses/by-sa/4.0/deed.de</w:t>
        </w:r>
      </w:hyperlink>
      <w:r w:rsidRPr="008C6FCA">
        <w:rPr>
          <w:rStyle w:val="Hyperlink"/>
          <w:i/>
        </w:rPr>
        <w:t>).</w:t>
      </w:r>
      <w:r>
        <w:t xml:space="preserve"> </w:t>
      </w:r>
      <w:r w:rsidRPr="008C6FCA">
        <w:rPr>
          <w:i/>
        </w:rPr>
        <w:t>Er beruht auf dem Werk von AUTOR*IN,</w:t>
      </w:r>
      <w:r w:rsidR="000D2451">
        <w:rPr>
          <w:i/>
        </w:rPr>
        <w:t xml:space="preserve"> </w:t>
      </w:r>
      <w:r w:rsidRPr="008C6FCA">
        <w:rPr>
          <w:i/>
        </w:rPr>
        <w:t xml:space="preserve">in: Eisentraut, </w:t>
      </w:r>
      <w:r w:rsidR="00885AD2">
        <w:rPr>
          <w:i/>
        </w:rPr>
        <w:t>Fälle zum Verwaltungsrecht</w:t>
      </w:r>
      <w:r w:rsidRPr="008C6FCA">
        <w:rPr>
          <w:i/>
        </w:rPr>
        <w:t xml:space="preserve"> (</w:t>
      </w:r>
      <w:r w:rsidR="000D2451">
        <w:rPr>
          <w:szCs w:val="20"/>
        </w:rPr>
        <w:t xml:space="preserve">DOI: </w:t>
      </w:r>
      <w:hyperlink r:id="rId22" w:history="1">
        <w:r w:rsidR="000D2451" w:rsidRPr="006A2F61">
          <w:rPr>
            <w:rStyle w:val="Hyperlink"/>
            <w:szCs w:val="20"/>
          </w:rPr>
          <w:t>10.24921/2020.94115939</w:t>
        </w:r>
      </w:hyperlink>
      <w:r w:rsidRPr="008C6FCA">
        <w:rPr>
          <w:i/>
        </w:rPr>
        <w:t>),</w:t>
      </w:r>
      <w:r w:rsidR="000D2451" w:rsidRPr="000D2451">
        <w:rPr>
          <w:i/>
        </w:rPr>
        <w:t xml:space="preserve"> </w:t>
      </w:r>
      <w:r w:rsidR="000D2451">
        <w:rPr>
          <w:i/>
        </w:rPr>
        <w:t xml:space="preserve">§ ## Rn. ##, ebenfalls </w:t>
      </w:r>
      <w:r w:rsidRPr="008C6FCA">
        <w:rPr>
          <w:i/>
        </w:rPr>
        <w:t>veröffentlicht unter der Lizenz CC BY-SA 4.0</w:t>
      </w:r>
      <w:r w:rsidR="000D2451">
        <w:rPr>
          <w:i/>
        </w:rPr>
        <w:t>. Fü</w:t>
      </w:r>
      <w:r>
        <w:rPr>
          <w:i/>
        </w:rPr>
        <w:t xml:space="preserve">r Änderungen ist allein der/die Urheber*in </w:t>
      </w:r>
      <w:r w:rsidRPr="008C6FCA">
        <w:rPr>
          <w:i/>
        </w:rPr>
        <w:t>dieser Überarbeitung verantwortlich.“</w:t>
      </w:r>
    </w:p>
    <w:p w14:paraId="6B5A6A8D" w14:textId="3CB657F8" w:rsidR="00AC7C15" w:rsidRDefault="007745A6" w:rsidP="00AC7C15">
      <w:r>
        <w:t>Nähere Informationen sowie ein Link zur vollständigen Lizenz finde</w:t>
      </w:r>
      <w:r w:rsidR="00FD71BF">
        <w:t>t man</w:t>
      </w:r>
      <w:r>
        <w:t xml:space="preserve"> unter</w:t>
      </w:r>
    </w:p>
    <w:p w14:paraId="1DFCF235" w14:textId="56F0F719" w:rsidR="00621BEB" w:rsidRPr="008C6FCA" w:rsidRDefault="00091FED" w:rsidP="008C6FCA">
      <w:hyperlink r:id="rId23" w:history="1">
        <w:r w:rsidR="007745A6" w:rsidRPr="00F172BB">
          <w:rPr>
            <w:rStyle w:val="Hyperlink"/>
          </w:rPr>
          <w:t>https://creativecommons.org/licenses/by-sa/4.0/deed.de</w:t>
        </w:r>
      </w:hyperlink>
      <w:r w:rsidR="00621BEB">
        <w:br w:type="page"/>
      </w:r>
    </w:p>
    <w:p w14:paraId="3970E047" w14:textId="1341CAEA" w:rsidR="006678C1" w:rsidRDefault="006678C1" w:rsidP="00586556">
      <w:pPr>
        <w:pStyle w:val="berschrift1"/>
      </w:pPr>
      <w:bookmarkStart w:id="7" w:name="_Toc10463368"/>
      <w:bookmarkStart w:id="8" w:name="_Toc22132757"/>
      <w:r>
        <w:lastRenderedPageBreak/>
        <w:t>Das Fellow-Programm Freies Wissen</w:t>
      </w:r>
      <w:bookmarkEnd w:id="7"/>
      <w:bookmarkEnd w:id="8"/>
    </w:p>
    <w:p w14:paraId="5D2D7F45" w14:textId="1DB4941A" w:rsidR="006E0653" w:rsidRDefault="006E0653" w:rsidP="006E0653">
      <w:r>
        <w:t xml:space="preserve">Dieses Fallrepetitorium entstand im Rahmen der Förderung des Herausgebers durch das </w:t>
      </w:r>
      <w:r w:rsidRPr="005C1D3C">
        <w:rPr>
          <w:b/>
        </w:rPr>
        <w:t>Fellow-Programm Freies Wissen</w:t>
      </w:r>
      <w:r>
        <w:t>. Im Sinne des Open-</w:t>
      </w:r>
      <w:r w:rsidRPr="00515859">
        <w:t>Science</w:t>
      </w:r>
      <w:r>
        <w:t xml:space="preserve">-Gedankens wird der Prozess der Erstellung des Fallrepetitoriums, von der Idee bis zur Veröffentlichung und darüber hinaus umfassend </w:t>
      </w:r>
      <w:r>
        <w:rPr>
          <w:b/>
        </w:rPr>
        <w:t>auf w</w:t>
      </w:r>
      <w:r w:rsidRPr="00FD71BF">
        <w:rPr>
          <w:b/>
        </w:rPr>
        <w:t>ikiversity</w:t>
      </w:r>
      <w:r>
        <w:rPr>
          <w:b/>
        </w:rPr>
        <w:t>.org</w:t>
      </w:r>
      <w:r w:rsidR="009B5D22">
        <w:rPr>
          <w:b/>
        </w:rPr>
        <w:t xml:space="preserve"> </w:t>
      </w:r>
      <w:r w:rsidRPr="00FD71BF">
        <w:rPr>
          <w:b/>
        </w:rPr>
        <w:t>dokumentiert</w:t>
      </w:r>
      <w:r w:rsidRPr="00FD71BF">
        <w:t>.</w:t>
      </w:r>
      <w:r>
        <w:t xml:space="preserve"> Die Dokumentation kann hier eingesehen werden: </w:t>
      </w:r>
    </w:p>
    <w:p w14:paraId="35785E8C" w14:textId="754470FE" w:rsidR="006E0653" w:rsidRDefault="00091FED" w:rsidP="006E0653">
      <w:hyperlink r:id="rId24" w:history="1">
        <w:r w:rsidR="006E0653" w:rsidRPr="00361CEB">
          <w:rPr>
            <w:rStyle w:val="Hyperlink"/>
          </w:rPr>
          <w:t>https://de.wikiversity.org/wiki/Wikiversity:Fellow-Programm_Freies_Wissen/Einreichungen/Erstellung_eines_OER-Lehrbuchs_zum_Verwaltungs-_und_Verwaltungsprozessrecht</w:t>
        </w:r>
      </w:hyperlink>
    </w:p>
    <w:p w14:paraId="65D00197" w14:textId="77777777" w:rsidR="006E0653" w:rsidRPr="00515859" w:rsidRDefault="006E0653" w:rsidP="006E0653">
      <w:pPr>
        <w:rPr>
          <w:i/>
        </w:rPr>
      </w:pPr>
      <w:r w:rsidRPr="00515859">
        <w:rPr>
          <w:i/>
        </w:rPr>
        <w:t xml:space="preserve">„Das Fellow-Programm Freies Wissen ist ein gemeinsames Projekt von </w:t>
      </w:r>
      <w:r w:rsidRPr="00515859">
        <w:rPr>
          <w:b/>
          <w:i/>
        </w:rPr>
        <w:t>Wikimedia Deutschland, dem Stifterverband und der VolkswagenStiftung</w:t>
      </w:r>
      <w:r w:rsidRPr="00515859">
        <w:rPr>
          <w:i/>
        </w:rPr>
        <w:t xml:space="preserve"> und richtet sich an Doktoranden (m/w), Post-Docs (m/w) und Juniorprofessoren (m/w), die ihre Forschungsprozesse offen gestalten möchten. Als Partner beteiligen sich die Technische Informationsbibliothek (TIB), das Museum für Naturkunde Berlin, das Center für Digitale Systeme (CeDiS) der Freien Universität Berlin, die Niedersächsische Staats- und Universitätsbibliothek Göttingen sowie Open Knowledge Maps mit Qualifizierungsangeboten an dem Programm.</w:t>
      </w:r>
    </w:p>
    <w:p w14:paraId="77D9EACC" w14:textId="77777777" w:rsidR="006E0653" w:rsidRPr="00515859" w:rsidRDefault="006E0653" w:rsidP="006E0653">
      <w:pPr>
        <w:rPr>
          <w:i/>
        </w:rPr>
      </w:pPr>
      <w:r w:rsidRPr="00515859">
        <w:rPr>
          <w:i/>
        </w:rPr>
        <w:t xml:space="preserve">Zentrales Anliegen des Programms ist die </w:t>
      </w:r>
      <w:r w:rsidRPr="00515859">
        <w:rPr>
          <w:b/>
          <w:i/>
        </w:rPr>
        <w:t>Stärkung einer Offenen Wissenschaft,</w:t>
      </w:r>
      <w:r w:rsidRPr="00515859">
        <w:rPr>
          <w:i/>
        </w:rPr>
        <w:t xml:space="preserve"> um den Wissenstransfer in die Gesellschaft und die Qualität wissenschaftlicher Forschung und Lehre zu verbessern. Transparenz, gemeinschaftliches Arbeiten und Lernen, Reproduzierbarkeit und Vergleichbarkeit wissenschaftlichen Arbeitens sind dafür elementare Voraussetzungen. Nachwuchswissenschaftler*innen aus allen Disziplinen sollen dazu befähigt werden, Prinzipien Offener Wissenschaft in die eigene wissenschaftliche Arbeit zu integrieren und gleichzeitig als Botschafter*innen andere für dieses Thema zu sensibilisieren. Gleichzeitig soll der Austausch von Wissenschaftler*innen im Bereich Offene Wissenschaft gefördert werden, um damit die schrittweise Öffnung von Wissenschaft und Forschung weiter voranzutreiben. Ein Ziel ist es daher, ein Netzwerk von Fellows, Alumni, Mentor*innen und Akteur*innen aus dem Bereich Offene Wissenschaft auf- und auszubauen, das auch über das Fellow-Programm hinaus einen intensiven Austausch und eine wirksame Zusammenarbeit im Rahmen von gemeinsamen Veranstaltungen, Publikationen und Projekten ermöglicht. Damit soll sowohl die weitere akademische Karriere der Geförderten unterstützt als auch das Thema Offene Wissenschaft kontinuierlich in die Breite getragen werden.“</w:t>
      </w:r>
    </w:p>
    <w:p w14:paraId="37EA38A3" w14:textId="5DAFA43A" w:rsidR="00361CEB" w:rsidRDefault="006E0653" w:rsidP="006E0653">
      <w:r w:rsidRPr="00515859">
        <w:rPr>
          <w:rStyle w:val="Hyperlink"/>
        </w:rPr>
        <w:t xml:space="preserve">Quelle: </w:t>
      </w:r>
      <w:hyperlink r:id="rId25" w:history="1">
        <w:r w:rsidRPr="00515859">
          <w:rPr>
            <w:rStyle w:val="Hyperlink"/>
          </w:rPr>
          <w:t>https://de.wikiversity.org/wiki/Wikiversity:Fellow-Programm_Freies_Wissen</w:t>
        </w:r>
      </w:hyperlink>
    </w:p>
    <w:p w14:paraId="0FAD766D" w14:textId="77777777" w:rsidR="00517CEB" w:rsidRDefault="00517CEB">
      <w:pPr>
        <w:jc w:val="left"/>
      </w:pPr>
      <w:r>
        <w:br w:type="page"/>
      </w:r>
    </w:p>
    <w:p w14:paraId="2BE0057C" w14:textId="300ABF0D" w:rsidR="00517CEB" w:rsidRDefault="00517CEB" w:rsidP="00586556">
      <w:pPr>
        <w:pStyle w:val="berschrift1"/>
      </w:pPr>
      <w:bookmarkStart w:id="9" w:name="_Toc10463369"/>
      <w:bookmarkStart w:id="10" w:name="_Toc22132758"/>
      <w:r>
        <w:lastRenderedPageBreak/>
        <w:t xml:space="preserve">Zur Arbeit mit diesem </w:t>
      </w:r>
      <w:bookmarkEnd w:id="9"/>
      <w:r w:rsidR="00C270F2">
        <w:t>Fallrepetitorium</w:t>
      </w:r>
      <w:bookmarkEnd w:id="10"/>
    </w:p>
    <w:p w14:paraId="147C2633" w14:textId="79D23FDA" w:rsidR="00B43FD9" w:rsidRPr="00B43FD9" w:rsidRDefault="00B43FD9" w:rsidP="00B43FD9">
      <w:pPr>
        <w:pStyle w:val="Autorin"/>
      </w:pPr>
      <w:r>
        <w:t>Nikolas Eisentraut</w:t>
      </w:r>
    </w:p>
    <w:p w14:paraId="64F2044B" w14:textId="267245A9" w:rsidR="00C270F2" w:rsidRDefault="00C270F2" w:rsidP="00A84F0D">
      <w:r>
        <w:t xml:space="preserve">Das Fallrepetitorium ergänzt das </w:t>
      </w:r>
      <w:hyperlink r:id="rId26" w:history="1">
        <w:r w:rsidRPr="000D2451">
          <w:rPr>
            <w:rStyle w:val="Hyperlink"/>
          </w:rPr>
          <w:t>Lehrbuch „Verwaltungsrecht in der Klausur“</w:t>
        </w:r>
      </w:hyperlink>
      <w:r>
        <w:t xml:space="preserve"> um 16 große Fälle, die so oder so ähnlich auch in Prüfungsarbeiten abgefragt werden könnten. </w:t>
      </w:r>
    </w:p>
    <w:p w14:paraId="0592504C" w14:textId="4D91C6AE" w:rsidR="00885AD2" w:rsidRDefault="000B0AA2" w:rsidP="00A84F0D">
      <w:r>
        <w:t>Z</w:t>
      </w:r>
      <w:r w:rsidR="00885AD2">
        <w:t>u Beginn des Fallrepetit</w:t>
      </w:r>
      <w:r w:rsidR="001715B6">
        <w:t xml:space="preserve">oriums </w:t>
      </w:r>
      <w:r>
        <w:t xml:space="preserve">wird </w:t>
      </w:r>
      <w:r w:rsidR="001715B6">
        <w:t>ku</w:t>
      </w:r>
      <w:r>
        <w:t xml:space="preserve">rz in </w:t>
      </w:r>
      <w:r w:rsidR="001715B6">
        <w:t xml:space="preserve">die </w:t>
      </w:r>
      <w:r w:rsidR="00315472">
        <w:t>gutachterliche Prüfung im Verwaltungsrecht</w:t>
      </w:r>
      <w:r w:rsidR="001715B6">
        <w:t xml:space="preserve"> </w:t>
      </w:r>
      <w:r w:rsidR="00885AD2">
        <w:t>eingeführt</w:t>
      </w:r>
      <w:r w:rsidR="00311D7C">
        <w:t xml:space="preserve"> (§ 1)</w:t>
      </w:r>
      <w:r w:rsidR="00315472">
        <w:t xml:space="preserve">, </w:t>
      </w:r>
      <w:r w:rsidR="00885AD2">
        <w:t xml:space="preserve">bevor sodann </w:t>
      </w:r>
      <w:r w:rsidR="00311D7C">
        <w:t xml:space="preserve">in 16 Fällen im Verwaltungsrecht </w:t>
      </w:r>
      <w:r>
        <w:t>typische</w:t>
      </w:r>
      <w:r w:rsidR="00311D7C">
        <w:t xml:space="preserve"> Klausurkonstellationen aufgezeigt werden</w:t>
      </w:r>
      <w:r w:rsidR="00315472">
        <w:t xml:space="preserve">. </w:t>
      </w:r>
      <w:r>
        <w:t xml:space="preserve">Die Fälle orientieren sich dafür an den wichtigsten Klage- und Antragsarten des Verwaltungsprozessrechts. </w:t>
      </w:r>
      <w:r w:rsidR="00315472">
        <w:t xml:space="preserve">Zu Beginn jedes § findet sich </w:t>
      </w:r>
      <w:r w:rsidR="000D2451">
        <w:t>deshalb ergänzend</w:t>
      </w:r>
      <w:r w:rsidR="00315472">
        <w:t xml:space="preserve"> ein Aufb</w:t>
      </w:r>
      <w:r>
        <w:t xml:space="preserve">auschema, das </w:t>
      </w:r>
      <w:r w:rsidR="00315472">
        <w:t xml:space="preserve">die Struktur der </w:t>
      </w:r>
      <w:r>
        <w:t xml:space="preserve">dem Kapitel </w:t>
      </w:r>
      <w:r w:rsidR="00315472">
        <w:t xml:space="preserve">zugrunde liegenden Klage-/Antragsart </w:t>
      </w:r>
      <w:r w:rsidR="000D2451">
        <w:t>in Erinnerung ruft</w:t>
      </w:r>
      <w:r w:rsidR="00315472">
        <w:t>.</w:t>
      </w:r>
    </w:p>
    <w:p w14:paraId="49400B74" w14:textId="3B1090DD" w:rsidR="00A84F0D" w:rsidRDefault="00C270F2" w:rsidP="00A84F0D">
      <w:r>
        <w:t xml:space="preserve">Es besteht </w:t>
      </w:r>
      <w:r w:rsidR="00885AD2">
        <w:t xml:space="preserve">natürlich </w:t>
      </w:r>
      <w:r>
        <w:t xml:space="preserve">die Möglichkeit, die Fälle </w:t>
      </w:r>
      <w:r w:rsidR="00D63C2B">
        <w:t xml:space="preserve">einfach </w:t>
      </w:r>
      <w:r>
        <w:t xml:space="preserve">nur </w:t>
      </w:r>
      <w:r w:rsidR="00D63C2B">
        <w:t xml:space="preserve">zu lesen. Herausfordernder ist es aber, </w:t>
      </w:r>
      <w:r>
        <w:t xml:space="preserve">sich zunächst einmal selbst auf Grundlage des Sachverhalts an einer Falllösung zu probieren, </w:t>
      </w:r>
      <w:r w:rsidR="00D63C2B">
        <w:t xml:space="preserve">bevor </w:t>
      </w:r>
      <w:r>
        <w:t xml:space="preserve">sodann </w:t>
      </w:r>
      <w:r w:rsidR="00D63C2B">
        <w:t xml:space="preserve">ein Abgleich mit </w:t>
      </w:r>
      <w:r>
        <w:t>der ausführlichen Lösung in Fallrepetitorium</w:t>
      </w:r>
      <w:r w:rsidR="00D63C2B">
        <w:t xml:space="preserve"> erfolgt</w:t>
      </w:r>
      <w:r>
        <w:t xml:space="preserve">. </w:t>
      </w:r>
    </w:p>
    <w:p w14:paraId="27EB0182" w14:textId="22DAE462" w:rsidR="00C428D6" w:rsidRDefault="00C270F2" w:rsidP="00A84F0D">
      <w:r>
        <w:t xml:space="preserve">Jede Klausurlösung beginnt mit der </w:t>
      </w:r>
      <w:r w:rsidR="00D63C2B">
        <w:t>eingehenden Le</w:t>
      </w:r>
      <w:r w:rsidR="00C428D6">
        <w:t>ktüre des Sachverhalts.</w:t>
      </w:r>
      <w:r w:rsidR="00320419">
        <w:t xml:space="preserve"> Den Lösungen vorangestellt findet sich daher stets ein Sachverhalt, auf dessen Grundlage die Falllösung zu erstellen ist.</w:t>
      </w:r>
    </w:p>
    <w:p w14:paraId="06E9394E" w14:textId="183D3FB8" w:rsidR="00C270F2" w:rsidRDefault="00C270F2" w:rsidP="00A84F0D">
      <w:r>
        <w:t xml:space="preserve">Daran schließt sich ein erster Strukturentwurf für die Lösung an, die Lösungsskizze. </w:t>
      </w:r>
      <w:r w:rsidR="00C428D6">
        <w:t>D</w:t>
      </w:r>
      <w:r>
        <w:t>en Falllösungen vorangestellt findet sich</w:t>
      </w:r>
      <w:r w:rsidR="00C428D6">
        <w:t xml:space="preserve"> deshalb</w:t>
      </w:r>
      <w:r>
        <w:t xml:space="preserve"> jeweils eine Lösungsgliederung, die die Struktur der sodann folgenden Lösung wiederspiegelt und als Blaupause für eine eigene Lösungsskizze verwendet werden kann.</w:t>
      </w:r>
    </w:p>
    <w:p w14:paraId="47A9C774" w14:textId="407C1145" w:rsidR="00C270F2" w:rsidRDefault="00C270F2" w:rsidP="00A84F0D">
      <w:r>
        <w:t>An die Lösungs</w:t>
      </w:r>
      <w:r w:rsidR="00A8236D">
        <w:t>s</w:t>
      </w:r>
      <w:r>
        <w:t>kizze schließt sich sodann die ausführliche Ausarbeitung des juristischen Gutachtens an. Anders als in Klausuren finden sich in den Lösungen des Fallrepetitoriums weiterführende Fußnoten, die insbesondere auf die relevanten Ausführungen im Lehrbuch verweisen</w:t>
      </w:r>
      <w:r w:rsidR="00311D7C">
        <w:t xml:space="preserve"> und mit diesem – in der digitalen Version – verlinkt sind</w:t>
      </w:r>
      <w:r>
        <w:t>, damit bei Fragen zur Lösung die relevanten Lehrbuchsausführungen gezielt nachgelesen werden können.</w:t>
      </w:r>
    </w:p>
    <w:p w14:paraId="5EE17FD3" w14:textId="1738D9D6" w:rsidR="00C270F2" w:rsidRDefault="00C270F2" w:rsidP="00A84F0D">
      <w:r>
        <w:t>Die Fälle sind auf 4 – 5 Stunden Bearbeitungszeit angelegt.</w:t>
      </w:r>
    </w:p>
    <w:p w14:paraId="69A84417" w14:textId="121F186B" w:rsidR="001E6008" w:rsidRDefault="001E6008" w:rsidP="00A84F0D">
      <w:r>
        <w:br w:type="page"/>
      </w:r>
    </w:p>
    <w:p w14:paraId="38F62F24" w14:textId="3F175F85" w:rsidR="00E85609" w:rsidRDefault="00E85609" w:rsidP="00E85609">
      <w:pPr>
        <w:pStyle w:val="berschrift1"/>
      </w:pPr>
      <w:bookmarkStart w:id="11" w:name="_Toc10463372"/>
      <w:bookmarkStart w:id="12" w:name="_Toc22132759"/>
      <w:r>
        <w:lastRenderedPageBreak/>
        <w:t>Bearbeiter*innenverzeichnis</w:t>
      </w:r>
      <w:bookmarkEnd w:id="11"/>
      <w:bookmarkEnd w:id="1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4"/>
        <w:gridCol w:w="5857"/>
      </w:tblGrid>
      <w:tr w:rsidR="00E85609" w:rsidRPr="002C788A" w14:paraId="1D3067DF" w14:textId="77777777" w:rsidTr="007F5EA3">
        <w:trPr>
          <w:tblCellSpacing w:w="15" w:type="dxa"/>
        </w:trPr>
        <w:tc>
          <w:tcPr>
            <w:tcW w:w="0" w:type="auto"/>
            <w:vAlign w:val="center"/>
            <w:hideMark/>
          </w:tcPr>
          <w:p w14:paraId="577B4ED8" w14:textId="363C2AE6" w:rsidR="00E85609" w:rsidRPr="002C788A" w:rsidRDefault="00091FED" w:rsidP="00361CEB">
            <w:hyperlink r:id="rId27" w:history="1">
              <w:r w:rsidR="00E85609" w:rsidRPr="002C788A">
                <w:rPr>
                  <w:rStyle w:val="Hyperlink"/>
                </w:rPr>
                <w:t>Abromeit, Wolfgang</w:t>
              </w:r>
            </w:hyperlink>
            <w:r w:rsidR="00F745EE">
              <w:rPr>
                <w:rStyle w:val="Hyperlink"/>
              </w:rPr>
              <w:t>, Dr., Ass. iur.</w:t>
            </w:r>
          </w:p>
        </w:tc>
        <w:tc>
          <w:tcPr>
            <w:tcW w:w="0" w:type="auto"/>
            <w:vAlign w:val="center"/>
            <w:hideMark/>
          </w:tcPr>
          <w:p w14:paraId="308C9B59" w14:textId="4828E4B6" w:rsidR="00E85609" w:rsidRPr="00F745EE" w:rsidRDefault="00E85609" w:rsidP="00FB0730">
            <w:r w:rsidRPr="00F745EE">
              <w:t xml:space="preserve">Wissenschaftlicher Mitarbeiter am Lehrstuhl für Europäisches und Deutsches Verfassungsrecht, Verwaltungsrecht, Sozialrecht und Öffentliches Wirtschaftsrecht der </w:t>
            </w:r>
            <w:r w:rsidRPr="00F745EE">
              <w:rPr>
                <w:rStyle w:val="Hyperlink"/>
                <w:color w:val="auto"/>
              </w:rPr>
              <w:t>Universität Potsdam</w:t>
            </w:r>
          </w:p>
        </w:tc>
      </w:tr>
      <w:tr w:rsidR="00E85609" w:rsidRPr="002C788A" w14:paraId="4E2D254F" w14:textId="77777777" w:rsidTr="007F5EA3">
        <w:trPr>
          <w:tblCellSpacing w:w="15" w:type="dxa"/>
        </w:trPr>
        <w:tc>
          <w:tcPr>
            <w:tcW w:w="0" w:type="auto"/>
            <w:vAlign w:val="center"/>
            <w:hideMark/>
          </w:tcPr>
          <w:p w14:paraId="281E1CEF" w14:textId="3D468DA0" w:rsidR="00E85609" w:rsidRPr="002C788A" w:rsidRDefault="00091FED" w:rsidP="00361CEB">
            <w:hyperlink r:id="rId28" w:history="1">
              <w:r w:rsidR="00E85609" w:rsidRPr="002C788A">
                <w:rPr>
                  <w:rStyle w:val="Hyperlink"/>
                </w:rPr>
                <w:t>Brade, Alexander</w:t>
              </w:r>
            </w:hyperlink>
            <w:r w:rsidR="00F745EE">
              <w:rPr>
                <w:rStyle w:val="Hyperlink"/>
              </w:rPr>
              <w:t>, Dr.</w:t>
            </w:r>
          </w:p>
        </w:tc>
        <w:tc>
          <w:tcPr>
            <w:tcW w:w="0" w:type="auto"/>
            <w:vAlign w:val="center"/>
            <w:hideMark/>
          </w:tcPr>
          <w:p w14:paraId="2648B3F9" w14:textId="52DF2ED8" w:rsidR="00E85609" w:rsidRPr="00F745EE" w:rsidRDefault="00E85609" w:rsidP="00FB0730">
            <w:r w:rsidRPr="00F745EE">
              <w:t xml:space="preserve">Wissenschaftlicher Mitarbeiter am Lehrstuhl für Öffentliches Recht, insbesondere Umwelt- und Planungsrecht der </w:t>
            </w:r>
            <w:r w:rsidRPr="00F745EE">
              <w:rPr>
                <w:rStyle w:val="Hyperlink"/>
                <w:color w:val="auto"/>
              </w:rPr>
              <w:t>Universität Leipzig</w:t>
            </w:r>
          </w:p>
        </w:tc>
      </w:tr>
      <w:tr w:rsidR="00E85609" w:rsidRPr="002C788A" w14:paraId="45CE801B" w14:textId="77777777" w:rsidTr="007F5EA3">
        <w:trPr>
          <w:tblCellSpacing w:w="15" w:type="dxa"/>
        </w:trPr>
        <w:tc>
          <w:tcPr>
            <w:tcW w:w="0" w:type="auto"/>
            <w:vAlign w:val="center"/>
            <w:hideMark/>
          </w:tcPr>
          <w:p w14:paraId="6D0886B4" w14:textId="12D65D45" w:rsidR="00E85609" w:rsidRPr="002C788A" w:rsidRDefault="00091FED" w:rsidP="00361CEB">
            <w:hyperlink r:id="rId29" w:anchor="c42049" w:history="1">
              <w:r w:rsidR="00E85609" w:rsidRPr="002C788A">
                <w:rPr>
                  <w:rStyle w:val="Hyperlink"/>
                </w:rPr>
                <w:t>Brings-Wiesen, Tobias, Mag. iur.</w:t>
              </w:r>
            </w:hyperlink>
          </w:p>
        </w:tc>
        <w:tc>
          <w:tcPr>
            <w:tcW w:w="0" w:type="auto"/>
            <w:vAlign w:val="center"/>
            <w:hideMark/>
          </w:tcPr>
          <w:p w14:paraId="7B249755" w14:textId="5B8B0167" w:rsidR="00E85609" w:rsidRPr="00F745EE" w:rsidRDefault="00E85609" w:rsidP="00FB0730">
            <w:r w:rsidRPr="00F745EE">
              <w:t xml:space="preserve">Wissenschaftlicher Mitarbeiter am Institut für Medienrecht und Kommunikationsrecht der </w:t>
            </w:r>
            <w:r w:rsidRPr="00F745EE">
              <w:rPr>
                <w:rStyle w:val="Hyperlink"/>
                <w:color w:val="auto"/>
              </w:rPr>
              <w:t>Universität zu Köln</w:t>
            </w:r>
            <w:r w:rsidRPr="00F745EE">
              <w:t>, Lehrstuhl für Öff</w:t>
            </w:r>
            <w:r w:rsidR="00FB0730" w:rsidRPr="00F745EE">
              <w:t>entliches Recht und Medienrecht</w:t>
            </w:r>
          </w:p>
        </w:tc>
      </w:tr>
      <w:tr w:rsidR="00E85609" w:rsidRPr="002C788A" w14:paraId="3E37C504" w14:textId="77777777" w:rsidTr="007F5EA3">
        <w:trPr>
          <w:tblCellSpacing w:w="15" w:type="dxa"/>
        </w:trPr>
        <w:tc>
          <w:tcPr>
            <w:tcW w:w="0" w:type="auto"/>
            <w:vAlign w:val="center"/>
            <w:hideMark/>
          </w:tcPr>
          <w:p w14:paraId="1E1558C3" w14:textId="56B40552" w:rsidR="00E85609" w:rsidRPr="002C788A" w:rsidRDefault="00091FED" w:rsidP="00361CEB">
            <w:hyperlink r:id="rId30" w:history="1">
              <w:r w:rsidR="00E85609" w:rsidRPr="006F3394">
                <w:rPr>
                  <w:rStyle w:val="Hyperlink"/>
                </w:rPr>
                <w:t>Burbach, Hendrik</w:t>
              </w:r>
            </w:hyperlink>
          </w:p>
        </w:tc>
        <w:tc>
          <w:tcPr>
            <w:tcW w:w="0" w:type="auto"/>
            <w:vAlign w:val="center"/>
            <w:hideMark/>
          </w:tcPr>
          <w:p w14:paraId="33FAF939" w14:textId="4906C30F" w:rsidR="00E85609" w:rsidRPr="00F745EE" w:rsidRDefault="005041D4" w:rsidP="005041D4">
            <w:r w:rsidRPr="00F745EE">
              <w:t xml:space="preserve">Rechtsanwalt bei Flick Gocke Schaumburg Bonn, </w:t>
            </w:r>
            <w:r w:rsidR="00E85609" w:rsidRPr="00F745EE">
              <w:t xml:space="preserve">Doktorand am Lehrstuhl für Öffentliches Recht der </w:t>
            </w:r>
            <w:r w:rsidR="00E85609" w:rsidRPr="00F745EE">
              <w:rPr>
                <w:rStyle w:val="Hyperlink"/>
                <w:color w:val="auto"/>
              </w:rPr>
              <w:t>Universität Bonn</w:t>
            </w:r>
          </w:p>
        </w:tc>
      </w:tr>
      <w:tr w:rsidR="00E85609" w:rsidRPr="002C788A" w14:paraId="48CCD6D5" w14:textId="77777777" w:rsidTr="007F5EA3">
        <w:trPr>
          <w:tblCellSpacing w:w="15" w:type="dxa"/>
        </w:trPr>
        <w:tc>
          <w:tcPr>
            <w:tcW w:w="0" w:type="auto"/>
            <w:vAlign w:val="center"/>
            <w:hideMark/>
          </w:tcPr>
          <w:p w14:paraId="15CD4C89" w14:textId="533CFE98" w:rsidR="00E85609" w:rsidRPr="002C788A" w:rsidRDefault="00091FED" w:rsidP="00361CEB">
            <w:hyperlink r:id="rId31" w:history="1">
              <w:r w:rsidR="00E85609" w:rsidRPr="002C788A">
                <w:rPr>
                  <w:rStyle w:val="Hyperlink"/>
                </w:rPr>
                <w:t>Eisentraut, Nikolas, Dipl.-Jur.</w:t>
              </w:r>
            </w:hyperlink>
          </w:p>
        </w:tc>
        <w:tc>
          <w:tcPr>
            <w:tcW w:w="0" w:type="auto"/>
            <w:vAlign w:val="center"/>
            <w:hideMark/>
          </w:tcPr>
          <w:p w14:paraId="7FFDDB23" w14:textId="4AC3CFF3" w:rsidR="00E85609" w:rsidRPr="00F745EE" w:rsidRDefault="00E85609" w:rsidP="00FB0730">
            <w:r w:rsidRPr="00F745EE">
              <w:t>Wissenschaftlicher Mitarbeiter am Lehrstuhl für Öffentliches Recht, insbesondere Verwaltungsrecht der Freien Universität Berlin</w:t>
            </w:r>
          </w:p>
        </w:tc>
      </w:tr>
      <w:tr w:rsidR="00E85609" w:rsidRPr="002C788A" w14:paraId="64C3F540" w14:textId="77777777" w:rsidTr="007F5EA3">
        <w:trPr>
          <w:tblCellSpacing w:w="15" w:type="dxa"/>
        </w:trPr>
        <w:tc>
          <w:tcPr>
            <w:tcW w:w="0" w:type="auto"/>
            <w:vAlign w:val="center"/>
            <w:hideMark/>
          </w:tcPr>
          <w:p w14:paraId="755A92CD" w14:textId="65FFE4F5" w:rsidR="00E85609" w:rsidRPr="002C788A" w:rsidRDefault="00091FED" w:rsidP="00361CEB">
            <w:hyperlink r:id="rId32" w:history="1">
              <w:r w:rsidR="00E85609" w:rsidRPr="002C788A">
                <w:rPr>
                  <w:rStyle w:val="Hyperlink"/>
                </w:rPr>
                <w:t>Giere, Katrin</w:t>
              </w:r>
            </w:hyperlink>
          </w:p>
        </w:tc>
        <w:tc>
          <w:tcPr>
            <w:tcW w:w="0" w:type="auto"/>
            <w:vAlign w:val="center"/>
            <w:hideMark/>
          </w:tcPr>
          <w:p w14:paraId="2EBEB21E" w14:textId="54764AB6" w:rsidR="00E85609" w:rsidRPr="00F745EE" w:rsidRDefault="00E85609" w:rsidP="00FB0730">
            <w:r w:rsidRPr="00F745EE">
              <w:t>Wissenschaftliche Mitarbeiterin am Lehrstuhl für Staats- und Verwaltungsrecht sowie Medienrecht der Universität Leipzig</w:t>
            </w:r>
          </w:p>
        </w:tc>
      </w:tr>
      <w:tr w:rsidR="00D466C1" w:rsidRPr="002C788A" w14:paraId="0F6F2771" w14:textId="77777777" w:rsidTr="007F5EA3">
        <w:trPr>
          <w:tblCellSpacing w:w="15" w:type="dxa"/>
        </w:trPr>
        <w:tc>
          <w:tcPr>
            <w:tcW w:w="0" w:type="auto"/>
            <w:vAlign w:val="center"/>
          </w:tcPr>
          <w:p w14:paraId="5403F892" w14:textId="24FF7FBF" w:rsidR="00D466C1" w:rsidRDefault="00091FED" w:rsidP="00D466C1">
            <w:pPr>
              <w:rPr>
                <w:rStyle w:val="Hyperlink"/>
              </w:rPr>
            </w:pPr>
            <w:hyperlink r:id="rId33" w:history="1">
              <w:r w:rsidR="00D466C1" w:rsidRPr="002C788A">
                <w:rPr>
                  <w:rStyle w:val="Hyperlink"/>
                </w:rPr>
                <w:t>Himstedt, Jana</w:t>
              </w:r>
            </w:hyperlink>
          </w:p>
        </w:tc>
        <w:tc>
          <w:tcPr>
            <w:tcW w:w="0" w:type="auto"/>
            <w:vAlign w:val="center"/>
          </w:tcPr>
          <w:p w14:paraId="3763EC5B" w14:textId="5D8592B7" w:rsidR="00D466C1" w:rsidRPr="00F745EE" w:rsidRDefault="00D466C1" w:rsidP="00D466C1">
            <w:r w:rsidRPr="00F745EE">
              <w:t xml:space="preserve">Wissenschaftliche Mitarbeiterin am Lehrstuhl für Öffentliches Recht, insbesondere Verwaltungsrecht der </w:t>
            </w:r>
            <w:r w:rsidRPr="00F745EE">
              <w:rPr>
                <w:rStyle w:val="Hyperlink"/>
                <w:color w:val="auto"/>
              </w:rPr>
              <w:t>Freien Universität Berlin</w:t>
            </w:r>
          </w:p>
        </w:tc>
      </w:tr>
      <w:tr w:rsidR="00D466C1" w:rsidRPr="002C788A" w14:paraId="0D13022E" w14:textId="77777777" w:rsidTr="007F5EA3">
        <w:trPr>
          <w:tblCellSpacing w:w="15" w:type="dxa"/>
        </w:trPr>
        <w:tc>
          <w:tcPr>
            <w:tcW w:w="0" w:type="auto"/>
            <w:vAlign w:val="center"/>
            <w:hideMark/>
          </w:tcPr>
          <w:p w14:paraId="7965814B" w14:textId="78D475B6" w:rsidR="00D466C1" w:rsidRPr="002C788A" w:rsidRDefault="00091FED" w:rsidP="00D466C1">
            <w:hyperlink r:id="rId34" w:history="1">
              <w:r w:rsidR="00D466C1" w:rsidRPr="002C788A">
                <w:rPr>
                  <w:rStyle w:val="Hyperlink"/>
                </w:rPr>
                <w:t>Kernchen, Tanja</w:t>
              </w:r>
            </w:hyperlink>
          </w:p>
        </w:tc>
        <w:tc>
          <w:tcPr>
            <w:tcW w:w="0" w:type="auto"/>
            <w:vAlign w:val="center"/>
            <w:hideMark/>
          </w:tcPr>
          <w:p w14:paraId="461E2234" w14:textId="0965DA6D" w:rsidR="00D466C1" w:rsidRPr="00F745EE" w:rsidRDefault="00D466C1" w:rsidP="00D466C1">
            <w:r w:rsidRPr="00F745EE">
              <w:t xml:space="preserve">Wissenschaftliche Mitarbeiterin am Lehrstuhl für Öffentliches Recht, Medien- und Telekommunikationsrecht an der </w:t>
            </w:r>
            <w:r w:rsidRPr="00F745EE">
              <w:rPr>
                <w:rStyle w:val="Hyperlink"/>
                <w:color w:val="auto"/>
              </w:rPr>
              <w:t>Universität Hamburg</w:t>
            </w:r>
          </w:p>
        </w:tc>
      </w:tr>
      <w:tr w:rsidR="00D466C1" w:rsidRPr="002C788A" w14:paraId="3E65B695" w14:textId="77777777" w:rsidTr="007F5EA3">
        <w:trPr>
          <w:tblCellSpacing w:w="15" w:type="dxa"/>
        </w:trPr>
        <w:tc>
          <w:tcPr>
            <w:tcW w:w="0" w:type="auto"/>
            <w:vAlign w:val="center"/>
            <w:hideMark/>
          </w:tcPr>
          <w:p w14:paraId="2D4757A8" w14:textId="09B4B138" w:rsidR="00D466C1" w:rsidRPr="002C788A" w:rsidRDefault="00091FED" w:rsidP="00D466C1">
            <w:hyperlink r:id="rId35" w:history="1">
              <w:r w:rsidR="00D466C1" w:rsidRPr="002C788A">
                <w:rPr>
                  <w:rStyle w:val="Hyperlink"/>
                </w:rPr>
                <w:t>Kienle, Thomas, Ass. iur.</w:t>
              </w:r>
            </w:hyperlink>
          </w:p>
        </w:tc>
        <w:tc>
          <w:tcPr>
            <w:tcW w:w="0" w:type="auto"/>
            <w:vAlign w:val="center"/>
            <w:hideMark/>
          </w:tcPr>
          <w:p w14:paraId="24FAA3AC" w14:textId="50DE79DE" w:rsidR="00D466C1" w:rsidRPr="00F745EE" w:rsidRDefault="00D466C1" w:rsidP="00D466C1">
            <w:r w:rsidRPr="00F745EE">
              <w:t>Wissenschaftlicher Mitarbeiter am Lehrstuhl für Verwaltungswissenschaft, Staatsrecht, Verwaltungsrecht und Europarecht an der Deutschen Universität für Verwaltungswissenschaften Speyer</w:t>
            </w:r>
          </w:p>
        </w:tc>
      </w:tr>
      <w:tr w:rsidR="00D466C1" w:rsidRPr="002C788A" w14:paraId="6A6B7BDA" w14:textId="77777777" w:rsidTr="007F5EA3">
        <w:trPr>
          <w:tblCellSpacing w:w="15" w:type="dxa"/>
        </w:trPr>
        <w:tc>
          <w:tcPr>
            <w:tcW w:w="0" w:type="auto"/>
            <w:vAlign w:val="center"/>
            <w:hideMark/>
          </w:tcPr>
          <w:p w14:paraId="166BDA36" w14:textId="016A36BA" w:rsidR="00D466C1" w:rsidRPr="002C788A" w:rsidRDefault="00D466C1" w:rsidP="00D466C1">
            <w:r w:rsidRPr="002C788A">
              <w:t>Leinenbach, Isabel</w:t>
            </w:r>
            <w:r w:rsidR="00F745EE">
              <w:t>, Dr.</w:t>
            </w:r>
          </w:p>
        </w:tc>
        <w:tc>
          <w:tcPr>
            <w:tcW w:w="0" w:type="auto"/>
            <w:vAlign w:val="center"/>
            <w:hideMark/>
          </w:tcPr>
          <w:p w14:paraId="429F0ABB" w14:textId="06BF5E44" w:rsidR="00D466C1" w:rsidRPr="00F745EE" w:rsidRDefault="00D466C1" w:rsidP="00D466C1">
            <w:r w:rsidRPr="00F745EE">
              <w:t>Rechtsreferendarin am OLG des Saarlandes</w:t>
            </w:r>
          </w:p>
        </w:tc>
      </w:tr>
      <w:tr w:rsidR="00D466C1" w:rsidRPr="002C788A" w14:paraId="1080B246" w14:textId="77777777" w:rsidTr="007F5EA3">
        <w:trPr>
          <w:tblCellSpacing w:w="15" w:type="dxa"/>
        </w:trPr>
        <w:tc>
          <w:tcPr>
            <w:tcW w:w="0" w:type="auto"/>
            <w:vAlign w:val="center"/>
            <w:hideMark/>
          </w:tcPr>
          <w:p w14:paraId="636D7545" w14:textId="0E4DAB4D" w:rsidR="00D466C1" w:rsidRPr="002C788A" w:rsidRDefault="00091FED" w:rsidP="00D466C1">
            <w:hyperlink r:id="rId36" w:history="1">
              <w:r w:rsidR="00D466C1" w:rsidRPr="00F745EE">
                <w:rPr>
                  <w:rStyle w:val="Hyperlink"/>
                </w:rPr>
                <w:t>Michel, Stefan, LL.M.</w:t>
              </w:r>
            </w:hyperlink>
          </w:p>
        </w:tc>
        <w:tc>
          <w:tcPr>
            <w:tcW w:w="0" w:type="auto"/>
            <w:vAlign w:val="center"/>
            <w:hideMark/>
          </w:tcPr>
          <w:p w14:paraId="7938BB91" w14:textId="05BE9B9A" w:rsidR="00D466C1" w:rsidRPr="00F745EE" w:rsidRDefault="00D466C1" w:rsidP="00D466C1">
            <w:r w:rsidRPr="00F745EE">
              <w:t xml:space="preserve">Wissenschaftlicher Mitarbeiter am Lehrstuhl für Medienrecht, Kulturrecht und öffentliches Recht der </w:t>
            </w:r>
            <w:r w:rsidR="00F745EE" w:rsidRPr="00F745EE">
              <w:rPr>
                <w:rStyle w:val="Hyperlink"/>
                <w:color w:val="auto"/>
              </w:rPr>
              <w:t>Johannes-Gutenberg-Universität</w:t>
            </w:r>
            <w:r w:rsidRPr="00F745EE">
              <w:rPr>
                <w:rStyle w:val="Hyperlink"/>
                <w:color w:val="auto"/>
              </w:rPr>
              <w:t xml:space="preserve"> Mainz</w:t>
            </w:r>
          </w:p>
        </w:tc>
      </w:tr>
      <w:tr w:rsidR="00D466C1" w:rsidRPr="002C788A" w14:paraId="154D255F" w14:textId="77777777" w:rsidTr="007F5EA3">
        <w:trPr>
          <w:tblCellSpacing w:w="15" w:type="dxa"/>
        </w:trPr>
        <w:tc>
          <w:tcPr>
            <w:tcW w:w="0" w:type="auto"/>
            <w:vAlign w:val="center"/>
            <w:hideMark/>
          </w:tcPr>
          <w:p w14:paraId="345AF38E" w14:textId="73FF6C9C" w:rsidR="00D466C1" w:rsidRPr="002C788A" w:rsidRDefault="00091FED" w:rsidP="00D466C1">
            <w:hyperlink r:id="rId37" w:history="1">
              <w:r w:rsidR="00D466C1" w:rsidRPr="002C788A">
                <w:rPr>
                  <w:rStyle w:val="Hyperlink"/>
                </w:rPr>
                <w:t>Prinz, Hendrik</w:t>
              </w:r>
            </w:hyperlink>
          </w:p>
        </w:tc>
        <w:tc>
          <w:tcPr>
            <w:tcW w:w="0" w:type="auto"/>
            <w:vAlign w:val="center"/>
            <w:hideMark/>
          </w:tcPr>
          <w:p w14:paraId="203E68F4" w14:textId="2C5DEC9F" w:rsidR="00D466C1" w:rsidRPr="00F745EE" w:rsidRDefault="00D466C1" w:rsidP="00D466C1">
            <w:r w:rsidRPr="00F745EE">
              <w:t xml:space="preserve">Wissenschaftlicher Mitarbeiter am Lehrstuhl für Öffentliches Recht, insbesondere Steuerrecht und Öffentliches Wirtschaftsrecht der </w:t>
            </w:r>
            <w:r w:rsidRPr="00F745EE">
              <w:rPr>
                <w:rStyle w:val="Hyperlink"/>
                <w:color w:val="auto"/>
              </w:rPr>
              <w:t>Universität Leipzig</w:t>
            </w:r>
          </w:p>
        </w:tc>
      </w:tr>
      <w:tr w:rsidR="00D466C1" w:rsidRPr="002C788A" w14:paraId="52113B89" w14:textId="77777777" w:rsidTr="007F5EA3">
        <w:trPr>
          <w:tblCellSpacing w:w="15" w:type="dxa"/>
        </w:trPr>
        <w:tc>
          <w:tcPr>
            <w:tcW w:w="0" w:type="auto"/>
            <w:vAlign w:val="center"/>
            <w:hideMark/>
          </w:tcPr>
          <w:p w14:paraId="0CA210F5" w14:textId="28F69083" w:rsidR="00D466C1" w:rsidRPr="002C788A" w:rsidRDefault="00091FED" w:rsidP="00D466C1">
            <w:hyperlink r:id="rId38" w:history="1">
              <w:r w:rsidR="00D466C1" w:rsidRPr="002C788A">
                <w:rPr>
                  <w:rStyle w:val="Hyperlink"/>
                </w:rPr>
                <w:t>Sikora, Judith</w:t>
              </w:r>
            </w:hyperlink>
          </w:p>
        </w:tc>
        <w:tc>
          <w:tcPr>
            <w:tcW w:w="0" w:type="auto"/>
            <w:vAlign w:val="center"/>
            <w:hideMark/>
          </w:tcPr>
          <w:p w14:paraId="40713529" w14:textId="4D3C58BF" w:rsidR="00D466C1" w:rsidRPr="00F745EE" w:rsidRDefault="00D466C1" w:rsidP="00D466C1">
            <w:r w:rsidRPr="00F745EE">
              <w:t xml:space="preserve">Wissenschaftliche Mitarbeiterin am Lehrstuhl für Öffentliches Recht der </w:t>
            </w:r>
            <w:r w:rsidR="00A8236D" w:rsidRPr="00F745EE">
              <w:rPr>
                <w:rStyle w:val="Hyperlink"/>
                <w:color w:val="auto"/>
              </w:rPr>
              <w:t>Phi</w:t>
            </w:r>
            <w:r w:rsidRPr="00F745EE">
              <w:rPr>
                <w:rStyle w:val="Hyperlink"/>
                <w:color w:val="auto"/>
              </w:rPr>
              <w:t>lipps-Universität Marburg</w:t>
            </w:r>
          </w:p>
        </w:tc>
      </w:tr>
      <w:tr w:rsidR="00D466C1" w:rsidRPr="002C788A" w14:paraId="4D1AF58C" w14:textId="77777777" w:rsidTr="007F5EA3">
        <w:trPr>
          <w:tblCellSpacing w:w="15" w:type="dxa"/>
        </w:trPr>
        <w:tc>
          <w:tcPr>
            <w:tcW w:w="0" w:type="auto"/>
            <w:vAlign w:val="center"/>
          </w:tcPr>
          <w:p w14:paraId="0D3D8E1F" w14:textId="1612C48A" w:rsidR="00D466C1" w:rsidRDefault="00091FED" w:rsidP="00D466C1">
            <w:pPr>
              <w:rPr>
                <w:rStyle w:val="Hyperlink"/>
              </w:rPr>
            </w:pPr>
            <w:hyperlink r:id="rId39" w:history="1">
              <w:r w:rsidR="00D466C1" w:rsidRPr="002C788A">
                <w:rPr>
                  <w:rStyle w:val="Hyperlink"/>
                </w:rPr>
                <w:t>Skobel, Eva</w:t>
              </w:r>
            </w:hyperlink>
          </w:p>
        </w:tc>
        <w:tc>
          <w:tcPr>
            <w:tcW w:w="0" w:type="auto"/>
            <w:vAlign w:val="center"/>
          </w:tcPr>
          <w:p w14:paraId="0D81F183" w14:textId="5E441D28" w:rsidR="00D466C1" w:rsidRPr="00F745EE" w:rsidRDefault="00D466C1" w:rsidP="00D466C1">
            <w:r w:rsidRPr="00F745EE">
              <w:t xml:space="preserve">Wissenschaftliche Mitarbeiterin am Lehrstuhl für Öffentliches Recht und Informationsrecht, insbesondere Datenschutzrecht der </w:t>
            </w:r>
            <w:r w:rsidRPr="00F745EE">
              <w:rPr>
                <w:rStyle w:val="Hyperlink"/>
                <w:color w:val="auto"/>
              </w:rPr>
              <w:t>Johannes-Gutenberg-Universität Mainz</w:t>
            </w:r>
          </w:p>
        </w:tc>
      </w:tr>
      <w:tr w:rsidR="00D466C1" w:rsidRPr="002C788A" w14:paraId="0990CEFF" w14:textId="77777777" w:rsidTr="007F5EA3">
        <w:trPr>
          <w:tblCellSpacing w:w="15" w:type="dxa"/>
        </w:trPr>
        <w:tc>
          <w:tcPr>
            <w:tcW w:w="0" w:type="auto"/>
            <w:vAlign w:val="center"/>
            <w:hideMark/>
          </w:tcPr>
          <w:p w14:paraId="7A25E835" w14:textId="690A9887" w:rsidR="00D466C1" w:rsidRPr="002C788A" w:rsidRDefault="00091FED" w:rsidP="00D466C1">
            <w:hyperlink r:id="rId40" w:history="1">
              <w:r w:rsidR="00D466C1" w:rsidRPr="002C788A">
                <w:rPr>
                  <w:rStyle w:val="Hyperlink"/>
                </w:rPr>
                <w:t>Sollmann, Erik</w:t>
              </w:r>
            </w:hyperlink>
          </w:p>
        </w:tc>
        <w:tc>
          <w:tcPr>
            <w:tcW w:w="0" w:type="auto"/>
            <w:vAlign w:val="center"/>
            <w:hideMark/>
          </w:tcPr>
          <w:p w14:paraId="1B4A399C" w14:textId="0A6F4F63" w:rsidR="00D466C1" w:rsidRPr="00F745EE" w:rsidRDefault="00D466C1" w:rsidP="00D466C1">
            <w:r w:rsidRPr="00F745EE">
              <w:t xml:space="preserve">Wissenschaftlicher Mitarbeiter am Lehrstuhl für Staats- und Verwaltungsrecht, Rechtsvergleichung, Europarecht der </w:t>
            </w:r>
            <w:r w:rsidR="00F745EE" w:rsidRPr="00F745EE">
              <w:rPr>
                <w:rStyle w:val="Hyperlink"/>
                <w:color w:val="auto"/>
              </w:rPr>
              <w:t>Johannes-Gutenberg-Universität</w:t>
            </w:r>
            <w:r w:rsidRPr="00F745EE">
              <w:rPr>
                <w:rStyle w:val="Hyperlink"/>
                <w:color w:val="auto"/>
              </w:rPr>
              <w:t xml:space="preserve"> Mainz</w:t>
            </w:r>
          </w:p>
        </w:tc>
      </w:tr>
    </w:tbl>
    <w:p w14:paraId="3CB8A591" w14:textId="77777777" w:rsidR="00E85609" w:rsidRPr="002C788A" w:rsidRDefault="00E85609" w:rsidP="00E85609"/>
    <w:p w14:paraId="12B46FF0" w14:textId="77777777" w:rsidR="00E85609" w:rsidRDefault="00E85609" w:rsidP="00E85609">
      <w:r>
        <w:br w:type="page"/>
      </w:r>
    </w:p>
    <w:p w14:paraId="49234A91" w14:textId="7B337EF1" w:rsidR="001E6008" w:rsidRPr="00410C5C" w:rsidRDefault="001E6008" w:rsidP="00586556">
      <w:pPr>
        <w:pStyle w:val="berschrift1"/>
      </w:pPr>
      <w:bookmarkStart w:id="13" w:name="_Toc10463373"/>
      <w:bookmarkStart w:id="14" w:name="_Toc22132760"/>
      <w:r w:rsidRPr="00410C5C">
        <w:lastRenderedPageBreak/>
        <w:t>Abkürzungsverzeichnis</w:t>
      </w:r>
      <w:bookmarkEnd w:id="13"/>
      <w:bookmarkEnd w:id="14"/>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3824"/>
      </w:tblGrid>
      <w:tr w:rsidR="005715B8" w:rsidRPr="00410C5C" w14:paraId="164381BC" w14:textId="77777777" w:rsidTr="00D21C1D">
        <w:tc>
          <w:tcPr>
            <w:tcW w:w="4530" w:type="dxa"/>
          </w:tcPr>
          <w:p w14:paraId="7B320047" w14:textId="36D4B5CE" w:rsidR="005715B8" w:rsidRPr="00410C5C" w:rsidRDefault="005715B8" w:rsidP="00A94CB1">
            <w:r>
              <w:t>a.A.</w:t>
            </w:r>
          </w:p>
        </w:tc>
        <w:tc>
          <w:tcPr>
            <w:tcW w:w="4530" w:type="dxa"/>
          </w:tcPr>
          <w:p w14:paraId="48419024" w14:textId="044E8939" w:rsidR="005715B8" w:rsidRPr="00410C5C" w:rsidRDefault="005715B8">
            <w:r>
              <w:t>andere Ansicht</w:t>
            </w:r>
          </w:p>
        </w:tc>
      </w:tr>
      <w:tr w:rsidR="00A94CB1" w:rsidRPr="00410C5C" w14:paraId="7F069215" w14:textId="77777777" w:rsidTr="00D21C1D">
        <w:tc>
          <w:tcPr>
            <w:tcW w:w="4530" w:type="dxa"/>
          </w:tcPr>
          <w:p w14:paraId="22E01D35" w14:textId="53815942" w:rsidR="00A94CB1" w:rsidRPr="00410C5C" w:rsidRDefault="00A94CB1" w:rsidP="00A94CB1">
            <w:r w:rsidRPr="00410C5C">
              <w:t>a.a.O.</w:t>
            </w:r>
          </w:p>
        </w:tc>
        <w:tc>
          <w:tcPr>
            <w:tcW w:w="4530" w:type="dxa"/>
          </w:tcPr>
          <w:p w14:paraId="0ACD3F6B" w14:textId="6EDBEB52" w:rsidR="00A94CB1" w:rsidRPr="00410C5C" w:rsidRDefault="00A94CB1">
            <w:r w:rsidRPr="00410C5C">
              <w:t>am angegebenen Ort</w:t>
            </w:r>
          </w:p>
        </w:tc>
      </w:tr>
      <w:tr w:rsidR="00A94CB1" w:rsidRPr="00410C5C" w14:paraId="38664C52" w14:textId="77777777" w:rsidTr="00D21C1D">
        <w:tc>
          <w:tcPr>
            <w:tcW w:w="4530" w:type="dxa"/>
          </w:tcPr>
          <w:p w14:paraId="3A1F21E5" w14:textId="1AC3D0B0" w:rsidR="00A94CB1" w:rsidRPr="00410C5C" w:rsidRDefault="00A94CB1">
            <w:r w:rsidRPr="00410C5C">
              <w:t>Aufl.</w:t>
            </w:r>
          </w:p>
        </w:tc>
        <w:tc>
          <w:tcPr>
            <w:tcW w:w="4530" w:type="dxa"/>
          </w:tcPr>
          <w:p w14:paraId="5764282E" w14:textId="42CC5750" w:rsidR="00A94CB1" w:rsidRPr="00410C5C" w:rsidRDefault="00E30376">
            <w:r>
              <w:t>Auflage</w:t>
            </w:r>
          </w:p>
        </w:tc>
      </w:tr>
      <w:tr w:rsidR="002347DD" w:rsidRPr="00410C5C" w14:paraId="315CE236" w14:textId="77777777" w:rsidTr="00D21C1D">
        <w:tc>
          <w:tcPr>
            <w:tcW w:w="4530" w:type="dxa"/>
          </w:tcPr>
          <w:p w14:paraId="37F4C8F4" w14:textId="535EED8F" w:rsidR="002347DD" w:rsidRPr="00410C5C" w:rsidRDefault="002347DD">
            <w:r>
              <w:t>Az.:</w:t>
            </w:r>
          </w:p>
        </w:tc>
        <w:tc>
          <w:tcPr>
            <w:tcW w:w="4530" w:type="dxa"/>
          </w:tcPr>
          <w:p w14:paraId="44CE1733" w14:textId="7BCC6CC6" w:rsidR="002347DD" w:rsidRDefault="002347DD">
            <w:r>
              <w:t>Aktenzeichen</w:t>
            </w:r>
          </w:p>
        </w:tc>
      </w:tr>
      <w:tr w:rsidR="00723870" w:rsidRPr="00410C5C" w14:paraId="033F8155" w14:textId="77777777" w:rsidTr="00D21C1D">
        <w:tc>
          <w:tcPr>
            <w:tcW w:w="4530" w:type="dxa"/>
          </w:tcPr>
          <w:p w14:paraId="1DA1F9B5" w14:textId="365148DC" w:rsidR="00723870" w:rsidRDefault="00723870">
            <w:r>
              <w:t>Beschl. v.</w:t>
            </w:r>
          </w:p>
        </w:tc>
        <w:tc>
          <w:tcPr>
            <w:tcW w:w="4530" w:type="dxa"/>
          </w:tcPr>
          <w:p w14:paraId="69F5515E" w14:textId="6764F57E" w:rsidR="00723870" w:rsidRDefault="00723870">
            <w:r>
              <w:t>Beschluss vom</w:t>
            </w:r>
          </w:p>
        </w:tc>
      </w:tr>
      <w:tr w:rsidR="00A94CB1" w:rsidRPr="00410C5C" w14:paraId="1775E3F8" w14:textId="77777777" w:rsidTr="00D21C1D">
        <w:tc>
          <w:tcPr>
            <w:tcW w:w="4530" w:type="dxa"/>
          </w:tcPr>
          <w:p w14:paraId="478AB6F0" w14:textId="41D9E894" w:rsidR="00A94CB1" w:rsidRPr="00410C5C" w:rsidRDefault="00A94CB1">
            <w:r w:rsidRPr="00410C5C">
              <w:t>BR-Drucks.</w:t>
            </w:r>
          </w:p>
        </w:tc>
        <w:tc>
          <w:tcPr>
            <w:tcW w:w="4530" w:type="dxa"/>
          </w:tcPr>
          <w:p w14:paraId="2F98E42A" w14:textId="5FBC5EBD" w:rsidR="00A94CB1" w:rsidRPr="00410C5C" w:rsidRDefault="00A94CB1">
            <w:r w:rsidRPr="00410C5C">
              <w:t>Bundesrats-Drucksache</w:t>
            </w:r>
          </w:p>
        </w:tc>
      </w:tr>
      <w:tr w:rsidR="00A94CB1" w:rsidRPr="00410C5C" w14:paraId="4FA147E8" w14:textId="77777777" w:rsidTr="00D21C1D">
        <w:tc>
          <w:tcPr>
            <w:tcW w:w="4530" w:type="dxa"/>
          </w:tcPr>
          <w:p w14:paraId="20B76A3A" w14:textId="10E299EE" w:rsidR="00A94CB1" w:rsidRPr="00410C5C" w:rsidRDefault="00A94CB1">
            <w:r w:rsidRPr="00410C5C">
              <w:t>BT-Drucks.</w:t>
            </w:r>
          </w:p>
        </w:tc>
        <w:tc>
          <w:tcPr>
            <w:tcW w:w="4530" w:type="dxa"/>
          </w:tcPr>
          <w:p w14:paraId="3772F156" w14:textId="60380657" w:rsidR="00A94CB1" w:rsidRPr="00410C5C" w:rsidRDefault="00A94CB1">
            <w:r w:rsidRPr="00410C5C">
              <w:t>Bundestags-Drucksache</w:t>
            </w:r>
          </w:p>
        </w:tc>
      </w:tr>
      <w:tr w:rsidR="00832B2C" w:rsidRPr="00410C5C" w14:paraId="46027FC0" w14:textId="77777777" w:rsidTr="00D21C1D">
        <w:tc>
          <w:tcPr>
            <w:tcW w:w="4530" w:type="dxa"/>
          </w:tcPr>
          <w:p w14:paraId="69C1B046" w14:textId="7435DC27" w:rsidR="00832B2C" w:rsidRPr="00410C5C" w:rsidRDefault="00832B2C">
            <w:r>
              <w:t>bzw.</w:t>
            </w:r>
          </w:p>
        </w:tc>
        <w:tc>
          <w:tcPr>
            <w:tcW w:w="4530" w:type="dxa"/>
          </w:tcPr>
          <w:p w14:paraId="46946564" w14:textId="3F73AC46" w:rsidR="00832B2C" w:rsidRPr="00410C5C" w:rsidRDefault="00832B2C">
            <w:r>
              <w:t>beziehungsweise</w:t>
            </w:r>
          </w:p>
        </w:tc>
      </w:tr>
      <w:tr w:rsidR="00620FA8" w:rsidRPr="00410C5C" w14:paraId="62CDEE47" w14:textId="77777777" w:rsidTr="00D21C1D">
        <w:tc>
          <w:tcPr>
            <w:tcW w:w="4530" w:type="dxa"/>
          </w:tcPr>
          <w:p w14:paraId="5FD86E6C" w14:textId="113AF356" w:rsidR="00620FA8" w:rsidRDefault="00620FA8">
            <w:r>
              <w:t>d.h.</w:t>
            </w:r>
          </w:p>
        </w:tc>
        <w:tc>
          <w:tcPr>
            <w:tcW w:w="4530" w:type="dxa"/>
          </w:tcPr>
          <w:p w14:paraId="0D111136" w14:textId="7F5F7272" w:rsidR="00620FA8" w:rsidRDefault="00620FA8">
            <w:r>
              <w:t>das heißt</w:t>
            </w:r>
          </w:p>
        </w:tc>
      </w:tr>
      <w:tr w:rsidR="005715B8" w:rsidRPr="00410C5C" w14:paraId="539EA376" w14:textId="77777777" w:rsidTr="00D21C1D">
        <w:tc>
          <w:tcPr>
            <w:tcW w:w="4530" w:type="dxa"/>
          </w:tcPr>
          <w:p w14:paraId="043CC925" w14:textId="07F1C93A" w:rsidR="005715B8" w:rsidRDefault="005715B8">
            <w:r>
              <w:t>e.A.</w:t>
            </w:r>
          </w:p>
        </w:tc>
        <w:tc>
          <w:tcPr>
            <w:tcW w:w="4530" w:type="dxa"/>
          </w:tcPr>
          <w:p w14:paraId="2AFD547A" w14:textId="33624144" w:rsidR="005715B8" w:rsidRDefault="005715B8">
            <w:r>
              <w:t>eine Ansicht</w:t>
            </w:r>
          </w:p>
        </w:tc>
      </w:tr>
      <w:tr w:rsidR="000D2C9D" w:rsidRPr="00410C5C" w14:paraId="5C446F57" w14:textId="77777777" w:rsidTr="00D21C1D">
        <w:tc>
          <w:tcPr>
            <w:tcW w:w="4530" w:type="dxa"/>
          </w:tcPr>
          <w:p w14:paraId="6A7C08EF" w14:textId="48704CC6" w:rsidR="000D2C9D" w:rsidRDefault="000D2C9D">
            <w:r>
              <w:t>Ed.</w:t>
            </w:r>
          </w:p>
        </w:tc>
        <w:tc>
          <w:tcPr>
            <w:tcW w:w="4530" w:type="dxa"/>
          </w:tcPr>
          <w:p w14:paraId="336F9F71" w14:textId="173E1E8D" w:rsidR="000D2C9D" w:rsidRDefault="000D2C9D">
            <w:r>
              <w:t>Edition</w:t>
            </w:r>
          </w:p>
        </w:tc>
      </w:tr>
      <w:tr w:rsidR="002E1414" w:rsidRPr="00410C5C" w14:paraId="5AB7217A" w14:textId="77777777" w:rsidTr="00D21C1D">
        <w:tc>
          <w:tcPr>
            <w:tcW w:w="4530" w:type="dxa"/>
          </w:tcPr>
          <w:p w14:paraId="498E885C" w14:textId="3E8C2CF2" w:rsidR="002E1414" w:rsidRPr="00410C5C" w:rsidRDefault="002E1414">
            <w:r>
              <w:t>EL</w:t>
            </w:r>
          </w:p>
        </w:tc>
        <w:tc>
          <w:tcPr>
            <w:tcW w:w="4530" w:type="dxa"/>
          </w:tcPr>
          <w:p w14:paraId="7C120783" w14:textId="22A521C6" w:rsidR="002E1414" w:rsidRPr="00410C5C" w:rsidRDefault="002E1414" w:rsidP="00A94CB1">
            <w:r>
              <w:t>Ergänzungslieferung</w:t>
            </w:r>
          </w:p>
        </w:tc>
      </w:tr>
      <w:tr w:rsidR="00A94CB1" w:rsidRPr="00410C5C" w14:paraId="11DE0022" w14:textId="77777777" w:rsidTr="00D21C1D">
        <w:tc>
          <w:tcPr>
            <w:tcW w:w="4530" w:type="dxa"/>
          </w:tcPr>
          <w:p w14:paraId="79507D0C" w14:textId="035B29B1" w:rsidR="00A94CB1" w:rsidRPr="00410C5C" w:rsidRDefault="00A94CB1">
            <w:r w:rsidRPr="00410C5C">
              <w:t>f./ff.</w:t>
            </w:r>
          </w:p>
        </w:tc>
        <w:tc>
          <w:tcPr>
            <w:tcW w:w="4530" w:type="dxa"/>
          </w:tcPr>
          <w:p w14:paraId="1FDA3989" w14:textId="79841A9A" w:rsidR="00A94CB1" w:rsidRPr="00410C5C" w:rsidRDefault="00A8236D" w:rsidP="00A94CB1">
            <w:r>
              <w:t>folg</w:t>
            </w:r>
            <w:r w:rsidR="00A94CB1" w:rsidRPr="00410C5C">
              <w:t>ender/folgende</w:t>
            </w:r>
          </w:p>
        </w:tc>
      </w:tr>
      <w:tr w:rsidR="00A94CB1" w:rsidRPr="00410C5C" w14:paraId="46538FD1" w14:textId="77777777" w:rsidTr="00D21C1D">
        <w:tc>
          <w:tcPr>
            <w:tcW w:w="4530" w:type="dxa"/>
          </w:tcPr>
          <w:p w14:paraId="0CB7D725" w14:textId="0E7410A7" w:rsidR="00A94CB1" w:rsidRPr="00410C5C" w:rsidRDefault="00A94CB1">
            <w:r w:rsidRPr="00410C5C">
              <w:t>Fn.</w:t>
            </w:r>
          </w:p>
        </w:tc>
        <w:tc>
          <w:tcPr>
            <w:tcW w:w="4530" w:type="dxa"/>
          </w:tcPr>
          <w:p w14:paraId="03C5622A" w14:textId="15AF916A" w:rsidR="00A94CB1" w:rsidRPr="00410C5C" w:rsidRDefault="00A94CB1">
            <w:r w:rsidRPr="00410C5C">
              <w:t>Fußnote</w:t>
            </w:r>
          </w:p>
        </w:tc>
      </w:tr>
      <w:tr w:rsidR="0034557A" w:rsidRPr="00410C5C" w14:paraId="569C619A" w14:textId="77777777" w:rsidTr="00D21C1D">
        <w:tc>
          <w:tcPr>
            <w:tcW w:w="4530" w:type="dxa"/>
          </w:tcPr>
          <w:p w14:paraId="02AC8D3B" w14:textId="08EA21F9" w:rsidR="0034557A" w:rsidRPr="00410C5C" w:rsidRDefault="0034557A">
            <w:r>
              <w:t>ggf.</w:t>
            </w:r>
          </w:p>
        </w:tc>
        <w:tc>
          <w:tcPr>
            <w:tcW w:w="4530" w:type="dxa"/>
          </w:tcPr>
          <w:p w14:paraId="30B2CE2D" w14:textId="1926062E" w:rsidR="0034557A" w:rsidRPr="00410C5C" w:rsidRDefault="0034557A">
            <w:r>
              <w:t>gegebenenfalls</w:t>
            </w:r>
          </w:p>
        </w:tc>
      </w:tr>
      <w:tr w:rsidR="00A94CB1" w:rsidRPr="00410C5C" w14:paraId="21496089" w14:textId="77777777" w:rsidTr="00D21C1D">
        <w:tc>
          <w:tcPr>
            <w:tcW w:w="4530" w:type="dxa"/>
          </w:tcPr>
          <w:p w14:paraId="3A026696" w14:textId="170927D6" w:rsidR="00A94CB1" w:rsidRPr="00410C5C" w:rsidRDefault="00A94CB1">
            <w:r w:rsidRPr="00410C5C">
              <w:t>i.d.F.</w:t>
            </w:r>
          </w:p>
        </w:tc>
        <w:tc>
          <w:tcPr>
            <w:tcW w:w="4530" w:type="dxa"/>
          </w:tcPr>
          <w:p w14:paraId="092666FB" w14:textId="7335DB37" w:rsidR="00A94CB1" w:rsidRPr="00410C5C" w:rsidRDefault="00A94CB1">
            <w:r w:rsidRPr="00410C5C">
              <w:t>in der Fassung</w:t>
            </w:r>
          </w:p>
        </w:tc>
      </w:tr>
      <w:tr w:rsidR="003E0D24" w:rsidRPr="00410C5C" w14:paraId="27B38367" w14:textId="77777777" w:rsidTr="00D21C1D">
        <w:tc>
          <w:tcPr>
            <w:tcW w:w="4530" w:type="dxa"/>
          </w:tcPr>
          <w:p w14:paraId="3C16C0B6" w14:textId="60579055" w:rsidR="003E0D24" w:rsidRPr="00410C5C" w:rsidRDefault="003E0D24">
            <w:r>
              <w:t>i.E.</w:t>
            </w:r>
          </w:p>
        </w:tc>
        <w:tc>
          <w:tcPr>
            <w:tcW w:w="4530" w:type="dxa"/>
          </w:tcPr>
          <w:p w14:paraId="4FEBE4C0" w14:textId="6A62131E" w:rsidR="003E0D24" w:rsidRPr="00410C5C" w:rsidRDefault="003E0D24">
            <w:r>
              <w:t>im Erscheinen</w:t>
            </w:r>
          </w:p>
        </w:tc>
      </w:tr>
      <w:tr w:rsidR="00D61554" w:rsidRPr="00410C5C" w14:paraId="77FB2F60" w14:textId="77777777" w:rsidTr="00D21C1D">
        <w:tc>
          <w:tcPr>
            <w:tcW w:w="4530" w:type="dxa"/>
          </w:tcPr>
          <w:p w14:paraId="7AABF066" w14:textId="7A55777F" w:rsidR="00D61554" w:rsidRPr="00410C5C" w:rsidRDefault="00D61554">
            <w:r>
              <w:t>i.S.v.</w:t>
            </w:r>
          </w:p>
        </w:tc>
        <w:tc>
          <w:tcPr>
            <w:tcW w:w="4530" w:type="dxa"/>
          </w:tcPr>
          <w:p w14:paraId="31327690" w14:textId="10777052" w:rsidR="00D61554" w:rsidRPr="00410C5C" w:rsidRDefault="00D61554">
            <w:r>
              <w:t>im Sinne von</w:t>
            </w:r>
          </w:p>
        </w:tc>
      </w:tr>
      <w:tr w:rsidR="00A94CB1" w:rsidRPr="00410C5C" w14:paraId="2E5B9652" w14:textId="77777777" w:rsidTr="00D21C1D">
        <w:tc>
          <w:tcPr>
            <w:tcW w:w="4530" w:type="dxa"/>
          </w:tcPr>
          <w:p w14:paraId="170F041E" w14:textId="0AA284DC" w:rsidR="00A94CB1" w:rsidRPr="00410C5C" w:rsidRDefault="00A94CB1">
            <w:r w:rsidRPr="00410C5C">
              <w:t>i.V.m.</w:t>
            </w:r>
          </w:p>
        </w:tc>
        <w:tc>
          <w:tcPr>
            <w:tcW w:w="4530" w:type="dxa"/>
          </w:tcPr>
          <w:p w14:paraId="361DC000" w14:textId="441107CE" w:rsidR="00A94CB1" w:rsidRPr="00410C5C" w:rsidRDefault="005A17A3">
            <w:r w:rsidRPr="00410C5C">
              <w:t>i</w:t>
            </w:r>
            <w:r w:rsidR="00A94CB1" w:rsidRPr="00410C5C">
              <w:t>n Verbindung mit</w:t>
            </w:r>
          </w:p>
        </w:tc>
      </w:tr>
      <w:tr w:rsidR="00A94CB1" w14:paraId="0E695C6B" w14:textId="77777777" w:rsidTr="00D21C1D">
        <w:tc>
          <w:tcPr>
            <w:tcW w:w="4530" w:type="dxa"/>
          </w:tcPr>
          <w:p w14:paraId="11029350" w14:textId="7B0B1E87" w:rsidR="00A94CB1" w:rsidRPr="00410C5C" w:rsidRDefault="00A94CB1">
            <w:r w:rsidRPr="00410C5C">
              <w:t>m.w.N.</w:t>
            </w:r>
          </w:p>
        </w:tc>
        <w:tc>
          <w:tcPr>
            <w:tcW w:w="4530" w:type="dxa"/>
          </w:tcPr>
          <w:p w14:paraId="2ADA2926" w14:textId="3301DF9C" w:rsidR="00A94CB1" w:rsidRDefault="005A17A3">
            <w:r w:rsidRPr="00410C5C">
              <w:t>m</w:t>
            </w:r>
            <w:r w:rsidR="00A94CB1" w:rsidRPr="00410C5C">
              <w:t>it weiteren Nachweisen</w:t>
            </w:r>
          </w:p>
        </w:tc>
      </w:tr>
      <w:tr w:rsidR="00E30376" w14:paraId="2DD4C5BF" w14:textId="77777777" w:rsidTr="00D21C1D">
        <w:tc>
          <w:tcPr>
            <w:tcW w:w="4530" w:type="dxa"/>
          </w:tcPr>
          <w:p w14:paraId="554A583B" w14:textId="2098C13A" w:rsidR="00E30376" w:rsidRPr="00410C5C" w:rsidRDefault="00E30376" w:rsidP="00E30376">
            <w:r w:rsidRPr="00410C5C">
              <w:t>Rn.</w:t>
            </w:r>
          </w:p>
        </w:tc>
        <w:tc>
          <w:tcPr>
            <w:tcW w:w="4530" w:type="dxa"/>
          </w:tcPr>
          <w:p w14:paraId="2027B198" w14:textId="1F39A49D" w:rsidR="00E30376" w:rsidRPr="00410C5C" w:rsidRDefault="00E30376" w:rsidP="00E30376">
            <w:r w:rsidRPr="00410C5C">
              <w:t>Randnummer</w:t>
            </w:r>
          </w:p>
        </w:tc>
      </w:tr>
      <w:tr w:rsidR="00E30376" w14:paraId="3E6B0FD7" w14:textId="77777777" w:rsidTr="00D21C1D">
        <w:tc>
          <w:tcPr>
            <w:tcW w:w="4530" w:type="dxa"/>
          </w:tcPr>
          <w:p w14:paraId="03840758" w14:textId="2C4B7450" w:rsidR="00E30376" w:rsidRPr="00410C5C" w:rsidRDefault="00E30376" w:rsidP="00E30376">
            <w:r>
              <w:t>s.</w:t>
            </w:r>
          </w:p>
        </w:tc>
        <w:tc>
          <w:tcPr>
            <w:tcW w:w="4530" w:type="dxa"/>
          </w:tcPr>
          <w:p w14:paraId="7B1A6394" w14:textId="65B9E64B" w:rsidR="00E30376" w:rsidRPr="00410C5C" w:rsidRDefault="00E30376" w:rsidP="00E30376">
            <w:r>
              <w:t>siehe</w:t>
            </w:r>
          </w:p>
        </w:tc>
      </w:tr>
      <w:tr w:rsidR="00484F07" w14:paraId="483B1BF2" w14:textId="77777777" w:rsidTr="00D21C1D">
        <w:tc>
          <w:tcPr>
            <w:tcW w:w="4530" w:type="dxa"/>
          </w:tcPr>
          <w:p w14:paraId="66F96DCD" w14:textId="7B9FAB47" w:rsidR="00484F07" w:rsidRDefault="00484F07" w:rsidP="00E30376">
            <w:r>
              <w:t>sog.</w:t>
            </w:r>
          </w:p>
        </w:tc>
        <w:tc>
          <w:tcPr>
            <w:tcW w:w="4530" w:type="dxa"/>
          </w:tcPr>
          <w:p w14:paraId="09F6482A" w14:textId="28B633B8" w:rsidR="00484F07" w:rsidRDefault="00484F07" w:rsidP="00E30376">
            <w:r>
              <w:t>sogenannte</w:t>
            </w:r>
          </w:p>
        </w:tc>
      </w:tr>
      <w:tr w:rsidR="00051075" w14:paraId="168E9690" w14:textId="77777777" w:rsidTr="00D21C1D">
        <w:tc>
          <w:tcPr>
            <w:tcW w:w="4530" w:type="dxa"/>
          </w:tcPr>
          <w:p w14:paraId="490530BE" w14:textId="7122B054" w:rsidR="00051075" w:rsidRDefault="00051075" w:rsidP="00E30376">
            <w:r>
              <w:t>u.a.</w:t>
            </w:r>
          </w:p>
        </w:tc>
        <w:tc>
          <w:tcPr>
            <w:tcW w:w="4530" w:type="dxa"/>
          </w:tcPr>
          <w:p w14:paraId="672BCE1A" w14:textId="3D93E40B" w:rsidR="00051075" w:rsidRDefault="00051075" w:rsidP="00E30376">
            <w:r>
              <w:t>unter anderem</w:t>
            </w:r>
          </w:p>
        </w:tc>
      </w:tr>
      <w:tr w:rsidR="00517B8D" w14:paraId="506463B8" w14:textId="77777777" w:rsidTr="00D21C1D">
        <w:tc>
          <w:tcPr>
            <w:tcW w:w="4530" w:type="dxa"/>
          </w:tcPr>
          <w:p w14:paraId="0EA5052A" w14:textId="3652796A" w:rsidR="00517B8D" w:rsidRDefault="00517B8D" w:rsidP="00E30376">
            <w:r>
              <w:t>Urt. v.</w:t>
            </w:r>
          </w:p>
        </w:tc>
        <w:tc>
          <w:tcPr>
            <w:tcW w:w="4530" w:type="dxa"/>
          </w:tcPr>
          <w:p w14:paraId="6BC3C4DE" w14:textId="15089CBF" w:rsidR="00517B8D" w:rsidRDefault="00517B8D" w:rsidP="00E30376">
            <w:r>
              <w:t>Urteil vom</w:t>
            </w:r>
          </w:p>
        </w:tc>
      </w:tr>
      <w:tr w:rsidR="00E72C5A" w14:paraId="110042A2" w14:textId="77777777" w:rsidTr="00D21C1D">
        <w:tc>
          <w:tcPr>
            <w:tcW w:w="4530" w:type="dxa"/>
          </w:tcPr>
          <w:p w14:paraId="056C5068" w14:textId="21FEE945" w:rsidR="00E72C5A" w:rsidRDefault="00E72C5A" w:rsidP="00E30376">
            <w:r>
              <w:t>vgl.</w:t>
            </w:r>
          </w:p>
        </w:tc>
        <w:tc>
          <w:tcPr>
            <w:tcW w:w="4530" w:type="dxa"/>
          </w:tcPr>
          <w:p w14:paraId="27555DE8" w14:textId="4B47BF0D" w:rsidR="00E72C5A" w:rsidRDefault="00E72C5A" w:rsidP="00E30376">
            <w:r>
              <w:t>vergleiche</w:t>
            </w:r>
          </w:p>
        </w:tc>
      </w:tr>
      <w:tr w:rsidR="00E30376" w14:paraId="0C542157" w14:textId="77777777" w:rsidTr="00D21C1D">
        <w:tc>
          <w:tcPr>
            <w:tcW w:w="4530" w:type="dxa"/>
          </w:tcPr>
          <w:p w14:paraId="396D07DB" w14:textId="128FAF4B" w:rsidR="00E30376" w:rsidRPr="00410C5C" w:rsidRDefault="00E30376" w:rsidP="00E30376">
            <w:r>
              <w:t>VwVfG</w:t>
            </w:r>
          </w:p>
        </w:tc>
        <w:tc>
          <w:tcPr>
            <w:tcW w:w="4530" w:type="dxa"/>
          </w:tcPr>
          <w:p w14:paraId="26D31EDF" w14:textId="2D449BED" w:rsidR="00E30376" w:rsidRPr="00410C5C" w:rsidRDefault="00E30376" w:rsidP="00E30376">
            <w:r>
              <w:t>VwVfG des Bundes</w:t>
            </w:r>
          </w:p>
        </w:tc>
      </w:tr>
      <w:tr w:rsidR="00832B2C" w14:paraId="7835B1E0" w14:textId="77777777" w:rsidTr="00D21C1D">
        <w:tc>
          <w:tcPr>
            <w:tcW w:w="4530" w:type="dxa"/>
          </w:tcPr>
          <w:p w14:paraId="1ECCA191" w14:textId="2BFE1D7D" w:rsidR="00832B2C" w:rsidRDefault="00163CBE" w:rsidP="00E30376">
            <w:r>
              <w:t>z.</w:t>
            </w:r>
            <w:r w:rsidR="009F2AE5">
              <w:t>B.</w:t>
            </w:r>
          </w:p>
        </w:tc>
        <w:tc>
          <w:tcPr>
            <w:tcW w:w="4530" w:type="dxa"/>
          </w:tcPr>
          <w:p w14:paraId="2B5F0AFF" w14:textId="6CC76C1C" w:rsidR="00832B2C" w:rsidRDefault="00832B2C" w:rsidP="00832B2C">
            <w:r>
              <w:t>zum Beispiel</w:t>
            </w:r>
          </w:p>
        </w:tc>
      </w:tr>
    </w:tbl>
    <w:p w14:paraId="3E153175" w14:textId="77777777" w:rsidR="007F5EA3" w:rsidRDefault="007F5EA3">
      <w:pPr>
        <w:sectPr w:rsidR="007F5EA3" w:rsidSect="007F5EA3">
          <w:headerReference w:type="even" r:id="rId41"/>
          <w:headerReference w:type="default" r:id="rId42"/>
          <w:footerReference w:type="even" r:id="rId43"/>
          <w:footerReference w:type="default" r:id="rId44"/>
          <w:footnotePr>
            <w:numRestart w:val="eachSect"/>
          </w:footnotePr>
          <w:pgSz w:w="9639" w:h="13608"/>
          <w:pgMar w:top="1418" w:right="1134" w:bottom="1134" w:left="1134" w:header="709" w:footer="709" w:gutter="0"/>
          <w:pgNumType w:fmt="upperRoman"/>
          <w:cols w:space="708"/>
          <w:docGrid w:linePitch="360"/>
        </w:sectPr>
      </w:pPr>
    </w:p>
    <w:p w14:paraId="1FFF323B" w14:textId="63EA400D" w:rsidR="00311D7C" w:rsidRDefault="008779DD" w:rsidP="007917AF">
      <w:pPr>
        <w:pStyle w:val="berschrift1"/>
      </w:pPr>
      <w:bookmarkStart w:id="15" w:name="_Toc22132761"/>
      <w:bookmarkStart w:id="16" w:name="_Toc10463462"/>
      <w:r>
        <w:lastRenderedPageBreak/>
        <w:t>§ 1</w:t>
      </w:r>
      <w:r w:rsidR="00311D7C">
        <w:t xml:space="preserve"> Die Eröffnung der gutachterlichen Prüfung</w:t>
      </w:r>
      <w:bookmarkEnd w:id="15"/>
    </w:p>
    <w:p w14:paraId="088EA8B1" w14:textId="18E23DD6" w:rsidR="00311D7C" w:rsidRDefault="00311D7C" w:rsidP="00311D7C">
      <w:pPr>
        <w:pStyle w:val="berschrift2"/>
      </w:pPr>
      <w:bookmarkStart w:id="17" w:name="_Toc22132762"/>
      <w:r>
        <w:t>A. Die Struktur verwaltungsrechtlicher Klausuren (Nikolas Eisentraut)</w:t>
      </w:r>
      <w:bookmarkEnd w:id="17"/>
    </w:p>
    <w:p w14:paraId="055F22E2" w14:textId="42EE0618" w:rsidR="00F51AE5" w:rsidRDefault="00F51AE5" w:rsidP="00F51AE5">
      <w:pPr>
        <w:pStyle w:val="Autorin"/>
      </w:pPr>
      <w:r>
        <w:t>Nikolas Eisentraut</w:t>
      </w:r>
      <w:r>
        <w:rPr>
          <w:rStyle w:val="Funotenzeichen"/>
        </w:rPr>
        <w:footnoteReference w:id="1"/>
      </w:r>
    </w:p>
    <w:p w14:paraId="0F2BD9A1" w14:textId="77777777" w:rsidR="00977BE3" w:rsidRDefault="00977BE3" w:rsidP="00977BE3">
      <w:pPr>
        <w:pStyle w:val="Randnummer"/>
        <w:framePr w:wrap="around"/>
      </w:pPr>
    </w:p>
    <w:p w14:paraId="48032E2D" w14:textId="63927E7F" w:rsidR="00977BE3" w:rsidRDefault="002F7634" w:rsidP="00F51AE5">
      <w:r>
        <w:t>In v</w:t>
      </w:r>
      <w:r w:rsidR="00F51AE5" w:rsidRPr="00F51AE5">
        <w:t>erwaltungsrechtliche</w:t>
      </w:r>
      <w:r>
        <w:t>n</w:t>
      </w:r>
      <w:r w:rsidR="00F51AE5" w:rsidRPr="00F51AE5">
        <w:t xml:space="preserve"> Prüfungsarbeiten</w:t>
      </w:r>
      <w:r>
        <w:t xml:space="preserve"> muss</w:t>
      </w:r>
      <w:r w:rsidR="00F51AE5" w:rsidRPr="00F51AE5">
        <w:t xml:space="preserve"> eine </w:t>
      </w:r>
      <w:r w:rsidR="00574216">
        <w:t>Fallfrage</w:t>
      </w:r>
      <w:r w:rsidR="00F51AE5" w:rsidRPr="00F51AE5">
        <w:t xml:space="preserve"> beantwortet</w:t>
      </w:r>
      <w:r>
        <w:t xml:space="preserve"> werden</w:t>
      </w:r>
      <w:r w:rsidR="00F51AE5">
        <w:t>.</w:t>
      </w:r>
    </w:p>
    <w:p w14:paraId="2048B900" w14:textId="77777777" w:rsidR="00977BE3" w:rsidRDefault="00977BE3" w:rsidP="00977BE3">
      <w:pPr>
        <w:pStyle w:val="Randnummer"/>
        <w:framePr w:wrap="around"/>
      </w:pPr>
    </w:p>
    <w:p w14:paraId="65C51668" w14:textId="21C4DBE1" w:rsidR="00977BE3" w:rsidRDefault="00F51AE5" w:rsidP="00F51AE5">
      <w:r>
        <w:t xml:space="preserve">Diese </w:t>
      </w:r>
      <w:r w:rsidR="00574216">
        <w:t xml:space="preserve">Fallfrage </w:t>
      </w:r>
      <w:r>
        <w:t xml:space="preserve">wird </w:t>
      </w:r>
      <w:r w:rsidRPr="00F51AE5">
        <w:t>anhand</w:t>
      </w:r>
      <w:r>
        <w:t xml:space="preserve"> eines Sachverhalts aufgeworfen. Der</w:t>
      </w:r>
      <w:r w:rsidRPr="00F51AE5">
        <w:t xml:space="preserve"> Sachverhalt beschreibt ein (meist fiktives) tatsächliches Geschehen</w:t>
      </w:r>
      <w:r w:rsidR="00977BE3">
        <w:t>.</w:t>
      </w:r>
      <w:r w:rsidR="00977BE3" w:rsidRPr="00977BE3">
        <w:t xml:space="preserve"> </w:t>
      </w:r>
      <w:r w:rsidR="00977BE3" w:rsidRPr="00E71536">
        <w:t>Alles, was der „</w:t>
      </w:r>
      <w:r w:rsidR="00977BE3" w:rsidRPr="00E71536">
        <w:rPr>
          <w:b/>
        </w:rPr>
        <w:t>allwissende Erzähler</w:t>
      </w:r>
      <w:r w:rsidR="00977BE3" w:rsidRPr="00E71536">
        <w:t>“ des Sachverhalts im Indikativ äußert, ist</w:t>
      </w:r>
      <w:r w:rsidR="00977BE3" w:rsidRPr="00977BE3">
        <w:t xml:space="preserve"> als zutreffend zu unterstellen und ist nicht zu hinterfragen. Von Feststellungen des allwissenden Erzählers zu unterscheiden sind alle </w:t>
      </w:r>
      <w:r w:rsidR="00977BE3" w:rsidRPr="00977BE3">
        <w:rPr>
          <w:b/>
        </w:rPr>
        <w:t>Aussagen rechtlicher und tatsächlicher Art, die Charaktere und Institutionen</w:t>
      </w:r>
      <w:r w:rsidR="00977BE3" w:rsidRPr="00977BE3">
        <w:t xml:space="preserve"> im Sachverhalt äußern. Dies geschieht oft im Konjunktiv, aber auch in direkter Rede. Den Beteiligten werden so Aspekte des Sachverhalts oder Argumente in den Mund gelegt</w:t>
      </w:r>
      <w:r w:rsidR="00977BE3">
        <w:t>.</w:t>
      </w:r>
      <w:r w:rsidR="00977BE3" w:rsidRPr="00977BE3">
        <w:t xml:space="preserve"> </w:t>
      </w:r>
      <w:r w:rsidR="00977BE3">
        <w:t>In der Lösung müssen diese Aussagen ausgewertet und die Argumente verwendet und bewertet werden. Sie helfen dabei</w:t>
      </w:r>
      <w:r w:rsidR="002F7634">
        <w:t>, die relevanten Probleme zu erkennen und</w:t>
      </w:r>
      <w:r w:rsidR="00977BE3">
        <w:t xml:space="preserve"> Schwerpunkte </w:t>
      </w:r>
      <w:r w:rsidR="002F7634">
        <w:t>bei der Lösung zu setzen</w:t>
      </w:r>
      <w:r w:rsidR="00977BE3" w:rsidRPr="00977BE3">
        <w:t>.</w:t>
      </w:r>
      <w:r w:rsidR="00977BE3">
        <w:rPr>
          <w:rStyle w:val="Funotenzeichen"/>
        </w:rPr>
        <w:footnoteReference w:id="2"/>
      </w:r>
    </w:p>
    <w:p w14:paraId="3E0026EA" w14:textId="77777777" w:rsidR="002F7634" w:rsidRDefault="002F7634" w:rsidP="002F7634">
      <w:pPr>
        <w:pStyle w:val="Randnummer"/>
        <w:framePr w:wrap="around"/>
      </w:pPr>
    </w:p>
    <w:p w14:paraId="2F75EAFE" w14:textId="2E523EAA" w:rsidR="00977BE3" w:rsidRDefault="00977BE3" w:rsidP="00F51AE5">
      <w:r>
        <w:t>Z</w:t>
      </w:r>
      <w:r w:rsidR="00F51AE5" w:rsidRPr="00F51AE5">
        <w:t xml:space="preserve">u dem </w:t>
      </w:r>
      <w:r>
        <w:t xml:space="preserve">Sachverhalt werden </w:t>
      </w:r>
      <w:r w:rsidR="00574216">
        <w:t xml:space="preserve">sodann </w:t>
      </w:r>
      <w:r w:rsidR="00F51AE5" w:rsidRPr="00F51AE5">
        <w:t>eine oder mehrere juristische Fra</w:t>
      </w:r>
      <w:r w:rsidR="00F51AE5">
        <w:t>gen gestellt: Die sogenannte Fallfrage</w:t>
      </w:r>
      <w:r w:rsidR="00F006CD">
        <w:t xml:space="preserve"> (in den folgenden Sachverhalten stets fett gedruckt)</w:t>
      </w:r>
      <w:r w:rsidR="00F51AE5">
        <w:t>.</w:t>
      </w:r>
      <w:r w:rsidR="00F51AE5" w:rsidRPr="00F51AE5">
        <w:t xml:space="preserve"> Die verbreitetste Fallfrage ist jene nach dem Erfolg eines </w:t>
      </w:r>
      <w:r>
        <w:t>Rechtsbehelfs (</w:t>
      </w:r>
      <w:r w:rsidR="002F7634">
        <w:t xml:space="preserve">bzw. eines </w:t>
      </w:r>
      <w:r>
        <w:t>Antrag</w:t>
      </w:r>
      <w:r w:rsidR="002F7634">
        <w:t>s</w:t>
      </w:r>
      <w:r>
        <w:t xml:space="preserve"> oder </w:t>
      </w:r>
      <w:r w:rsidR="002F7634">
        <w:t xml:space="preserve">einer </w:t>
      </w:r>
      <w:r>
        <w:t xml:space="preserve">Klage) </w:t>
      </w:r>
      <w:r w:rsidR="00F51AE5" w:rsidRPr="00F51AE5">
        <w:t>vor Gerich</w:t>
      </w:r>
      <w:r w:rsidR="00F51AE5">
        <w:t>t</w:t>
      </w:r>
      <w:r>
        <w:t>,</w:t>
      </w:r>
      <w:r w:rsidR="002F7634">
        <w:rPr>
          <w:rStyle w:val="Funotenzeichen"/>
        </w:rPr>
        <w:footnoteReference w:id="3"/>
      </w:r>
      <w:r>
        <w:t xml:space="preserve"> ausnahmsweise auch nach dem Erfolg eines Widerspruchs.</w:t>
      </w:r>
      <w:r>
        <w:rPr>
          <w:rStyle w:val="Funotenzeichen"/>
        </w:rPr>
        <w:footnoteReference w:id="4"/>
      </w:r>
      <w:r w:rsidR="002F7634">
        <w:t xml:space="preserve"> </w:t>
      </w:r>
      <w:r>
        <w:t>Für die Beantwortung der Frage nach dem Erfolg eines Rechtsbehelfs muss dessen Zulässigkeit u</w:t>
      </w:r>
      <w:r w:rsidR="002F7634">
        <w:t>nd Begründetheit geprüft werden:</w:t>
      </w:r>
    </w:p>
    <w:p w14:paraId="26E1BBB2" w14:textId="77777777" w:rsidR="002F7634" w:rsidRDefault="002F7634" w:rsidP="002F7634">
      <w:pPr>
        <w:pStyle w:val="Randnummer"/>
        <w:framePr w:wrap="around"/>
      </w:pPr>
    </w:p>
    <w:p w14:paraId="39610FC6" w14:textId="6DF81C3F" w:rsidR="002F317D" w:rsidRPr="002F317D" w:rsidRDefault="002F317D" w:rsidP="002F317D">
      <w:r w:rsidRPr="002F317D">
        <w:t>Bevor ein Verwaltungsgericht über einen Rechtsbehelf in der Sache (d.h.</w:t>
      </w:r>
      <w:r>
        <w:t xml:space="preserve"> inhaltlich/</w:t>
      </w:r>
      <w:r w:rsidRPr="002F317D">
        <w:t xml:space="preserve">materiell) entscheiden kann, muss es feststellen, dass die Klage oder der </w:t>
      </w:r>
      <w:r>
        <w:t>Rechtsschutzantrag</w:t>
      </w:r>
      <w:r w:rsidRPr="002F317D">
        <w:t xml:space="preserve"> </w:t>
      </w:r>
      <w:r w:rsidRPr="002F7634">
        <w:rPr>
          <w:b/>
        </w:rPr>
        <w:t>zulässig</w:t>
      </w:r>
      <w:r w:rsidRPr="002F317D">
        <w:t xml:space="preserve"> ist. Die Zulässigkeit</w:t>
      </w:r>
      <w:r w:rsidRPr="002F317D">
        <w:fldChar w:fldCharType="begin"/>
      </w:r>
      <w:r w:rsidRPr="002F317D">
        <w:instrText xml:space="preserve"> XE "Zulässigkeit einer Klage/eines Antrags" </w:instrText>
      </w:r>
      <w:r w:rsidRPr="002F317D">
        <w:fldChar w:fldCharType="end"/>
      </w:r>
      <w:r w:rsidRPr="002F317D">
        <w:t xml:space="preserve"> stellt ein</w:t>
      </w:r>
      <w:r w:rsidRPr="002F7634">
        <w:t xml:space="preserve">e formelle Vorprüfung </w:t>
      </w:r>
      <w:r w:rsidRPr="002F317D">
        <w:t xml:space="preserve">dar, ob die rechtlichen Voraussetzungen für ein Tätigwerden des Gerichts </w:t>
      </w:r>
      <w:r>
        <w:t>gegeben sind.</w:t>
      </w:r>
    </w:p>
    <w:p w14:paraId="2AF9659F" w14:textId="2413AFA7" w:rsidR="002F317D" w:rsidRPr="002F317D" w:rsidRDefault="002F317D" w:rsidP="002F317D">
      <w:r w:rsidRPr="002F317D">
        <w:t xml:space="preserve">In der Zulässigkeit einer Klage sind die folgenden </w:t>
      </w:r>
      <w:r w:rsidRPr="002F317D">
        <w:rPr>
          <w:b/>
        </w:rPr>
        <w:t>allgemeinen Voraussetzungen</w:t>
      </w:r>
      <w:r w:rsidR="002F7634">
        <w:t xml:space="preserve"> stets anzusprechen:</w:t>
      </w:r>
    </w:p>
    <w:p w14:paraId="3CBC5742" w14:textId="641D15CC" w:rsidR="002F317D" w:rsidRPr="002F317D" w:rsidRDefault="002F317D" w:rsidP="002F317D">
      <w:pPr>
        <w:rPr>
          <w:iCs/>
        </w:rPr>
      </w:pPr>
      <w:r w:rsidRPr="002F317D">
        <w:rPr>
          <w:iCs/>
        </w:rPr>
        <w:t>I. Verwaltungsrechtsweg (§ 40 VwGO)</w:t>
      </w:r>
    </w:p>
    <w:p w14:paraId="206C584B" w14:textId="243AD9F9" w:rsidR="002F317D" w:rsidRPr="002F317D" w:rsidRDefault="002F317D" w:rsidP="002F317D">
      <w:pPr>
        <w:rPr>
          <w:iCs/>
        </w:rPr>
      </w:pPr>
      <w:r w:rsidRPr="002F317D">
        <w:rPr>
          <w:iCs/>
        </w:rPr>
        <w:t>II. Statthafte Klage</w:t>
      </w:r>
      <w:r w:rsidR="00574216">
        <w:rPr>
          <w:iCs/>
        </w:rPr>
        <w:t>-/Antrags</w:t>
      </w:r>
      <w:r w:rsidRPr="002F317D">
        <w:rPr>
          <w:iCs/>
        </w:rPr>
        <w:t>art (§ 88 VwGO)</w:t>
      </w:r>
    </w:p>
    <w:p w14:paraId="7783FC80" w14:textId="12284186" w:rsidR="002F317D" w:rsidRPr="002F317D" w:rsidRDefault="002F317D" w:rsidP="002F317D">
      <w:r w:rsidRPr="002F317D">
        <w:rPr>
          <w:iCs/>
        </w:rPr>
        <w:lastRenderedPageBreak/>
        <w:t>III. Zuständigkeit (§§ 45, 52 VwGO)</w:t>
      </w:r>
    </w:p>
    <w:p w14:paraId="5743E671" w14:textId="7E7DC425" w:rsidR="002F317D" w:rsidRDefault="002F317D" w:rsidP="002F317D">
      <w:pPr>
        <w:rPr>
          <w:iCs/>
        </w:rPr>
      </w:pPr>
      <w:r w:rsidRPr="002F317D">
        <w:rPr>
          <w:iCs/>
        </w:rPr>
        <w:t>IV. Beteiligten- und Prozessfähigkeit (§§ 61 f. VwGO)</w:t>
      </w:r>
      <w:r w:rsidR="00F745EE">
        <w:rPr>
          <w:iCs/>
        </w:rPr>
        <w:t>.</w:t>
      </w:r>
    </w:p>
    <w:p w14:paraId="18875F81" w14:textId="224667AC" w:rsidR="002F317D" w:rsidRDefault="002F317D" w:rsidP="002F317D">
      <w:pPr>
        <w:rPr>
          <w:iCs/>
        </w:rPr>
      </w:pPr>
      <w:r w:rsidRPr="002F317D">
        <w:rPr>
          <w:b/>
          <w:iCs/>
        </w:rPr>
        <w:t>Besondere Zulässigkeitsvoraussetzungen</w:t>
      </w:r>
      <w:r w:rsidRPr="002F317D">
        <w:rPr>
          <w:iCs/>
        </w:rPr>
        <w:t xml:space="preserve"> ergeben sich aus der jeweiligen Klage- oder Verfahrensart. So muss bei </w:t>
      </w:r>
      <w:r w:rsidR="002F7634">
        <w:rPr>
          <w:iCs/>
        </w:rPr>
        <w:t xml:space="preserve">der </w:t>
      </w:r>
      <w:r w:rsidRPr="002F317D">
        <w:rPr>
          <w:iCs/>
        </w:rPr>
        <w:t>Anfechtungs- und Verpflichtungsklage auch geprüft werden, ob ein Vorverfahren nach den §§ 68 ff. VwGO ordnungsgemäß durchgeführt und die Klagefrist eingehalten wurde, § 74 VwGO</w:t>
      </w:r>
      <w:r>
        <w:rPr>
          <w:iCs/>
        </w:rPr>
        <w:t>.</w:t>
      </w:r>
    </w:p>
    <w:p w14:paraId="3CEA6997" w14:textId="77777777" w:rsidR="002F7634" w:rsidRDefault="002F7634" w:rsidP="002F7634">
      <w:pPr>
        <w:pStyle w:val="Randnummer"/>
        <w:framePr w:wrap="around"/>
      </w:pPr>
    </w:p>
    <w:p w14:paraId="656036D3" w14:textId="65C96771" w:rsidR="002F317D" w:rsidRDefault="002F317D" w:rsidP="002F317D">
      <w:pPr>
        <w:rPr>
          <w:iCs/>
        </w:rPr>
      </w:pPr>
      <w:r w:rsidRPr="002F317D">
        <w:rPr>
          <w:iCs/>
        </w:rPr>
        <w:t xml:space="preserve">In der </w:t>
      </w:r>
      <w:r w:rsidRPr="002F317D">
        <w:rPr>
          <w:b/>
          <w:iCs/>
        </w:rPr>
        <w:t>Begründetheit</w:t>
      </w:r>
      <w:r w:rsidRPr="002F317D">
        <w:rPr>
          <w:b/>
          <w:iCs/>
        </w:rPr>
        <w:fldChar w:fldCharType="begin"/>
      </w:r>
      <w:r w:rsidRPr="002F317D">
        <w:rPr>
          <w:b/>
          <w:iCs/>
        </w:rPr>
        <w:instrText xml:space="preserve"> XE "Begründetheit einer Klage/eines Antrags" </w:instrText>
      </w:r>
      <w:r w:rsidRPr="002F317D">
        <w:rPr>
          <w:b/>
          <w:iCs/>
        </w:rPr>
        <w:fldChar w:fldCharType="end"/>
      </w:r>
      <w:r w:rsidRPr="002F317D">
        <w:rPr>
          <w:iCs/>
        </w:rPr>
        <w:t xml:space="preserve"> werden die materiellen (inhaltlichen) Fragen des Falls geprüft. Der Obersatz bestimmt sich nach der statthaften Klage- </w:t>
      </w:r>
      <w:r>
        <w:rPr>
          <w:iCs/>
        </w:rPr>
        <w:t>bzw. Antrags</w:t>
      </w:r>
      <w:r w:rsidRPr="002F317D">
        <w:rPr>
          <w:iCs/>
        </w:rPr>
        <w:t>art</w:t>
      </w:r>
      <w:r w:rsidR="00574216">
        <w:rPr>
          <w:iCs/>
        </w:rPr>
        <w:t>, der insoweit eine „Scharnierfunktion“ für die gesamte Klausur zukommt (dazu noch Rn. 17).</w:t>
      </w:r>
    </w:p>
    <w:p w14:paraId="07E19C1A" w14:textId="77777777" w:rsidR="002F7634" w:rsidRDefault="002F7634" w:rsidP="002F7634">
      <w:pPr>
        <w:pStyle w:val="Randnummer"/>
        <w:framePr w:wrap="around"/>
      </w:pPr>
    </w:p>
    <w:p w14:paraId="3A9792B1" w14:textId="7015130F" w:rsidR="002F317D" w:rsidRDefault="002F317D" w:rsidP="002F317D">
      <w:r w:rsidRPr="00E71536">
        <w:t xml:space="preserve">Zwei besondere Rechtsfragen werden üblicherweise weder der Zulässigkeit noch der Begründetheit zugeordnet. Die </w:t>
      </w:r>
      <w:r w:rsidRPr="002F7634">
        <w:rPr>
          <w:b/>
        </w:rPr>
        <w:t>Klagehäufung</w:t>
      </w:r>
      <w:r w:rsidRPr="00E71536">
        <w:t xml:space="preserve"> und die </w:t>
      </w:r>
      <w:r w:rsidRPr="002F7634">
        <w:rPr>
          <w:b/>
        </w:rPr>
        <w:t>Beiladung</w:t>
      </w:r>
      <w:r w:rsidRPr="002F7634">
        <w:rPr>
          <w:b/>
        </w:rPr>
        <w:fldChar w:fldCharType="begin"/>
      </w:r>
      <w:r w:rsidRPr="002F7634">
        <w:rPr>
          <w:b/>
        </w:rPr>
        <w:instrText xml:space="preserve"> XE "Beiladung" </w:instrText>
      </w:r>
      <w:r w:rsidRPr="002F7634">
        <w:rPr>
          <w:b/>
        </w:rPr>
        <w:fldChar w:fldCharType="end"/>
      </w:r>
      <w:r w:rsidRPr="00E71536">
        <w:t xml:space="preserve"> sind als Gli</w:t>
      </w:r>
      <w:r>
        <w:t>ederungspunkt „B.“ zwischen „A. Zulässigkeit</w:t>
      </w:r>
      <w:r w:rsidRPr="00E71536">
        <w:t>“ und „C. Begründetheit“ anzusprechen, aber nur soweit der Sachverhalt hierzu Anlass gibt.</w:t>
      </w:r>
      <w:r w:rsidRPr="00E71536">
        <w:rPr>
          <w:vertAlign w:val="superscript"/>
        </w:rPr>
        <w:footnoteReference w:id="5"/>
      </w:r>
    </w:p>
    <w:p w14:paraId="752E478A" w14:textId="77777777" w:rsidR="002F7634" w:rsidRPr="002F317D" w:rsidRDefault="002F7634" w:rsidP="002F7634">
      <w:pPr>
        <w:pStyle w:val="Randnummer"/>
        <w:framePr w:wrap="around"/>
      </w:pPr>
    </w:p>
    <w:p w14:paraId="0B0BA1F3" w14:textId="3842BFE6" w:rsidR="002F317D" w:rsidRDefault="002F317D" w:rsidP="002F317D">
      <w:r>
        <w:t>Für die einzelnen Klage</w:t>
      </w:r>
      <w:r w:rsidR="0094121D">
        <w:t>- und Antrags</w:t>
      </w:r>
      <w:r>
        <w:t xml:space="preserve">arten haben sich </w:t>
      </w:r>
      <w:r w:rsidRPr="002F7634">
        <w:rPr>
          <w:b/>
        </w:rPr>
        <w:t>Prüfungsschemata</w:t>
      </w:r>
      <w:r>
        <w:t xml:space="preserve"> herausgebildet, die die wesentliche Struktur der Prüfung in Kürze abbilden sollen und als Lern- und Verständnishilfe fungieren.</w:t>
      </w:r>
      <w:r>
        <w:rPr>
          <w:rStyle w:val="Funotenzeichen"/>
        </w:rPr>
        <w:footnoteReference w:id="6"/>
      </w:r>
      <w:r>
        <w:t xml:space="preserve"> Entsprechend findet sich </w:t>
      </w:r>
      <w:r w:rsidR="002F7634">
        <w:t xml:space="preserve">in diesem Fallrepetitorium </w:t>
      </w:r>
      <w:r>
        <w:t>zu Beginn jeden Kapitels ein kurzes, die Prüfungsstruktur der jeweiligen Klage-/Antragsart abbildendes Schema</w:t>
      </w:r>
      <w:r w:rsidR="00D16DAC">
        <w:t xml:space="preserve">, das den Blick für die grobe Struktur </w:t>
      </w:r>
      <w:r w:rsidR="002F7634">
        <w:t>der</w:t>
      </w:r>
      <w:r w:rsidR="00D16DAC">
        <w:t xml:space="preserve"> Klage-/Antragsart schulen soll</w:t>
      </w:r>
      <w:r>
        <w:t xml:space="preserve">. </w:t>
      </w:r>
      <w:r w:rsidRPr="002F317D">
        <w:t xml:space="preserve">Rechtsfragen können </w:t>
      </w:r>
      <w:r w:rsidR="00D16DAC">
        <w:t xml:space="preserve">jedoch </w:t>
      </w:r>
      <w:r w:rsidRPr="002F7634">
        <w:t xml:space="preserve">nie „nur“ mit Hilfe von Schemata </w:t>
      </w:r>
      <w:r>
        <w:t>verstanden werden.</w:t>
      </w:r>
      <w:r w:rsidRPr="00E71536">
        <w:rPr>
          <w:vertAlign w:val="superscript"/>
        </w:rPr>
        <w:footnoteReference w:id="7"/>
      </w:r>
      <w:r>
        <w:t xml:space="preserve"> </w:t>
      </w:r>
      <w:r w:rsidR="00D16DAC">
        <w:t xml:space="preserve">Natürlich müssen </w:t>
      </w:r>
      <w:r w:rsidR="002F7634">
        <w:t xml:space="preserve">die </w:t>
      </w:r>
      <w:r w:rsidR="00D16DAC">
        <w:t>abstrakten Prüfungspunkte der Prüfungsschemata mit juristischem Wissen „zum Leben erweckt“ werden</w:t>
      </w:r>
      <w:r w:rsidR="00C5500D">
        <w:t>. Zudem erfordern passgenaue Lösungen mitunter leichte Abweichungen vom klassischen Schema</w:t>
      </w:r>
      <w:r w:rsidR="00D16DAC">
        <w:t xml:space="preserve">. Dies </w:t>
      </w:r>
      <w:r w:rsidR="002F7634">
        <w:t xml:space="preserve">illustrieren </w:t>
      </w:r>
      <w:r w:rsidR="00D16DAC">
        <w:t>die Falllösungen</w:t>
      </w:r>
      <w:r w:rsidR="002F7634">
        <w:t xml:space="preserve"> für die Klausurpraxis</w:t>
      </w:r>
      <w:r w:rsidR="00D16DAC">
        <w:t>.</w:t>
      </w:r>
      <w:r w:rsidR="002F7634">
        <w:t xml:space="preserve"> Zudem sind die Prüfungsschemata über Fußnotenverweise eng mit dem </w:t>
      </w:r>
      <w:hyperlink r:id="rId45" w:history="1">
        <w:r w:rsidR="002F7634" w:rsidRPr="00E05673">
          <w:rPr>
            <w:rStyle w:val="Hyperlink"/>
          </w:rPr>
          <w:t>Lehrbuch „Verwaltungsrecht in der Klausur“</w:t>
        </w:r>
      </w:hyperlink>
      <w:r w:rsidR="002F7634">
        <w:t xml:space="preserve"> verknüpft. Mittels dessen Lektüre kann das in Klausuren erforderliche Wissen erworben werden.</w:t>
      </w:r>
    </w:p>
    <w:p w14:paraId="244B1F68" w14:textId="77777777" w:rsidR="002F7634" w:rsidRDefault="002F7634" w:rsidP="002F317D"/>
    <w:p w14:paraId="72E22322" w14:textId="3A856F85" w:rsidR="00311D7C" w:rsidRDefault="00311D7C" w:rsidP="00311D7C">
      <w:pPr>
        <w:pStyle w:val="berschrift2"/>
      </w:pPr>
      <w:bookmarkStart w:id="18" w:name="_Toc22132763"/>
      <w:r>
        <w:t>B. Die Eröffnung des Verwaltungsrechtswegs (Nikolas Eisentraut)</w:t>
      </w:r>
      <w:bookmarkEnd w:id="18"/>
    </w:p>
    <w:p w14:paraId="3445ED9E" w14:textId="79B98AD8" w:rsidR="00F51AE5" w:rsidRPr="00F51AE5" w:rsidRDefault="00F51AE5" w:rsidP="00F51AE5">
      <w:pPr>
        <w:pStyle w:val="Autorin"/>
      </w:pPr>
      <w:r>
        <w:t>Nikolas Eisentraut</w:t>
      </w:r>
    </w:p>
    <w:p w14:paraId="043EE5BA" w14:textId="77777777" w:rsidR="00311D7C" w:rsidRPr="00311D7C" w:rsidRDefault="00311D7C" w:rsidP="00311D7C">
      <w:pPr>
        <w:pStyle w:val="Randnummer"/>
        <w:framePr w:wrap="around"/>
      </w:pPr>
    </w:p>
    <w:p w14:paraId="3A6B0B97" w14:textId="7A132C5A" w:rsidR="00311D7C" w:rsidRDefault="00311D7C" w:rsidP="00311D7C">
      <w:r>
        <w:lastRenderedPageBreak/>
        <w:t xml:space="preserve">Die </w:t>
      </w:r>
      <w:r w:rsidRPr="00DF5C2C">
        <w:rPr>
          <w:b/>
        </w:rPr>
        <w:t>Prüfung der Zulässigkeit</w:t>
      </w:r>
      <w:r>
        <w:t xml:space="preserve"> einer verwaltungsgerichtlichen Klage / eines einstweiligen Rechtsschutzantrags </w:t>
      </w:r>
      <w:r w:rsidR="00DF5C2C">
        <w:t>wird mit der</w:t>
      </w:r>
      <w:r>
        <w:t xml:space="preserve"> Frage danach</w:t>
      </w:r>
      <w:r w:rsidR="00DF5C2C">
        <w:t xml:space="preserve"> eröffnet</w:t>
      </w:r>
      <w:r>
        <w:t xml:space="preserve">, ob der </w:t>
      </w:r>
      <w:r w:rsidRPr="00DF5C2C">
        <w:rPr>
          <w:b/>
        </w:rPr>
        <w:t>Verwaltungsrechtsweg</w:t>
      </w:r>
      <w:r>
        <w:t xml:space="preserve"> eröffnet ist.</w:t>
      </w:r>
      <w:r>
        <w:rPr>
          <w:rStyle w:val="Funotenzeichen"/>
        </w:rPr>
        <w:footnoteReference w:id="8"/>
      </w:r>
    </w:p>
    <w:p w14:paraId="550F8193" w14:textId="77777777" w:rsidR="00311D7C" w:rsidRPr="00311D7C" w:rsidRDefault="00311D7C" w:rsidP="00311D7C">
      <w:pPr>
        <w:pStyle w:val="Randnummer"/>
        <w:framePr w:wrap="around"/>
      </w:pPr>
    </w:p>
    <w:p w14:paraId="7EE5E557" w14:textId="0C55AE29" w:rsidR="00311D7C" w:rsidRDefault="00311D7C" w:rsidP="00311D7C">
      <w:r>
        <w:t xml:space="preserve">Dafür ist </w:t>
      </w:r>
      <w:r w:rsidRPr="00311D7C">
        <w:t>zu</w:t>
      </w:r>
      <w:r>
        <w:t>erst zu</w:t>
      </w:r>
      <w:r w:rsidRPr="00311D7C">
        <w:t xml:space="preserve"> prüfen, ob eine spezielle Norm </w:t>
      </w:r>
      <w:r w:rsidRPr="006D3CB9">
        <w:t>(sog. aufdrängende Spezialzuweisung</w:t>
      </w:r>
      <w:r w:rsidR="006D3CB9" w:rsidRPr="006D3CB9">
        <w:t>)</w:t>
      </w:r>
      <w:r w:rsidRPr="006D3CB9">
        <w:t xml:space="preserve"> die Streitigkeit dem Verwaltungsrechtsweg zuweist. Falls eine solche aufdrängende </w:t>
      </w:r>
      <w:r w:rsidR="006D3CB9">
        <w:t>Spezial</w:t>
      </w:r>
      <w:r w:rsidRPr="00311D7C">
        <w:t>zuweisung fehlt, ist nach der Generalklausel des § 40 I 1 VwGO zu beurteilen, ob die Streitigkeit dem Verwaltungsrechtsweg zugewiesen ist.</w:t>
      </w:r>
    </w:p>
    <w:p w14:paraId="4EEAC73B" w14:textId="77777777" w:rsidR="00311D7C" w:rsidRDefault="00311D7C" w:rsidP="00311D7C">
      <w:pPr>
        <w:pStyle w:val="Randnummer"/>
        <w:framePr w:wrap="around"/>
      </w:pPr>
    </w:p>
    <w:p w14:paraId="794B038A" w14:textId="77777777" w:rsidR="00311D7C" w:rsidRPr="00311D7C" w:rsidRDefault="00311D7C" w:rsidP="00311D7C">
      <w:r w:rsidRPr="00311D7C">
        <w:t xml:space="preserve">Eine </w:t>
      </w:r>
      <w:r w:rsidRPr="006D3CB9">
        <w:rPr>
          <w:b/>
        </w:rPr>
        <w:t>aufdrängende Spezialzuweisung</w:t>
      </w:r>
      <w:r w:rsidRPr="00311D7C">
        <w:fldChar w:fldCharType="begin"/>
      </w:r>
      <w:r w:rsidRPr="00311D7C">
        <w:instrText xml:space="preserve"> XE "Aufdrängende Spezialzuweisung" </w:instrText>
      </w:r>
      <w:r w:rsidRPr="00311D7C">
        <w:fldChar w:fldCharType="end"/>
      </w:r>
      <w:r w:rsidRPr="00311D7C">
        <w:fldChar w:fldCharType="begin"/>
      </w:r>
      <w:r w:rsidRPr="00311D7C">
        <w:instrText xml:space="preserve"> XE "Eröffnung des Verwaltungsrechtswegs:Aufdrängende Spezialzuweisung" </w:instrText>
      </w:r>
      <w:r w:rsidRPr="00311D7C">
        <w:fldChar w:fldCharType="end"/>
      </w:r>
      <w:r w:rsidRPr="00311D7C">
        <w:t xml:space="preserve"> ist eine spezialgesetzliche Zuweisung einer Streitigkeit zum Verwaltungsrechtsweg. Es geht also um Normen, die eine Streitigkeit ausdrücklich dem Verwaltungsrechtsweg zuweisen. In der Klausur sind aufdrängende Spezialzuweisungen</w:t>
      </w:r>
      <w:r w:rsidRPr="00311D7C">
        <w:fldChar w:fldCharType="begin"/>
      </w:r>
      <w:r w:rsidRPr="00311D7C">
        <w:instrText xml:space="preserve"> XE "Spezialzuweisung" \t "</w:instrText>
      </w:r>
      <w:r w:rsidRPr="00311D7C">
        <w:rPr>
          <w:i/>
        </w:rPr>
        <w:instrText>Siehe</w:instrText>
      </w:r>
      <w:r w:rsidRPr="00311D7C">
        <w:instrText xml:space="preserve"> Aufdrängende Spezialzuweisung" </w:instrText>
      </w:r>
      <w:r w:rsidRPr="00311D7C">
        <w:fldChar w:fldCharType="end"/>
      </w:r>
      <w:r w:rsidRPr="00311D7C">
        <w:t xml:space="preserve"> </w:t>
      </w:r>
      <w:r w:rsidRPr="00311D7C">
        <w:rPr>
          <w:b/>
        </w:rPr>
        <w:t>stets vorrangig vor der Generalklausel</w:t>
      </w:r>
      <w:r w:rsidRPr="00311D7C">
        <w:t xml:space="preserve"> zu prüfen.</w:t>
      </w:r>
      <w:r w:rsidRPr="00311D7C">
        <w:rPr>
          <w:b/>
          <w:vertAlign w:val="superscript"/>
        </w:rPr>
        <w:footnoteReference w:id="9"/>
      </w:r>
      <w:r w:rsidRPr="00311D7C">
        <w:t xml:space="preserve"> Folgende Spezialzuweisungen sollten bekannt sein, auch wenn sie in verwaltungsrechtlichen Klausuren so gut wie nie eine Rolle spielen:</w:t>
      </w:r>
    </w:p>
    <w:p w14:paraId="05E84A95" w14:textId="77777777" w:rsidR="00311D7C" w:rsidRPr="00311D7C" w:rsidRDefault="00311D7C" w:rsidP="005A16FB">
      <w:pPr>
        <w:numPr>
          <w:ilvl w:val="0"/>
          <w:numId w:val="2"/>
        </w:numPr>
      </w:pPr>
      <w:r w:rsidRPr="00311D7C">
        <w:t>§ 126 I BBG für Bundesbeamte und § 54 I BeamtStG für Landesbeamte</w:t>
      </w:r>
    </w:p>
    <w:p w14:paraId="3B81ED47" w14:textId="77777777" w:rsidR="00311D7C" w:rsidRPr="00311D7C" w:rsidRDefault="00311D7C" w:rsidP="005A16FB">
      <w:pPr>
        <w:numPr>
          <w:ilvl w:val="0"/>
          <w:numId w:val="2"/>
        </w:numPr>
      </w:pPr>
      <w:r w:rsidRPr="00311D7C">
        <w:t>§ 82 SoldatenG</w:t>
      </w:r>
    </w:p>
    <w:p w14:paraId="02788AA6" w14:textId="77777777" w:rsidR="00311D7C" w:rsidRPr="00311D7C" w:rsidRDefault="00311D7C" w:rsidP="005A16FB">
      <w:pPr>
        <w:numPr>
          <w:ilvl w:val="0"/>
          <w:numId w:val="2"/>
        </w:numPr>
      </w:pPr>
      <w:r w:rsidRPr="00311D7C">
        <w:t>§ 54 BAföG</w:t>
      </w:r>
    </w:p>
    <w:p w14:paraId="656BAB37" w14:textId="77777777" w:rsidR="00311D7C" w:rsidRPr="00311D7C" w:rsidRDefault="00311D7C" w:rsidP="005A16FB">
      <w:pPr>
        <w:numPr>
          <w:ilvl w:val="0"/>
          <w:numId w:val="2"/>
        </w:numPr>
      </w:pPr>
      <w:r w:rsidRPr="00311D7C">
        <w:t>§ 6 I UIG</w:t>
      </w:r>
    </w:p>
    <w:p w14:paraId="6E943D90" w14:textId="29035347" w:rsidR="00311D7C" w:rsidRDefault="006D3CB9" w:rsidP="005A16FB">
      <w:pPr>
        <w:numPr>
          <w:ilvl w:val="0"/>
          <w:numId w:val="2"/>
        </w:numPr>
      </w:pPr>
      <w:r>
        <w:t>Bei</w:t>
      </w:r>
      <w:r w:rsidR="00311D7C" w:rsidRPr="00311D7C">
        <w:t xml:space="preserve"> § 40 II </w:t>
      </w:r>
      <w:r w:rsidR="00E05673">
        <w:t xml:space="preserve">1 </w:t>
      </w:r>
      <w:r w:rsidR="00311D7C" w:rsidRPr="00311D7C">
        <w:t xml:space="preserve">VwGO </w:t>
      </w:r>
      <w:r>
        <w:t>handelt es sich nach richtiger, aber umstrittener Auffa</w:t>
      </w:r>
      <w:r w:rsidR="00A8236D">
        <w:t>s</w:t>
      </w:r>
      <w:r>
        <w:t>sung um keine aufdrängende Spezialzuweisung</w:t>
      </w:r>
      <w:r w:rsidR="00E05673">
        <w:t xml:space="preserve"> für öffentlich-rechtliche Verträge</w:t>
      </w:r>
      <w:r>
        <w:t>.</w:t>
      </w:r>
      <w:r>
        <w:rPr>
          <w:rStyle w:val="Funotenzeichen"/>
        </w:rPr>
        <w:footnoteReference w:id="10"/>
      </w:r>
    </w:p>
    <w:p w14:paraId="13FC281F" w14:textId="77777777" w:rsidR="006D3CB9" w:rsidRPr="00311D7C" w:rsidRDefault="006D3CB9" w:rsidP="006D3CB9">
      <w:pPr>
        <w:pStyle w:val="Randnummer"/>
        <w:framePr w:wrap="around"/>
      </w:pPr>
    </w:p>
    <w:p w14:paraId="14F2BD8A" w14:textId="77777777" w:rsidR="006D3CB9" w:rsidRDefault="006D3CB9" w:rsidP="006D3CB9">
      <w:r w:rsidRPr="00210F5E">
        <w:t xml:space="preserve">Findet sich keine aufdrängende </w:t>
      </w:r>
      <w:r>
        <w:t>Spezial</w:t>
      </w:r>
      <w:r w:rsidRPr="00210F5E">
        <w:t xml:space="preserve">zuweisung, ist für die Beurteilung, ob der Verwaltungsrechtsweg eröffnet ist, auf die Generalklausel des § 40 </w:t>
      </w:r>
      <w:r>
        <w:t>I 1</w:t>
      </w:r>
      <w:r w:rsidRPr="00210F5E">
        <w:t xml:space="preserve"> VwGO abzustellen.</w:t>
      </w:r>
      <w:r>
        <w:rPr>
          <w:rStyle w:val="Funotenzeichen"/>
        </w:rPr>
        <w:footnoteReference w:id="11"/>
      </w:r>
      <w:r>
        <w:t xml:space="preserve"> </w:t>
      </w:r>
      <w:r w:rsidRPr="00210F5E">
        <w:t xml:space="preserve">§ 40 </w:t>
      </w:r>
      <w:r>
        <w:t>I 1</w:t>
      </w:r>
      <w:r w:rsidRPr="00210F5E">
        <w:t xml:space="preserve"> VwGO hat </w:t>
      </w:r>
      <w:r w:rsidRPr="00404A1E">
        <w:rPr>
          <w:b/>
        </w:rPr>
        <w:t>drei, unmittelbar aus dem Wortlaut der Norm zu entnehmende Tatbestandsmerkmale</w:t>
      </w:r>
      <w:r w:rsidRPr="00210F5E">
        <w:t xml:space="preserve">: Der Verwaltungsrechtsweg ist in allen </w:t>
      </w:r>
    </w:p>
    <w:p w14:paraId="3F5E1B05" w14:textId="77777777" w:rsidR="006D3CB9" w:rsidRDefault="006D3CB9" w:rsidP="006D3CB9">
      <w:r w:rsidRPr="00210F5E">
        <w:t>1. öffent</w:t>
      </w:r>
      <w:r>
        <w:t>lich-rechtlichen Streitigkeiten</w:t>
      </w:r>
    </w:p>
    <w:p w14:paraId="183F6F07" w14:textId="77777777" w:rsidR="006D3CB9" w:rsidRDefault="006D3CB9" w:rsidP="006D3CB9">
      <w:r w:rsidRPr="00210F5E">
        <w:t xml:space="preserve">2. nichtverfassungsrechtlicher Art gegeben, </w:t>
      </w:r>
    </w:p>
    <w:p w14:paraId="54931BB6" w14:textId="0E713C90" w:rsidR="006D3CB9" w:rsidRDefault="006D3CB9" w:rsidP="006D3CB9">
      <w:r w:rsidRPr="00210F5E">
        <w:t xml:space="preserve">3. soweit die Streitigkeiten nicht durch Bundesgesetz einem anderen Gericht ausdrücklich zugewiesen sind. </w:t>
      </w:r>
    </w:p>
    <w:p w14:paraId="292D23C0" w14:textId="77777777" w:rsidR="00C87B0D" w:rsidRDefault="00C87B0D" w:rsidP="006D3CB9"/>
    <w:p w14:paraId="7A27C99D" w14:textId="77777777" w:rsidR="006D3CB9" w:rsidRPr="00210F5E" w:rsidRDefault="006D3CB9" w:rsidP="006D3CB9">
      <w:pPr>
        <w:pStyle w:val="Randnummer"/>
        <w:framePr w:wrap="around"/>
      </w:pPr>
    </w:p>
    <w:p w14:paraId="3393B619" w14:textId="65F2126F" w:rsidR="00311D7C" w:rsidRDefault="006D3CB9" w:rsidP="00311D7C">
      <w:r w:rsidRPr="006D3CB9">
        <w:t>Die Generalklausel erfordert</w:t>
      </w:r>
      <w:r w:rsidR="00C87B0D">
        <w:t xml:space="preserve"> also</w:t>
      </w:r>
      <w:r w:rsidRPr="006D3CB9">
        <w:t xml:space="preserve"> zunächst, dass es sich um eine </w:t>
      </w:r>
      <w:r w:rsidRPr="006D3CB9">
        <w:rPr>
          <w:b/>
        </w:rPr>
        <w:t>öffentlich-rechtliche Streitigkeit</w:t>
      </w:r>
      <w:r w:rsidRPr="006D3CB9">
        <w:rPr>
          <w:b/>
        </w:rPr>
        <w:fldChar w:fldCharType="begin"/>
      </w:r>
      <w:r w:rsidRPr="006D3CB9">
        <w:rPr>
          <w:b/>
        </w:rPr>
        <w:instrText xml:space="preserve"> XE "Öffentlich-rechtliche Streitigkeit" </w:instrText>
      </w:r>
      <w:r w:rsidRPr="006D3CB9">
        <w:rPr>
          <w:b/>
        </w:rPr>
        <w:fldChar w:fldCharType="end"/>
      </w:r>
      <w:r w:rsidRPr="006D3CB9">
        <w:rPr>
          <w:b/>
        </w:rPr>
        <w:t xml:space="preserve"> </w:t>
      </w:r>
      <w:r w:rsidRPr="006D3CB9">
        <w:t xml:space="preserve">handelt. Für die Abgrenzung des öffentlichen Rechts vom Privatrecht </w:t>
      </w:r>
      <w:r>
        <w:t xml:space="preserve">kommt der </w:t>
      </w:r>
      <w:r w:rsidRPr="006D3CB9">
        <w:rPr>
          <w:b/>
        </w:rPr>
        <w:t xml:space="preserve">Sonderrechtstheorie </w:t>
      </w:r>
      <w:r w:rsidRPr="006D3CB9">
        <w:t xml:space="preserve">(auch: modifizierte Subjektstheorie) </w:t>
      </w:r>
      <w:r>
        <w:t>zentrale Bedeutung zu</w:t>
      </w:r>
      <w:r w:rsidRPr="006D3CB9">
        <w:t>.</w:t>
      </w:r>
      <w:r w:rsidRPr="006D3CB9">
        <w:rPr>
          <w:b/>
          <w:vertAlign w:val="superscript"/>
        </w:rPr>
        <w:footnoteReference w:id="12"/>
      </w:r>
      <w:r w:rsidRPr="006D3CB9">
        <w:t xml:space="preserve"> </w:t>
      </w:r>
    </w:p>
    <w:p w14:paraId="2A6A812D" w14:textId="77777777" w:rsidR="006D3CB9" w:rsidRDefault="006D3CB9" w:rsidP="006D3CB9">
      <w:pPr>
        <w:pStyle w:val="Randnummer"/>
        <w:framePr w:wrap="around"/>
      </w:pPr>
    </w:p>
    <w:p w14:paraId="411D1B62" w14:textId="35A4BA92" w:rsidR="006D3CB9" w:rsidRDefault="006D3CB9" w:rsidP="006D3CB9">
      <w:r w:rsidRPr="006D3CB9">
        <w:t>Nach der modifizierten Subjektstheorie</w:t>
      </w:r>
      <w:r w:rsidRPr="006D3CB9">
        <w:fldChar w:fldCharType="begin"/>
      </w:r>
      <w:r w:rsidRPr="006D3CB9">
        <w:instrText xml:space="preserve"> XE "Modifizierte Subjektstheorie" </w:instrText>
      </w:r>
      <w:r w:rsidRPr="006D3CB9">
        <w:fldChar w:fldCharType="end"/>
      </w:r>
      <w:r w:rsidRPr="006D3CB9">
        <w:t xml:space="preserve"> handelt es sich dann um eine öffentlich-rechtliche Streitigkeit, wenn die streitentscheidenden Normen dem öffentlichen Recht zugehören; Dies ist der Fall, wenn die streitentscheidenden Normen ausschließlich Träger öffentlicher Gewalt berechtigen und/oder verpflichten.</w:t>
      </w:r>
      <w:r w:rsidRPr="006D3CB9">
        <w:rPr>
          <w:vertAlign w:val="superscript"/>
        </w:rPr>
        <w:footnoteReference w:id="13"/>
      </w:r>
      <w:r w:rsidRPr="006D3CB9">
        <w:t xml:space="preserve"> In diesem Fall liegt sog. „</w:t>
      </w:r>
      <w:r w:rsidRPr="006D3CB9">
        <w:rPr>
          <w:b/>
        </w:rPr>
        <w:t>Sonderrecht der Verwaltung</w:t>
      </w:r>
      <w:r w:rsidRPr="006D3CB9">
        <w:t>“ vor (daher auch Sonderrechtstheorie</w:t>
      </w:r>
      <w:r w:rsidRPr="006D3CB9">
        <w:fldChar w:fldCharType="begin"/>
      </w:r>
      <w:r w:rsidRPr="006D3CB9">
        <w:instrText xml:space="preserve"> XE "Sonderrechtstheorie" \t "</w:instrText>
      </w:r>
      <w:r w:rsidRPr="006D3CB9">
        <w:rPr>
          <w:i/>
        </w:rPr>
        <w:instrText>Siehe</w:instrText>
      </w:r>
      <w:r w:rsidRPr="006D3CB9">
        <w:instrText xml:space="preserve"> Modifizierte Subjektstheorie" </w:instrText>
      </w:r>
      <w:r w:rsidRPr="006D3CB9">
        <w:fldChar w:fldCharType="end"/>
      </w:r>
      <w:r w:rsidRPr="006D3CB9">
        <w:t>). Voraussetzung für die Anwendbarkeit der Sonderrechtstheorie ist es daher, dass eine streitentscheidende Norm existiert. Dies ist im Bereich der Eingriffsverwaltung regelmäßig der Fall.</w:t>
      </w:r>
      <w:r w:rsidRPr="006D3CB9">
        <w:rPr>
          <w:vertAlign w:val="superscript"/>
        </w:rPr>
        <w:footnoteReference w:id="14"/>
      </w:r>
      <w:r w:rsidRPr="006D3CB9">
        <w:t xml:space="preserve"> Im Bereich der Leistungsverwaltung stößt die Sonderrechtstheorie hingegen </w:t>
      </w:r>
      <w:r w:rsidR="00C87B0D">
        <w:t xml:space="preserve">mitunter </w:t>
      </w:r>
      <w:r w:rsidRPr="006D3CB9">
        <w:t>auf besondere Herausforderungen</w:t>
      </w:r>
      <w:r w:rsidR="00C87B0D">
        <w:t xml:space="preserve"> (s. etwa Fall 9 Rn. 6)</w:t>
      </w:r>
      <w:r w:rsidRPr="006D3CB9">
        <w:t>.</w:t>
      </w:r>
      <w:r w:rsidRPr="006D3CB9">
        <w:rPr>
          <w:vertAlign w:val="superscript"/>
        </w:rPr>
        <w:footnoteReference w:id="15"/>
      </w:r>
    </w:p>
    <w:p w14:paraId="34E771DF" w14:textId="77777777" w:rsidR="006D3CB9" w:rsidRPr="006D3CB9" w:rsidRDefault="006D3CB9" w:rsidP="006D3CB9">
      <w:pPr>
        <w:pStyle w:val="Randnummer"/>
        <w:framePr w:wrap="around"/>
      </w:pPr>
    </w:p>
    <w:p w14:paraId="2AC87AD9" w14:textId="192DDD88" w:rsidR="006D3CB9" w:rsidRDefault="006D3CB9" w:rsidP="006D3CB9">
      <w:r w:rsidRPr="006D3CB9">
        <w:t xml:space="preserve">Die Streitigkeit </w:t>
      </w:r>
      <w:r>
        <w:t>muss</w:t>
      </w:r>
      <w:r w:rsidRPr="006D3CB9">
        <w:t xml:space="preserve"> weiterhin </w:t>
      </w:r>
      <w:r w:rsidRPr="006D3CB9">
        <w:rPr>
          <w:b/>
        </w:rPr>
        <w:t>nicht-verfassungsrechtlicher Art</w:t>
      </w:r>
      <w:r w:rsidRPr="006D3CB9">
        <w:rPr>
          <w:b/>
        </w:rPr>
        <w:fldChar w:fldCharType="begin"/>
      </w:r>
      <w:r w:rsidRPr="006D3CB9">
        <w:rPr>
          <w:b/>
        </w:rPr>
        <w:instrText xml:space="preserve"> XE "Eröffnung des Verwaltungsrechtswegs:Streitigkeit nicht-verfassungsrechtlicher Art" </w:instrText>
      </w:r>
      <w:r w:rsidRPr="006D3CB9">
        <w:rPr>
          <w:b/>
        </w:rPr>
        <w:fldChar w:fldCharType="end"/>
      </w:r>
      <w:r w:rsidRPr="006D3CB9">
        <w:rPr>
          <w:b/>
        </w:rPr>
        <w:t xml:space="preserve"> </w:t>
      </w:r>
      <w:r w:rsidRPr="006D3CB9">
        <w:t xml:space="preserve">sein. Dies bestimmt sich mit der h.M. danach, ob ein Fall sog. </w:t>
      </w:r>
      <w:r w:rsidRPr="006D3CB9">
        <w:rPr>
          <w:b/>
        </w:rPr>
        <w:t>doppelter Verfassungsunmittelbarkeit</w:t>
      </w:r>
      <w:r w:rsidRPr="006D3CB9">
        <w:t xml:space="preserve"> vorliegt: Nur wenn Verfassungsorgane oder unmittelbar am Verfassungsleben beteiligte Rechtsträger über Rechte und Pflichten aus der Verfassung streiten, ist die Streitigkeit verfassungsrechtlicher Art.</w:t>
      </w:r>
      <w:r w:rsidRPr="006D3CB9">
        <w:rPr>
          <w:vertAlign w:val="superscript"/>
        </w:rPr>
        <w:footnoteReference w:id="16"/>
      </w:r>
      <w:r w:rsidR="00C87B0D">
        <w:t xml:space="preserve"> Ansonsten ist die Streitigkeit nicht-verfassungsrechtlicher Art.</w:t>
      </w:r>
    </w:p>
    <w:p w14:paraId="6BB0D43C" w14:textId="77777777" w:rsidR="00601E96" w:rsidRPr="006D3CB9" w:rsidRDefault="00601E96" w:rsidP="00601E96">
      <w:pPr>
        <w:pStyle w:val="Randnummer"/>
        <w:framePr w:wrap="around"/>
      </w:pPr>
    </w:p>
    <w:p w14:paraId="75E8435A" w14:textId="7A98389D" w:rsidR="00601E96" w:rsidRDefault="00601E96" w:rsidP="00601E96">
      <w:r w:rsidRPr="00601E96">
        <w:t xml:space="preserve">Schließlich </w:t>
      </w:r>
      <w:r>
        <w:t>darf</w:t>
      </w:r>
      <w:r w:rsidRPr="00601E96">
        <w:t xml:space="preserve"> keine sog. </w:t>
      </w:r>
      <w:r w:rsidRPr="00601E96">
        <w:rPr>
          <w:b/>
        </w:rPr>
        <w:t>abdrängende Sonderzuweisung</w:t>
      </w:r>
      <w:r w:rsidRPr="00601E96">
        <w:rPr>
          <w:b/>
        </w:rPr>
        <w:fldChar w:fldCharType="begin"/>
      </w:r>
      <w:r w:rsidRPr="00601E96">
        <w:instrText xml:space="preserve"> XE "Sonderzuweisung" \t "</w:instrText>
      </w:r>
      <w:r w:rsidRPr="00601E96">
        <w:rPr>
          <w:i/>
        </w:rPr>
        <w:instrText>Siehe</w:instrText>
      </w:r>
      <w:r w:rsidRPr="00601E96">
        <w:instrText xml:space="preserve"> Abdrängende Sonderzuweisung" </w:instrText>
      </w:r>
      <w:r w:rsidRPr="00601E96">
        <w:rPr>
          <w:b/>
        </w:rPr>
        <w:fldChar w:fldCharType="end"/>
      </w:r>
      <w:r w:rsidRPr="00601E96">
        <w:fldChar w:fldCharType="begin"/>
      </w:r>
      <w:r w:rsidRPr="00601E96">
        <w:instrText xml:space="preserve"> XE "Abdrängende Sonderzuweisung" </w:instrText>
      </w:r>
      <w:r w:rsidRPr="00601E96">
        <w:fldChar w:fldCharType="end"/>
      </w:r>
      <w:r w:rsidRPr="00601E96">
        <w:fldChar w:fldCharType="begin"/>
      </w:r>
      <w:r w:rsidRPr="00601E96">
        <w:instrText xml:space="preserve"> XE "Eröffnung des Verwaltungsrechtswegs:Abdrängende Sonderzuweisung" </w:instrText>
      </w:r>
      <w:r w:rsidRPr="00601E96">
        <w:fldChar w:fldCharType="end"/>
      </w:r>
      <w:r w:rsidRPr="00601E96">
        <w:rPr>
          <w:b/>
        </w:rPr>
        <w:t xml:space="preserve"> </w:t>
      </w:r>
      <w:r w:rsidRPr="00601E96">
        <w:t xml:space="preserve">die Streitigkeit zu einem anderen Gericht abdrängen. Obwohl eine öffentlich-rechtliche Streitigkeit nicht-verfassungsrechtlicher Art vorliegt, kann es also sein, dass dennoch ein anderer Gerichtszweig über die Klage/den Antrag entscheidet. </w:t>
      </w:r>
      <w:r>
        <w:t xml:space="preserve">In der Regel ist in Klausuren keine abdrängende Sonderzuweisung ersichtlich. Besonderer Aufmerksamkeit bedarf </w:t>
      </w:r>
      <w:r w:rsidR="00C87B0D">
        <w:t>dieser Prüfungspunkt</w:t>
      </w:r>
      <w:r>
        <w:t xml:space="preserve"> jedoch im Polizei- und Ordnungsrecht (s. Fall 1 Rn. 9) und im Recht der staatlichen Er</w:t>
      </w:r>
      <w:r w:rsidR="00DF5C2C">
        <w:t>satzleistungen (s. Fall 16 Rn. 5</w:t>
      </w:r>
      <w:r>
        <w:t>).</w:t>
      </w:r>
      <w:r>
        <w:rPr>
          <w:rStyle w:val="Funotenzeichen"/>
        </w:rPr>
        <w:footnoteReference w:id="17"/>
      </w:r>
    </w:p>
    <w:p w14:paraId="2813A391" w14:textId="77777777" w:rsidR="00601E96" w:rsidRPr="00601E96" w:rsidRDefault="00601E96" w:rsidP="00601E96"/>
    <w:p w14:paraId="06E07D3F" w14:textId="6555E539" w:rsidR="00601E96" w:rsidRDefault="00601E96" w:rsidP="00601E96">
      <w:pPr>
        <w:pStyle w:val="berschrift2"/>
      </w:pPr>
      <w:bookmarkStart w:id="19" w:name="_Toc22132764"/>
      <w:r>
        <w:t xml:space="preserve">C. Die </w:t>
      </w:r>
      <w:r w:rsidR="00315472">
        <w:t xml:space="preserve">Bestimmung der </w:t>
      </w:r>
      <w:r>
        <w:t>statthafte</w:t>
      </w:r>
      <w:r w:rsidR="00315472">
        <w:t>n</w:t>
      </w:r>
      <w:r>
        <w:t xml:space="preserve"> Klage-/Antragsart (Nikolas Eisentraut)</w:t>
      </w:r>
      <w:bookmarkEnd w:id="19"/>
    </w:p>
    <w:p w14:paraId="5E106AC1" w14:textId="36DC4E19" w:rsidR="00F51AE5" w:rsidRPr="00F51AE5" w:rsidRDefault="00F51AE5" w:rsidP="00F51AE5">
      <w:pPr>
        <w:pStyle w:val="Autorin"/>
      </w:pPr>
      <w:r>
        <w:t>Nikolas Eisentraut</w:t>
      </w:r>
    </w:p>
    <w:p w14:paraId="00BE857C" w14:textId="77777777" w:rsidR="00601E96" w:rsidRPr="00601E96" w:rsidRDefault="00601E96" w:rsidP="00601E96">
      <w:pPr>
        <w:pStyle w:val="Randnummer"/>
        <w:framePr w:wrap="around"/>
      </w:pPr>
    </w:p>
    <w:p w14:paraId="07FFE946" w14:textId="4F40FA26" w:rsidR="00601E96" w:rsidRDefault="00601E96" w:rsidP="00601E96">
      <w:r w:rsidRPr="00601E96">
        <w:lastRenderedPageBreak/>
        <w:t>Wenn der Verwaltungsrechtsweg eröffnet ist, ist als nächstes die Frage aufzuwerfen, welche Klageart (im einstweiligen Rechtsschutz</w:t>
      </w:r>
      <w:r w:rsidR="00C87B0D">
        <w:t xml:space="preserve"> und beim Antrag nach § 47 VwGO</w:t>
      </w:r>
      <w:r w:rsidRPr="00601E96">
        <w:t>: welche Antragsart) statthaft ist.</w:t>
      </w:r>
    </w:p>
    <w:p w14:paraId="1476AA07" w14:textId="77777777" w:rsidR="00601E96" w:rsidRPr="00601E96" w:rsidRDefault="00601E96" w:rsidP="00601E96">
      <w:pPr>
        <w:pStyle w:val="Randnummer"/>
        <w:framePr w:wrap="around"/>
      </w:pPr>
    </w:p>
    <w:p w14:paraId="7FA4CB1D" w14:textId="77777777" w:rsidR="00601E96" w:rsidRDefault="00601E96" w:rsidP="00601E96">
      <w:r w:rsidRPr="00601E96">
        <w:t>Die Bestimmung der statthaften Klage-/Antragsart</w:t>
      </w:r>
      <w:r w:rsidRPr="00601E96">
        <w:fldChar w:fldCharType="begin"/>
      </w:r>
      <w:r w:rsidRPr="00601E96">
        <w:instrText xml:space="preserve"> XE "Statthafte Klageart" </w:instrText>
      </w:r>
      <w:r w:rsidRPr="00601E96">
        <w:fldChar w:fldCharType="end"/>
      </w:r>
      <w:r w:rsidRPr="00601E96">
        <w:t xml:space="preserve"> ist das </w:t>
      </w:r>
      <w:r w:rsidRPr="00601E96">
        <w:rPr>
          <w:b/>
        </w:rPr>
        <w:t>zentrale Scharnier</w:t>
      </w:r>
      <w:r w:rsidRPr="00601E96">
        <w:t xml:space="preserve"> für die gesamte restliche Klausur. Nach ihr richten sich sowohl die weiteren Zulässigkeitsvoraussetzungen als auch die Struktur der Begründetheitsprüfung. Entsprechend wichtig ist die saubere Prüfung, welche Klage- bzw. Antragsart einschlägig</w:t>
      </w:r>
      <w:r w:rsidRPr="00601E96">
        <w:fldChar w:fldCharType="begin"/>
      </w:r>
      <w:r w:rsidRPr="00601E96">
        <w:instrText xml:space="preserve"> XE "Statthafte Antragsart" </w:instrText>
      </w:r>
      <w:r w:rsidRPr="00601E96">
        <w:fldChar w:fldCharType="end"/>
      </w:r>
      <w:r w:rsidRPr="00601E96">
        <w:t xml:space="preserve"> ist. </w:t>
      </w:r>
    </w:p>
    <w:p w14:paraId="27657DF0" w14:textId="77777777" w:rsidR="00601E96" w:rsidRPr="00601E96" w:rsidRDefault="00601E96" w:rsidP="00601E96">
      <w:pPr>
        <w:pStyle w:val="Randnummer"/>
        <w:framePr w:wrap="around"/>
      </w:pPr>
    </w:p>
    <w:p w14:paraId="2076610E" w14:textId="07A13D7A" w:rsidR="00601E96" w:rsidRPr="00601E96" w:rsidRDefault="00601E96" w:rsidP="00601E96">
      <w:r w:rsidRPr="00601E96">
        <w:t>Liegt die statthafte Klage-/Antragsart nicht offensichtlich auf der Hand, macht es in der Klausurlösung Sinn, zunächst auch im Ergebnis zwar nicht für einschlägig befundene, aber womöglich in Betracht kommende Klage-/Antragsarten anzuprüfen und dann abzulehnen, bevor auf die als statthaft erkannte Klage-/Antragsart eingegangen wir</w:t>
      </w:r>
      <w:r>
        <w:t>d.</w:t>
      </w:r>
    </w:p>
    <w:p w14:paraId="0B67280F" w14:textId="78FF99DC" w:rsidR="00601E96" w:rsidRDefault="00601E96" w:rsidP="00601E96">
      <w:pPr>
        <w:pStyle w:val="berschrift3"/>
      </w:pPr>
      <w:bookmarkStart w:id="20" w:name="_Toc10463442"/>
      <w:bookmarkStart w:id="21" w:name="_Toc14439012"/>
      <w:bookmarkStart w:id="22" w:name="_Toc14439247"/>
      <w:r w:rsidRPr="00601E96">
        <w:t>I. Klagearten der VwGO</w:t>
      </w:r>
      <w:bookmarkEnd w:id="20"/>
      <w:bookmarkEnd w:id="21"/>
      <w:bookmarkEnd w:id="22"/>
    </w:p>
    <w:p w14:paraId="7B9D2288" w14:textId="77777777" w:rsidR="00601E96" w:rsidRPr="00601E96" w:rsidRDefault="00601E96" w:rsidP="00601E96">
      <w:pPr>
        <w:pStyle w:val="Randnummer"/>
        <w:framePr w:wrap="around"/>
      </w:pPr>
    </w:p>
    <w:p w14:paraId="0F78856B" w14:textId="77777777" w:rsidR="00601E96" w:rsidRPr="00601E96" w:rsidRDefault="00601E96" w:rsidP="00601E96">
      <w:r w:rsidRPr="00601E96">
        <w:t>Die VwGO kennt die folgenden Klagearten:</w:t>
      </w:r>
    </w:p>
    <w:p w14:paraId="1DA315AB" w14:textId="4F494944" w:rsidR="00601E96" w:rsidRPr="00601E96" w:rsidRDefault="00601E96" w:rsidP="00601E96">
      <w:r w:rsidRPr="00601E96">
        <w:t>1. die Anfechtungsklage, § 42 I Alt. 1 VwGO (</w:t>
      </w:r>
      <w:r>
        <w:t>dazu die Fälle 1, 2 und 3 in § 2</w:t>
      </w:r>
      <w:r w:rsidRPr="00601E96">
        <w:t>),</w:t>
      </w:r>
    </w:p>
    <w:p w14:paraId="1482F2A7" w14:textId="3176ED24" w:rsidR="00601E96" w:rsidRPr="00601E96" w:rsidRDefault="00601E96" w:rsidP="00601E96">
      <w:r w:rsidRPr="00601E96">
        <w:t>2. die Verpflichtungsklage, § 42 I Alt. 2 VwGO (</w:t>
      </w:r>
      <w:r>
        <w:t xml:space="preserve">dazu die Fälle 4 und 5 in </w:t>
      </w:r>
      <w:r w:rsidRPr="00601E96">
        <w:t>§ 3),</w:t>
      </w:r>
    </w:p>
    <w:p w14:paraId="7EA3A69D" w14:textId="164B7EB1" w:rsidR="00601E96" w:rsidRPr="00601E96" w:rsidRDefault="00601E96" w:rsidP="00601E96">
      <w:r w:rsidRPr="00601E96">
        <w:t>3. die Fortsetzungsfeststellungsklage, § 113 I 4 VwGO (ggf. analog) (</w:t>
      </w:r>
      <w:r>
        <w:t xml:space="preserve">dazu die Fälle 6,  7 und 8 in </w:t>
      </w:r>
      <w:r w:rsidRPr="00601E96">
        <w:t>§ 4),</w:t>
      </w:r>
    </w:p>
    <w:p w14:paraId="673BCCD8" w14:textId="28B6C1D6" w:rsidR="00601E96" w:rsidRPr="00601E96" w:rsidRDefault="00601E96" w:rsidP="00601E96">
      <w:r w:rsidRPr="00601E96">
        <w:t>4. die allgemeine Leistungsklage (vorausgesetzt in den §§ 43 II, 111, 113 IV VwGO) (</w:t>
      </w:r>
      <w:r>
        <w:t>dazu die Fälle 9 und 10 in</w:t>
      </w:r>
      <w:r w:rsidRPr="00601E96">
        <w:t xml:space="preserve"> § 5),</w:t>
      </w:r>
    </w:p>
    <w:p w14:paraId="7C2E6563" w14:textId="09F3B59D" w:rsidR="00601E96" w:rsidRPr="00601E96" w:rsidRDefault="00601E96" w:rsidP="00601E96">
      <w:r w:rsidRPr="00601E96">
        <w:t>5. die Feststellungsklage, § 43 II VwGO (</w:t>
      </w:r>
      <w:r>
        <w:t>dazu die Fälle 11 und 12 in</w:t>
      </w:r>
      <w:r w:rsidRPr="00601E96">
        <w:t xml:space="preserve"> § 6)</w:t>
      </w:r>
      <w:r w:rsidR="00C87B0D">
        <w:t>.</w:t>
      </w:r>
    </w:p>
    <w:p w14:paraId="5642C8C2" w14:textId="77777777" w:rsidR="00601E96" w:rsidRPr="00601E96" w:rsidRDefault="00601E96" w:rsidP="00601E96">
      <w:pPr>
        <w:pStyle w:val="Randnummer"/>
        <w:framePr w:wrap="around"/>
      </w:pPr>
    </w:p>
    <w:p w14:paraId="160CC71E" w14:textId="73923E57" w:rsidR="00601E96" w:rsidRPr="00601E96" w:rsidRDefault="00601E96" w:rsidP="00601E96">
      <w:pPr>
        <w:pStyle w:val="berschrift3"/>
      </w:pPr>
      <w:bookmarkStart w:id="23" w:name="_Toc10463443"/>
      <w:bookmarkStart w:id="24" w:name="_Toc14439013"/>
      <w:bookmarkStart w:id="25" w:name="_Toc14439248"/>
      <w:r w:rsidRPr="00601E96">
        <w:t>II. Antragsarten der VwGO</w:t>
      </w:r>
      <w:bookmarkEnd w:id="23"/>
      <w:bookmarkEnd w:id="24"/>
      <w:bookmarkEnd w:id="25"/>
    </w:p>
    <w:p w14:paraId="033F901C" w14:textId="791682C7" w:rsidR="00601E96" w:rsidRPr="00601E96" w:rsidRDefault="00C87B0D" w:rsidP="00601E96">
      <w:r w:rsidRPr="00C87B0D">
        <w:t>Neben dem Normenkontrollantrag nach § 47 VwGO (dazu der Fall 13 in § 7) kennt die VwGO die folgenden vorläufigen Rechtsschutzanträge:</w:t>
      </w:r>
    </w:p>
    <w:p w14:paraId="38883D37" w14:textId="64260CA2" w:rsidR="00601E96" w:rsidRPr="00601E96" w:rsidRDefault="00601E96" w:rsidP="00601E96">
      <w:r w:rsidRPr="00601E96">
        <w:t>1. den Antrag nach § 80 Abs. 5 VwGO (</w:t>
      </w:r>
      <w:r>
        <w:t>dazu der Fall 14 in</w:t>
      </w:r>
      <w:r w:rsidRPr="00601E96">
        <w:t xml:space="preserve"> § 8),</w:t>
      </w:r>
    </w:p>
    <w:p w14:paraId="5DA145EA" w14:textId="601E84B0" w:rsidR="00601E96" w:rsidRPr="00601E96" w:rsidRDefault="00601E96" w:rsidP="00601E96">
      <w:r w:rsidRPr="00601E96">
        <w:t xml:space="preserve">2. </w:t>
      </w:r>
      <w:r>
        <w:t>den Antrag nach § 80, 80a VwGO</w:t>
      </w:r>
      <w:r w:rsidR="00F51AE5">
        <w:rPr>
          <w:rStyle w:val="Funotenzeichen"/>
        </w:rPr>
        <w:footnoteReference w:id="18"/>
      </w:r>
      <w:r w:rsidRPr="00601E96">
        <w:t>,</w:t>
      </w:r>
    </w:p>
    <w:p w14:paraId="0F04182C" w14:textId="1ED426AF" w:rsidR="00601E96" w:rsidRPr="00601E96" w:rsidRDefault="00601E96" w:rsidP="00601E96">
      <w:r w:rsidRPr="00601E96">
        <w:t>3. den Antrag nach § 123 VwGO (</w:t>
      </w:r>
      <w:r>
        <w:t>dazu der Fall 15 in § 9</w:t>
      </w:r>
      <w:r w:rsidRPr="00601E96">
        <w:t>),</w:t>
      </w:r>
    </w:p>
    <w:p w14:paraId="2B20149F" w14:textId="70EE7774" w:rsidR="00601E96" w:rsidRPr="00601E96" w:rsidRDefault="00601E96" w:rsidP="00601E96">
      <w:r w:rsidRPr="00601E96">
        <w:t>4. der Antrag nach § 47 Abs. 6 VwGO</w:t>
      </w:r>
      <w:r>
        <w:rPr>
          <w:rStyle w:val="Funotenzeichen"/>
        </w:rPr>
        <w:footnoteReference w:id="19"/>
      </w:r>
      <w:r w:rsidRPr="00601E96">
        <w:t>.</w:t>
      </w:r>
    </w:p>
    <w:p w14:paraId="5C8C1B7C" w14:textId="6983E2A2" w:rsidR="00601E96" w:rsidRPr="00601E96" w:rsidRDefault="00601E96" w:rsidP="00F51AE5">
      <w:pPr>
        <w:pStyle w:val="berschrift3"/>
      </w:pPr>
      <w:bookmarkStart w:id="26" w:name="_Toc10463444"/>
      <w:bookmarkStart w:id="27" w:name="_Toc14439014"/>
      <w:bookmarkStart w:id="28" w:name="_Toc14439249"/>
      <w:r w:rsidRPr="00601E96">
        <w:t>III. Die Stellschraube in der Klausur: Das klägerische Begehren</w:t>
      </w:r>
      <w:bookmarkEnd w:id="26"/>
      <w:bookmarkEnd w:id="27"/>
      <w:bookmarkEnd w:id="28"/>
    </w:p>
    <w:p w14:paraId="3B9D96BD" w14:textId="77777777" w:rsidR="00C87B0D" w:rsidRDefault="00C87B0D" w:rsidP="00C87B0D">
      <w:pPr>
        <w:pStyle w:val="Randnummer"/>
        <w:framePr w:wrap="around"/>
      </w:pPr>
    </w:p>
    <w:p w14:paraId="5E7C4388" w14:textId="08E7B1D3" w:rsidR="00601E96" w:rsidRPr="00F51AE5" w:rsidRDefault="00601E96" w:rsidP="00F51AE5">
      <w:r w:rsidRPr="00601E96">
        <w:t xml:space="preserve">Welche der Klagearten statthaft ist, richtet sich nach dem </w:t>
      </w:r>
      <w:r w:rsidRPr="00601E96">
        <w:rPr>
          <w:b/>
        </w:rPr>
        <w:t>Begehren des Klägers</w:t>
      </w:r>
      <w:r w:rsidRPr="00601E96">
        <w:fldChar w:fldCharType="begin"/>
      </w:r>
      <w:r w:rsidRPr="00601E96">
        <w:instrText xml:space="preserve"> XE "Begehren des Klägers" </w:instrText>
      </w:r>
      <w:r w:rsidRPr="00601E96">
        <w:fldChar w:fldCharType="end"/>
      </w:r>
      <w:r w:rsidRPr="00601E96">
        <w:rPr>
          <w:b/>
        </w:rPr>
        <w:t>, § 88 VwGO</w:t>
      </w:r>
      <w:r w:rsidRPr="00601E96">
        <w:t>. In der Klausur wie auch in der Hausarbeit ist also genau zu untersuchen, was der Kläger vom Gericht eigentlich will.</w:t>
      </w:r>
    </w:p>
    <w:p w14:paraId="128F080C" w14:textId="77777777" w:rsidR="00C87B0D" w:rsidRDefault="00C87B0D" w:rsidP="00C87B0D">
      <w:pPr>
        <w:pStyle w:val="Randnummer"/>
        <w:framePr w:wrap="around"/>
      </w:pPr>
    </w:p>
    <w:p w14:paraId="0AA78F7B" w14:textId="742463EB" w:rsidR="00601E96" w:rsidRPr="00F51AE5" w:rsidRDefault="00601E96" w:rsidP="00F51AE5">
      <w:r w:rsidRPr="00601E96">
        <w:t xml:space="preserve">In </w:t>
      </w:r>
      <w:r w:rsidRPr="00601E96">
        <w:rPr>
          <w:b/>
        </w:rPr>
        <w:t>Verfahren des einstweiligen Rechtsschutzes</w:t>
      </w:r>
      <w:r w:rsidRPr="00601E96">
        <w:fldChar w:fldCharType="begin"/>
      </w:r>
      <w:r w:rsidRPr="00601E96">
        <w:instrText xml:space="preserve"> XE "Einstweiliger Rechtsschutz:Antragsbegehren" </w:instrText>
      </w:r>
      <w:r w:rsidRPr="00601E96">
        <w:fldChar w:fldCharType="end"/>
      </w:r>
      <w:r w:rsidRPr="00601E96">
        <w:fldChar w:fldCharType="begin"/>
      </w:r>
      <w:r w:rsidRPr="00601E96">
        <w:instrText xml:space="preserve"> XE "Antragsbegehren" </w:instrText>
      </w:r>
      <w:r w:rsidRPr="00601E96">
        <w:fldChar w:fldCharType="end"/>
      </w:r>
      <w:r w:rsidRPr="00601E96">
        <w:t xml:space="preserve"> gilt § 88 VwGO über § 122 I VwGO entsprechend. § 122 I VwGO ordnet dafür an, dass § 88 VwGO entsprechend für „Beschlüsse“ gilt. Für den Antrag nach § 123 VwGO stellt dessen Abs. 4 fest, dass das Gericht „durch Beschluß“ entscheidet. Das gleiche gilt für den Antrag nach § 80 V VwGO, dies ergibt sich aus § 80 VII 1 VwGO.</w:t>
      </w:r>
      <w:r w:rsidR="00C87B0D">
        <w:t xml:space="preserve"> </w:t>
      </w:r>
      <w:r w:rsidRPr="00601E96">
        <w:t xml:space="preserve">In terminologischer Hinsicht muss </w:t>
      </w:r>
      <w:r w:rsidR="00C87B0D">
        <w:t xml:space="preserve">jedoch </w:t>
      </w:r>
      <w:r w:rsidRPr="00601E96">
        <w:t xml:space="preserve">darauf geachtet werden, dass in einstweiligen Rechtsschutzverfahren nicht vom „klägerischen“ Begehren sondern vom </w:t>
      </w:r>
      <w:r w:rsidRPr="00601E96">
        <w:rPr>
          <w:b/>
        </w:rPr>
        <w:t xml:space="preserve">Begehren des „Antragstellers“ </w:t>
      </w:r>
      <w:r w:rsidRPr="00601E96">
        <w:t>gesprochen wird.</w:t>
      </w:r>
    </w:p>
    <w:p w14:paraId="1E301BE4" w14:textId="77777777" w:rsidR="00C87B0D" w:rsidRDefault="00C87B0D" w:rsidP="00C87B0D">
      <w:pPr>
        <w:pStyle w:val="Randnummer"/>
        <w:framePr w:wrap="around"/>
      </w:pPr>
    </w:p>
    <w:p w14:paraId="045053BD" w14:textId="36345B58" w:rsidR="00601E96" w:rsidRPr="00601E96" w:rsidRDefault="00601E96" w:rsidP="00601E96">
      <w:r w:rsidRPr="00601E96">
        <w:t>Es lassen sich 10 Begehren systematisieren, die typischerweise in Prüfungsarbeiten in Betracht kommen. Für jedes dieser Begehren findet sich</w:t>
      </w:r>
      <w:r w:rsidR="00C87B0D">
        <w:t xml:space="preserve"> in</w:t>
      </w:r>
      <w:r w:rsidRPr="00601E96">
        <w:t xml:space="preserve"> der VwGO eine Klage- bzw. Antragsart. Dieser Zusammenhang ist in der folgenden Tabelle dargestellt:</w:t>
      </w:r>
    </w:p>
    <w:tbl>
      <w:tblPr>
        <w:tblStyle w:val="Tabellenraster"/>
        <w:tblW w:w="0" w:type="auto"/>
        <w:tblLook w:val="04A0" w:firstRow="1" w:lastRow="0" w:firstColumn="1" w:lastColumn="0" w:noHBand="0" w:noVBand="1"/>
      </w:tblPr>
      <w:tblGrid>
        <w:gridCol w:w="3521"/>
        <w:gridCol w:w="3840"/>
      </w:tblGrid>
      <w:tr w:rsidR="00601E96" w:rsidRPr="00601E96" w14:paraId="4ECA4573" w14:textId="77777777" w:rsidTr="002F317D">
        <w:tc>
          <w:tcPr>
            <w:tcW w:w="4530" w:type="dxa"/>
          </w:tcPr>
          <w:p w14:paraId="18A92160" w14:textId="77777777" w:rsidR="00601E96" w:rsidRPr="00601E96" w:rsidRDefault="00601E96" w:rsidP="00601E96">
            <w:pPr>
              <w:spacing w:after="120" w:line="264" w:lineRule="auto"/>
              <w:rPr>
                <w:rFonts w:eastAsiaTheme="minorEastAsia"/>
                <w:b/>
                <w:szCs w:val="21"/>
              </w:rPr>
            </w:pPr>
            <w:r w:rsidRPr="00601E96">
              <w:rPr>
                <w:rFonts w:eastAsiaTheme="minorEastAsia"/>
                <w:b/>
                <w:szCs w:val="21"/>
              </w:rPr>
              <w:t>Begehren</w:t>
            </w:r>
          </w:p>
        </w:tc>
        <w:tc>
          <w:tcPr>
            <w:tcW w:w="4530" w:type="dxa"/>
          </w:tcPr>
          <w:p w14:paraId="2B721DB1" w14:textId="77777777" w:rsidR="00601E96" w:rsidRPr="00601E96" w:rsidRDefault="00601E96" w:rsidP="00601E96">
            <w:pPr>
              <w:spacing w:after="120" w:line="264" w:lineRule="auto"/>
              <w:rPr>
                <w:rFonts w:eastAsiaTheme="minorEastAsia"/>
                <w:b/>
                <w:szCs w:val="21"/>
              </w:rPr>
            </w:pPr>
            <w:r w:rsidRPr="00601E96">
              <w:rPr>
                <w:rFonts w:eastAsiaTheme="minorEastAsia"/>
                <w:b/>
                <w:szCs w:val="21"/>
              </w:rPr>
              <w:t>Klage-/Antragsart</w:t>
            </w:r>
          </w:p>
          <w:p w14:paraId="53E9E385" w14:textId="77777777" w:rsidR="00601E96" w:rsidRPr="00601E96" w:rsidRDefault="00601E96" w:rsidP="00601E96">
            <w:pPr>
              <w:spacing w:after="120" w:line="264" w:lineRule="auto"/>
              <w:rPr>
                <w:rFonts w:eastAsiaTheme="minorEastAsia"/>
                <w:b/>
                <w:szCs w:val="21"/>
              </w:rPr>
            </w:pPr>
          </w:p>
        </w:tc>
      </w:tr>
      <w:tr w:rsidR="00601E96" w:rsidRPr="00601E96" w14:paraId="647A0869" w14:textId="77777777" w:rsidTr="002F317D">
        <w:tc>
          <w:tcPr>
            <w:tcW w:w="4530" w:type="dxa"/>
          </w:tcPr>
          <w:p w14:paraId="40D72857" w14:textId="77777777" w:rsidR="00601E96" w:rsidRPr="00601E96" w:rsidRDefault="00601E96" w:rsidP="00601E96">
            <w:pPr>
              <w:spacing w:after="120" w:line="264" w:lineRule="auto"/>
              <w:rPr>
                <w:rFonts w:eastAsiaTheme="minorEastAsia"/>
                <w:szCs w:val="21"/>
              </w:rPr>
            </w:pPr>
            <w:r w:rsidRPr="00601E96">
              <w:rPr>
                <w:rFonts w:eastAsiaTheme="minorEastAsia"/>
                <w:szCs w:val="21"/>
              </w:rPr>
              <w:t>1. Der Kläger begehrt die Aufhebung eines Verwaltungsakts.</w:t>
            </w:r>
          </w:p>
        </w:tc>
        <w:tc>
          <w:tcPr>
            <w:tcW w:w="4530" w:type="dxa"/>
          </w:tcPr>
          <w:p w14:paraId="19336A19" w14:textId="7D5CA978" w:rsidR="00601E96" w:rsidRPr="00601E96" w:rsidRDefault="00601E96" w:rsidP="00601E96">
            <w:pPr>
              <w:spacing w:after="120" w:line="264" w:lineRule="auto"/>
              <w:rPr>
                <w:rFonts w:eastAsiaTheme="minorEastAsia"/>
                <w:szCs w:val="21"/>
              </w:rPr>
            </w:pPr>
            <w:r w:rsidRPr="00601E96">
              <w:rPr>
                <w:rFonts w:eastAsiaTheme="minorEastAsia"/>
                <w:szCs w:val="21"/>
              </w:rPr>
              <w:t>1. Begehrt der Kläger die Aufhebung eines Verwaltungsakts, so ist die Anfechtungsklage nach § 42 I Alt. 1 VwGO statthaft.</w:t>
            </w:r>
          </w:p>
        </w:tc>
      </w:tr>
      <w:tr w:rsidR="00601E96" w:rsidRPr="00601E96" w14:paraId="437AC020" w14:textId="77777777" w:rsidTr="002F317D">
        <w:tc>
          <w:tcPr>
            <w:tcW w:w="4530" w:type="dxa"/>
          </w:tcPr>
          <w:p w14:paraId="38A1A15A" w14:textId="33A2652A" w:rsidR="00601E96" w:rsidRPr="00601E96" w:rsidRDefault="00601E96" w:rsidP="00601E96">
            <w:pPr>
              <w:spacing w:after="120" w:line="264" w:lineRule="auto"/>
              <w:rPr>
                <w:rFonts w:eastAsiaTheme="minorEastAsia"/>
                <w:szCs w:val="21"/>
              </w:rPr>
            </w:pPr>
            <w:r w:rsidRPr="00601E96">
              <w:rPr>
                <w:rFonts w:eastAsiaTheme="minorEastAsia"/>
                <w:szCs w:val="21"/>
              </w:rPr>
              <w:t>2. Der Kläger begehrt den Erlass eines abgelehnten oder unterlassenen Verwaltungsakts</w:t>
            </w:r>
            <w:r w:rsidR="009B5D22">
              <w:rPr>
                <w:rFonts w:eastAsiaTheme="minorEastAsia"/>
                <w:szCs w:val="21"/>
              </w:rPr>
              <w:t>.</w:t>
            </w:r>
          </w:p>
        </w:tc>
        <w:tc>
          <w:tcPr>
            <w:tcW w:w="4530" w:type="dxa"/>
          </w:tcPr>
          <w:p w14:paraId="2BB7C12E" w14:textId="77777777" w:rsidR="00601E96" w:rsidRPr="00601E96" w:rsidRDefault="00601E96" w:rsidP="00601E96">
            <w:pPr>
              <w:spacing w:after="120" w:line="264" w:lineRule="auto"/>
              <w:rPr>
                <w:rFonts w:eastAsiaTheme="minorEastAsia"/>
                <w:szCs w:val="21"/>
              </w:rPr>
            </w:pPr>
            <w:r w:rsidRPr="00601E96">
              <w:rPr>
                <w:rFonts w:eastAsiaTheme="minorEastAsia"/>
                <w:szCs w:val="21"/>
              </w:rPr>
              <w:t>2. Begehrt der Kläger den Erlass eines abgelehnten oder unterlassenen Verwaltungsakts, so ist die Verpflichtungsklage nach § 42 I Alt. 2 VwGO statthaft.</w:t>
            </w:r>
          </w:p>
        </w:tc>
      </w:tr>
      <w:tr w:rsidR="00601E96" w:rsidRPr="00601E96" w14:paraId="13FCDA9A" w14:textId="77777777" w:rsidTr="002F317D">
        <w:tc>
          <w:tcPr>
            <w:tcW w:w="4530" w:type="dxa"/>
          </w:tcPr>
          <w:p w14:paraId="5729713A" w14:textId="780FCD2D" w:rsidR="00601E96" w:rsidRPr="00601E96" w:rsidRDefault="00601E96" w:rsidP="00601E96">
            <w:pPr>
              <w:spacing w:after="120" w:line="264" w:lineRule="auto"/>
              <w:rPr>
                <w:rFonts w:eastAsiaTheme="minorEastAsia"/>
                <w:szCs w:val="21"/>
              </w:rPr>
            </w:pPr>
            <w:r w:rsidRPr="00601E96">
              <w:rPr>
                <w:rFonts w:eastAsiaTheme="minorEastAsia"/>
                <w:szCs w:val="21"/>
              </w:rPr>
              <w:t>3. Der Kläger begehrt nach Erledigung eines Verwaltungsakts die Feststellung der Rechtswidrigkeit eines Verwaltungsakts oder der Rechtswidrigkeit der Ablehnung oder Unterlassung eines Verwaltungsakts.</w:t>
            </w:r>
          </w:p>
          <w:p w14:paraId="6BE9A399" w14:textId="77777777" w:rsidR="00601E96" w:rsidRPr="00601E96" w:rsidRDefault="00601E96" w:rsidP="00601E96">
            <w:pPr>
              <w:spacing w:after="120" w:line="264" w:lineRule="auto"/>
              <w:rPr>
                <w:rFonts w:eastAsiaTheme="minorEastAsia"/>
                <w:szCs w:val="21"/>
              </w:rPr>
            </w:pPr>
          </w:p>
        </w:tc>
        <w:tc>
          <w:tcPr>
            <w:tcW w:w="4530" w:type="dxa"/>
          </w:tcPr>
          <w:p w14:paraId="7D360323" w14:textId="15D37D59" w:rsidR="00601E96" w:rsidRPr="00601E96" w:rsidRDefault="00601E96" w:rsidP="00601E96">
            <w:pPr>
              <w:spacing w:after="120" w:line="264" w:lineRule="auto"/>
              <w:rPr>
                <w:rFonts w:eastAsiaTheme="minorEastAsia"/>
                <w:szCs w:val="21"/>
              </w:rPr>
            </w:pPr>
            <w:r w:rsidRPr="00601E96">
              <w:rPr>
                <w:rFonts w:eastAsiaTheme="minorEastAsia"/>
                <w:szCs w:val="21"/>
              </w:rPr>
              <w:t>3. Scheidet eine gerichtliche Aufhebung eines Verwaltungsakts aus, weil sich dieser bereits erledigt hat, kann der Kläger nachträglich nur noch die Feststellung der Rechtswidrigkeit des Verwaltungsakts begehren. In diesem Fall ist die Fortsetzungsfeststellungsklage nach §§ 113 I 4 VwGO (ggf. analog) statthaft.</w:t>
            </w:r>
          </w:p>
          <w:p w14:paraId="1C235EE9" w14:textId="113F3E26" w:rsidR="00601E96" w:rsidRPr="00601E96" w:rsidRDefault="00601E96" w:rsidP="009B5D22">
            <w:pPr>
              <w:spacing w:after="120" w:line="264" w:lineRule="auto"/>
              <w:rPr>
                <w:rFonts w:eastAsiaTheme="minorEastAsia"/>
                <w:szCs w:val="21"/>
              </w:rPr>
            </w:pPr>
            <w:r w:rsidRPr="00601E96">
              <w:rPr>
                <w:rFonts w:eastAsiaTheme="minorEastAsia"/>
                <w:szCs w:val="21"/>
              </w:rPr>
              <w:t>Die Fortsetzungsfeststellungsklage nach §§ 113 I 4 VwGO analog ist weiterhin statthaft, wenn der Kläger nach Erledigung festgestellt wissen will, dass die Ablehnung oder Unterlassung eines Verwaltungsakts rechtswidrig war.</w:t>
            </w:r>
          </w:p>
        </w:tc>
      </w:tr>
      <w:tr w:rsidR="00601E96" w:rsidRPr="00601E96" w14:paraId="647547B4" w14:textId="77777777" w:rsidTr="002F317D">
        <w:tc>
          <w:tcPr>
            <w:tcW w:w="4530" w:type="dxa"/>
          </w:tcPr>
          <w:p w14:paraId="665B0422" w14:textId="77777777" w:rsidR="00601E96" w:rsidRPr="00601E96" w:rsidRDefault="00601E96" w:rsidP="00601E96">
            <w:pPr>
              <w:spacing w:after="120" w:line="264" w:lineRule="auto"/>
              <w:rPr>
                <w:rFonts w:eastAsiaTheme="minorEastAsia"/>
                <w:szCs w:val="21"/>
              </w:rPr>
            </w:pPr>
            <w:r w:rsidRPr="00601E96">
              <w:rPr>
                <w:rFonts w:eastAsiaTheme="minorEastAsia"/>
                <w:szCs w:val="21"/>
              </w:rPr>
              <w:lastRenderedPageBreak/>
              <w:t>4. Der Kläger begehrt ein bestimmtes Verhalten, bei dem es sich nicht um den Erlass eines Verwaltungsakts handelt.</w:t>
            </w:r>
          </w:p>
          <w:p w14:paraId="4CBA836A" w14:textId="77777777" w:rsidR="00601E96" w:rsidRPr="00601E96" w:rsidRDefault="00601E96" w:rsidP="00601E96">
            <w:pPr>
              <w:spacing w:after="120" w:line="264" w:lineRule="auto"/>
              <w:rPr>
                <w:rFonts w:eastAsiaTheme="minorEastAsia"/>
                <w:szCs w:val="21"/>
              </w:rPr>
            </w:pPr>
          </w:p>
        </w:tc>
        <w:tc>
          <w:tcPr>
            <w:tcW w:w="4530" w:type="dxa"/>
          </w:tcPr>
          <w:p w14:paraId="2A50450A" w14:textId="77777777" w:rsidR="00601E96" w:rsidRPr="00601E96" w:rsidRDefault="00601E96" w:rsidP="00601E96">
            <w:pPr>
              <w:spacing w:after="120" w:line="264" w:lineRule="auto"/>
              <w:rPr>
                <w:rFonts w:eastAsiaTheme="minorEastAsia"/>
                <w:szCs w:val="21"/>
              </w:rPr>
            </w:pPr>
            <w:r w:rsidRPr="00601E96">
              <w:rPr>
                <w:rFonts w:eastAsiaTheme="minorEastAsia"/>
                <w:szCs w:val="21"/>
              </w:rPr>
              <w:t>4. Begehrt der Kläger mit seiner Klage ein bestimmtes Verhalten, das er nicht im Wege der Verpflichtungsklage durchsetzen kann (weil es sich bei dem begehrten Verhalten nicht um den Erlass eines Verwaltungsakts handelt), ist die allgemeine Leistungsklage statthaft.</w:t>
            </w:r>
          </w:p>
        </w:tc>
      </w:tr>
      <w:tr w:rsidR="00601E96" w:rsidRPr="00601E96" w14:paraId="4220A646" w14:textId="77777777" w:rsidTr="002F317D">
        <w:tc>
          <w:tcPr>
            <w:tcW w:w="4530" w:type="dxa"/>
          </w:tcPr>
          <w:p w14:paraId="024CB1A4" w14:textId="77777777" w:rsidR="00601E96" w:rsidRPr="00601E96" w:rsidRDefault="00601E96" w:rsidP="00601E96">
            <w:pPr>
              <w:spacing w:after="120" w:line="264" w:lineRule="auto"/>
              <w:rPr>
                <w:rFonts w:eastAsiaTheme="minorEastAsia"/>
                <w:szCs w:val="21"/>
              </w:rPr>
            </w:pPr>
            <w:r w:rsidRPr="00601E96">
              <w:rPr>
                <w:rFonts w:eastAsiaTheme="minorEastAsia"/>
                <w:szCs w:val="21"/>
              </w:rPr>
              <w:t>5. Der Kläger begehrt eine Feststellung über das Bestehen oder Nichtbestehen eines Rechtsverhältnisses.</w:t>
            </w:r>
          </w:p>
          <w:p w14:paraId="53478D9C" w14:textId="77777777" w:rsidR="00601E96" w:rsidRPr="00601E96" w:rsidRDefault="00601E96" w:rsidP="00601E96">
            <w:pPr>
              <w:spacing w:after="120" w:line="264" w:lineRule="auto"/>
              <w:rPr>
                <w:rFonts w:eastAsiaTheme="minorEastAsia"/>
                <w:szCs w:val="21"/>
              </w:rPr>
            </w:pPr>
          </w:p>
        </w:tc>
        <w:tc>
          <w:tcPr>
            <w:tcW w:w="4530" w:type="dxa"/>
          </w:tcPr>
          <w:p w14:paraId="7B1079E1" w14:textId="77777777" w:rsidR="00601E96" w:rsidRPr="00601E96" w:rsidRDefault="00601E96" w:rsidP="00601E96">
            <w:pPr>
              <w:spacing w:after="120" w:line="264" w:lineRule="auto"/>
              <w:rPr>
                <w:rFonts w:eastAsiaTheme="minorEastAsia"/>
                <w:szCs w:val="21"/>
              </w:rPr>
            </w:pPr>
            <w:r w:rsidRPr="00601E96">
              <w:rPr>
                <w:rFonts w:eastAsiaTheme="minorEastAsia"/>
                <w:szCs w:val="21"/>
              </w:rPr>
              <w:t>5. Geht es dem Kläger darum, das Bestehen oder Nichtbestehen eines Rechtsverhältnisses feststellen zu lassen, ist die allgemeine Feststellungsklage nach § 43 VwGO statthaft.</w:t>
            </w:r>
          </w:p>
        </w:tc>
      </w:tr>
      <w:tr w:rsidR="00601E96" w:rsidRPr="00601E96" w14:paraId="29E9F6C2" w14:textId="77777777" w:rsidTr="002F317D">
        <w:tc>
          <w:tcPr>
            <w:tcW w:w="4530" w:type="dxa"/>
          </w:tcPr>
          <w:p w14:paraId="799796E1" w14:textId="77777777" w:rsidR="00601E96" w:rsidRPr="00601E96" w:rsidRDefault="00601E96" w:rsidP="00601E96">
            <w:pPr>
              <w:spacing w:after="120" w:line="264" w:lineRule="auto"/>
              <w:rPr>
                <w:rFonts w:eastAsiaTheme="minorEastAsia"/>
                <w:szCs w:val="21"/>
              </w:rPr>
            </w:pPr>
            <w:r w:rsidRPr="00601E96">
              <w:rPr>
                <w:rFonts w:eastAsiaTheme="minorEastAsia"/>
                <w:szCs w:val="21"/>
              </w:rPr>
              <w:t>6. Der Kläger begehrt die Feststellung über die Nichtigkeit eines Verwaltungsakts.</w:t>
            </w:r>
          </w:p>
          <w:p w14:paraId="47843292" w14:textId="77777777" w:rsidR="00601E96" w:rsidRPr="00601E96" w:rsidRDefault="00601E96" w:rsidP="00601E96">
            <w:pPr>
              <w:spacing w:after="120" w:line="264" w:lineRule="auto"/>
              <w:rPr>
                <w:rFonts w:eastAsiaTheme="minorEastAsia"/>
                <w:szCs w:val="21"/>
              </w:rPr>
            </w:pPr>
          </w:p>
        </w:tc>
        <w:tc>
          <w:tcPr>
            <w:tcW w:w="4530" w:type="dxa"/>
          </w:tcPr>
          <w:p w14:paraId="3594D631" w14:textId="77777777" w:rsidR="00601E96" w:rsidRPr="00601E96" w:rsidRDefault="00601E96" w:rsidP="00601E96">
            <w:pPr>
              <w:spacing w:after="120" w:line="264" w:lineRule="auto"/>
              <w:rPr>
                <w:rFonts w:eastAsiaTheme="minorEastAsia"/>
                <w:szCs w:val="21"/>
              </w:rPr>
            </w:pPr>
            <w:r w:rsidRPr="00601E96">
              <w:rPr>
                <w:rFonts w:eastAsiaTheme="minorEastAsia"/>
                <w:szCs w:val="21"/>
              </w:rPr>
              <w:t>6. Geht es dem Kläger darum, die Nichtigkeit eines Verwaltungsakts feststellen zu lassen, ist ebenfalls die allgemeine Feststellungsklage nach § 43 VwGO in der Form der sog. Nichtigkeitsfeststellungsklage statthaft.</w:t>
            </w:r>
          </w:p>
        </w:tc>
      </w:tr>
      <w:tr w:rsidR="00601E96" w:rsidRPr="00601E96" w14:paraId="13EBDBA5" w14:textId="77777777" w:rsidTr="002F317D">
        <w:tc>
          <w:tcPr>
            <w:tcW w:w="4530" w:type="dxa"/>
          </w:tcPr>
          <w:p w14:paraId="5FEB1440" w14:textId="55707569" w:rsidR="00601E96" w:rsidRPr="00601E96" w:rsidRDefault="00601E96" w:rsidP="009B5D22">
            <w:pPr>
              <w:spacing w:after="120" w:line="264" w:lineRule="auto"/>
              <w:rPr>
                <w:rFonts w:eastAsiaTheme="minorEastAsia"/>
                <w:szCs w:val="21"/>
              </w:rPr>
            </w:pPr>
            <w:r w:rsidRPr="00601E96">
              <w:rPr>
                <w:rFonts w:eastAsiaTheme="minorEastAsia"/>
                <w:szCs w:val="21"/>
              </w:rPr>
              <w:t>7. Der Kläger begehrt die Überprüfu</w:t>
            </w:r>
            <w:r w:rsidR="009B5D22">
              <w:rPr>
                <w:rFonts w:eastAsiaTheme="minorEastAsia"/>
                <w:szCs w:val="21"/>
              </w:rPr>
              <w:t xml:space="preserve">ng der Gültigkeit einer Satzung, die nach Vorschriften des BauGB erlassen worden ist oder einer Rechtsverordnung auf Grund des § 246 II BauGB </w:t>
            </w:r>
            <w:r w:rsidRPr="00601E96">
              <w:rPr>
                <w:rFonts w:eastAsiaTheme="minorEastAsia"/>
                <w:szCs w:val="21"/>
              </w:rPr>
              <w:t>oder von anderen im Rang unter dem Landesgeset</w:t>
            </w:r>
            <w:r w:rsidR="00F006CD">
              <w:rPr>
                <w:rFonts w:eastAsiaTheme="minorEastAsia"/>
                <w:szCs w:val="21"/>
              </w:rPr>
              <w:t>z stehender Rechtsvorschriften.</w:t>
            </w:r>
          </w:p>
        </w:tc>
        <w:tc>
          <w:tcPr>
            <w:tcW w:w="4530" w:type="dxa"/>
          </w:tcPr>
          <w:p w14:paraId="5874CD11" w14:textId="65C5DE58" w:rsidR="00601E96" w:rsidRPr="00601E96" w:rsidRDefault="00601E96" w:rsidP="009B5D22">
            <w:pPr>
              <w:spacing w:after="120" w:line="264" w:lineRule="auto"/>
              <w:rPr>
                <w:rFonts w:eastAsiaTheme="minorEastAsia"/>
                <w:szCs w:val="21"/>
              </w:rPr>
            </w:pPr>
            <w:r w:rsidRPr="00601E96">
              <w:rPr>
                <w:rFonts w:eastAsiaTheme="minorEastAsia"/>
                <w:szCs w:val="21"/>
              </w:rPr>
              <w:t>7. Möchte der Kläger die Gültigkeit einer Satzung oder einer Rechtsverordnung nach dem BauGB überprüfen lassen, ist die verwaltungsgerichtliche Normenkontrolle nach § 47 VwGO statthaft.</w:t>
            </w:r>
            <w:r w:rsidR="009B5D22">
              <w:rPr>
                <w:rFonts w:eastAsiaTheme="minorEastAsia"/>
                <w:szCs w:val="21"/>
              </w:rPr>
              <w:t xml:space="preserve"> Bei</w:t>
            </w:r>
            <w:r w:rsidR="009B5D22" w:rsidRPr="00601E96">
              <w:rPr>
                <w:rFonts w:eastAsiaTheme="minorEastAsia"/>
                <w:szCs w:val="21"/>
              </w:rPr>
              <w:t xml:space="preserve"> anderen im Rang unter dem Landesg</w:t>
            </w:r>
            <w:r w:rsidR="009B5D22">
              <w:rPr>
                <w:rFonts w:eastAsiaTheme="minorEastAsia"/>
                <w:szCs w:val="21"/>
              </w:rPr>
              <w:t xml:space="preserve">esetz stehenden </w:t>
            </w:r>
            <w:r w:rsidR="009B5D22" w:rsidRPr="00601E96">
              <w:rPr>
                <w:rFonts w:eastAsiaTheme="minorEastAsia"/>
                <w:szCs w:val="21"/>
              </w:rPr>
              <w:t>Rechtsvorschriften</w:t>
            </w:r>
            <w:r w:rsidR="009B5D22">
              <w:rPr>
                <w:rFonts w:eastAsiaTheme="minorEastAsia"/>
                <w:szCs w:val="21"/>
              </w:rPr>
              <w:t xml:space="preserve"> gilt dies aber nur, wenn dies auch im Landesrecht bestimmt ist. Ansonsten ist auf die Feststellungsklage zurückzugreifen.</w:t>
            </w:r>
          </w:p>
        </w:tc>
      </w:tr>
      <w:tr w:rsidR="00601E96" w:rsidRPr="00601E96" w14:paraId="62DA215B" w14:textId="77777777" w:rsidTr="002F317D">
        <w:tc>
          <w:tcPr>
            <w:tcW w:w="4530" w:type="dxa"/>
          </w:tcPr>
          <w:p w14:paraId="5A5613F1" w14:textId="77777777" w:rsidR="00601E96" w:rsidRPr="00601E96" w:rsidRDefault="00601E96" w:rsidP="00601E96">
            <w:pPr>
              <w:spacing w:after="120" w:line="264" w:lineRule="auto"/>
              <w:rPr>
                <w:rFonts w:eastAsiaTheme="minorEastAsia"/>
                <w:szCs w:val="21"/>
              </w:rPr>
            </w:pPr>
            <w:r w:rsidRPr="00601E96">
              <w:rPr>
                <w:rFonts w:eastAsiaTheme="minorEastAsia"/>
                <w:szCs w:val="21"/>
              </w:rPr>
              <w:t>8. Der Antragsteller begehrt eine einstweilige Anordnung in Bezug auf die unter 2 - 6 aufgeführten Streitgegenstände.</w:t>
            </w:r>
          </w:p>
          <w:p w14:paraId="3347FDF0" w14:textId="77777777" w:rsidR="00601E96" w:rsidRPr="00601E96" w:rsidRDefault="00601E96" w:rsidP="00601E96">
            <w:pPr>
              <w:spacing w:after="120" w:line="264" w:lineRule="auto"/>
              <w:rPr>
                <w:rFonts w:eastAsiaTheme="minorEastAsia"/>
                <w:szCs w:val="21"/>
              </w:rPr>
            </w:pPr>
          </w:p>
        </w:tc>
        <w:tc>
          <w:tcPr>
            <w:tcW w:w="4530" w:type="dxa"/>
          </w:tcPr>
          <w:p w14:paraId="6BE59D8D" w14:textId="77777777" w:rsidR="00601E96" w:rsidRPr="00601E96" w:rsidRDefault="00601E96" w:rsidP="00601E96">
            <w:pPr>
              <w:spacing w:after="120" w:line="264" w:lineRule="auto"/>
              <w:rPr>
                <w:rFonts w:eastAsiaTheme="minorEastAsia"/>
                <w:szCs w:val="21"/>
              </w:rPr>
            </w:pPr>
            <w:r w:rsidRPr="00601E96">
              <w:rPr>
                <w:rFonts w:eastAsiaTheme="minorEastAsia"/>
                <w:szCs w:val="21"/>
              </w:rPr>
              <w:t>8. Begehrt der Antragsteller eine einstweilige Anordnung in Bezug auf die unter 1-6 aufgeführten Streitgegenstände (sog. vorläufiger Rechtsschutz), ist der Antrag nach § 123 VwGO statthaft, soweit er nicht nach § 123 V VwGO subsidiär ist.</w:t>
            </w:r>
          </w:p>
        </w:tc>
      </w:tr>
      <w:tr w:rsidR="00601E96" w:rsidRPr="00601E96" w14:paraId="707F56F9" w14:textId="77777777" w:rsidTr="002F317D">
        <w:tc>
          <w:tcPr>
            <w:tcW w:w="4530" w:type="dxa"/>
          </w:tcPr>
          <w:p w14:paraId="2D83086E" w14:textId="531E8670" w:rsidR="00601E96" w:rsidRPr="00601E96" w:rsidRDefault="00601E96" w:rsidP="00601E96">
            <w:pPr>
              <w:spacing w:after="120" w:line="264" w:lineRule="auto"/>
              <w:rPr>
                <w:rFonts w:eastAsiaTheme="minorEastAsia"/>
                <w:szCs w:val="21"/>
              </w:rPr>
            </w:pPr>
            <w:r w:rsidRPr="00601E96">
              <w:rPr>
                <w:rFonts w:eastAsiaTheme="minorEastAsia"/>
                <w:szCs w:val="21"/>
              </w:rPr>
              <w:t xml:space="preserve">9. Der Antragsteller begehrt die (einstweilige) Anordnung oder Wiederherstellung der aufschiebenden </w:t>
            </w:r>
            <w:r w:rsidRPr="00601E96">
              <w:rPr>
                <w:rFonts w:eastAsiaTheme="minorEastAsia"/>
                <w:szCs w:val="21"/>
              </w:rPr>
              <w:lastRenderedPageBreak/>
              <w:t>Wirkung eines Widerspruchs oder einer Anfechtungsklage.</w:t>
            </w:r>
          </w:p>
        </w:tc>
        <w:tc>
          <w:tcPr>
            <w:tcW w:w="4530" w:type="dxa"/>
          </w:tcPr>
          <w:p w14:paraId="16E722FA" w14:textId="77777777" w:rsidR="00601E96" w:rsidRPr="00601E96" w:rsidRDefault="00601E96" w:rsidP="00601E96">
            <w:pPr>
              <w:spacing w:after="120" w:line="264" w:lineRule="auto"/>
              <w:rPr>
                <w:rFonts w:eastAsiaTheme="minorEastAsia"/>
                <w:szCs w:val="21"/>
              </w:rPr>
            </w:pPr>
            <w:r w:rsidRPr="00601E96">
              <w:rPr>
                <w:rFonts w:eastAsiaTheme="minorEastAsia"/>
                <w:szCs w:val="21"/>
              </w:rPr>
              <w:lastRenderedPageBreak/>
              <w:t xml:space="preserve">9. Begehrt der Antragsteller die (einstweilige) Anordnung oder Wiederherstellung der aufschiebenden Wirkung eines Widerspruchs oder einer </w:t>
            </w:r>
            <w:r w:rsidRPr="00601E96">
              <w:rPr>
                <w:rFonts w:eastAsiaTheme="minorEastAsia"/>
                <w:szCs w:val="21"/>
              </w:rPr>
              <w:lastRenderedPageBreak/>
              <w:t>Anfechtungsklage, so ist der Antrag nach § 80 V VwGO statthaft (der Antrag nach § 123 VwGO tritt nach dessen Abs. 5 zurück).</w:t>
            </w:r>
          </w:p>
          <w:p w14:paraId="3C35A172" w14:textId="77777777" w:rsidR="00601E96" w:rsidRPr="00601E96" w:rsidRDefault="00601E96" w:rsidP="00601E96">
            <w:pPr>
              <w:spacing w:after="120" w:line="264" w:lineRule="auto"/>
              <w:rPr>
                <w:rFonts w:eastAsiaTheme="minorEastAsia"/>
                <w:szCs w:val="21"/>
              </w:rPr>
            </w:pPr>
            <w:r w:rsidRPr="00601E96">
              <w:rPr>
                <w:rFonts w:eastAsiaTheme="minorEastAsia"/>
                <w:szCs w:val="21"/>
              </w:rPr>
              <w:t>In Drittschutzkonstellationen ist darüber hinaus § 80a VwGO zu berücksichtigen.</w:t>
            </w:r>
          </w:p>
        </w:tc>
      </w:tr>
      <w:tr w:rsidR="00601E96" w:rsidRPr="00601E96" w14:paraId="322CE707" w14:textId="77777777" w:rsidTr="002F317D">
        <w:tc>
          <w:tcPr>
            <w:tcW w:w="4530" w:type="dxa"/>
          </w:tcPr>
          <w:p w14:paraId="60387003" w14:textId="77777777" w:rsidR="00601E96" w:rsidRPr="00601E96" w:rsidRDefault="00601E96" w:rsidP="00601E96">
            <w:pPr>
              <w:spacing w:after="120" w:line="264" w:lineRule="auto"/>
              <w:rPr>
                <w:rFonts w:eastAsiaTheme="minorEastAsia"/>
                <w:szCs w:val="21"/>
              </w:rPr>
            </w:pPr>
            <w:r w:rsidRPr="00601E96">
              <w:rPr>
                <w:rFonts w:eastAsiaTheme="minorEastAsia"/>
                <w:szCs w:val="21"/>
              </w:rPr>
              <w:lastRenderedPageBreak/>
              <w:t>10. Der Antragsteller begehrt eine einstweilige Anordnung in Bezug auf den unter 7. aufgeführten Streitgegenstand.</w:t>
            </w:r>
          </w:p>
        </w:tc>
        <w:tc>
          <w:tcPr>
            <w:tcW w:w="4530" w:type="dxa"/>
          </w:tcPr>
          <w:p w14:paraId="702E101C" w14:textId="77777777" w:rsidR="00601E96" w:rsidRPr="00601E96" w:rsidRDefault="00601E96" w:rsidP="00601E96">
            <w:pPr>
              <w:spacing w:after="120" w:line="264" w:lineRule="auto"/>
              <w:rPr>
                <w:rFonts w:eastAsiaTheme="minorEastAsia"/>
                <w:szCs w:val="21"/>
              </w:rPr>
            </w:pPr>
            <w:r w:rsidRPr="00601E96">
              <w:rPr>
                <w:rFonts w:eastAsiaTheme="minorEastAsia"/>
                <w:szCs w:val="21"/>
              </w:rPr>
              <w:t>Begehrt der Antragsteller eine einstweilige Anordnung in Bezug auf den unter 7. aufgeführten Streitgegenstand, ist der Antrag nach § 47 VI VwGO statthaft.</w:t>
            </w:r>
          </w:p>
        </w:tc>
      </w:tr>
    </w:tbl>
    <w:p w14:paraId="7410FBAD" w14:textId="77777777" w:rsidR="009B5D22" w:rsidRDefault="009B5D22">
      <w:pPr>
        <w:jc w:val="left"/>
        <w:rPr>
          <w:rFonts w:asciiTheme="majorHAnsi" w:eastAsiaTheme="majorEastAsia" w:hAnsiTheme="majorHAnsi" w:cstheme="majorBidi"/>
          <w:b/>
          <w:sz w:val="24"/>
          <w:szCs w:val="36"/>
        </w:rPr>
        <w:sectPr w:rsidR="009B5D22" w:rsidSect="007F5EA3">
          <w:footnotePr>
            <w:numRestart w:val="eachSect"/>
          </w:footnotePr>
          <w:pgSz w:w="9639" w:h="13608"/>
          <w:pgMar w:top="1418" w:right="1134" w:bottom="1134" w:left="1134" w:header="709" w:footer="709" w:gutter="0"/>
          <w:pgNumType w:start="1"/>
          <w:cols w:space="708"/>
          <w:docGrid w:linePitch="360"/>
        </w:sectPr>
      </w:pPr>
    </w:p>
    <w:p w14:paraId="1E19AB88" w14:textId="2A579AA0" w:rsidR="00057837" w:rsidRDefault="00311D7C" w:rsidP="007917AF">
      <w:pPr>
        <w:pStyle w:val="berschrift1"/>
      </w:pPr>
      <w:bookmarkStart w:id="29" w:name="_Toc22132765"/>
      <w:r>
        <w:lastRenderedPageBreak/>
        <w:t>§ 2</w:t>
      </w:r>
      <w:r w:rsidR="007917AF">
        <w:t xml:space="preserve"> </w:t>
      </w:r>
      <w:r w:rsidR="008779DD">
        <w:t xml:space="preserve">Übungsfälle zur </w:t>
      </w:r>
      <w:r w:rsidR="007917AF">
        <w:t>Anfechtungsklage</w:t>
      </w:r>
      <w:bookmarkEnd w:id="16"/>
      <w:bookmarkEnd w:id="29"/>
    </w:p>
    <w:p w14:paraId="5BD7B698" w14:textId="17A5496A" w:rsidR="00D16DAC" w:rsidRDefault="00D16DAC" w:rsidP="00D16DAC">
      <w:pPr>
        <w:pStyle w:val="berschrift2"/>
      </w:pPr>
      <w:bookmarkStart w:id="30" w:name="_Toc22132766"/>
      <w:r>
        <w:t>Die Struktur der</w:t>
      </w:r>
      <w:r w:rsidR="00017F2C">
        <w:t xml:space="preserve"> Anfechtungsklage</w:t>
      </w:r>
      <w:r>
        <w:t xml:space="preserve"> (Nikolas Eisentraut)</w:t>
      </w:r>
      <w:bookmarkEnd w:id="30"/>
    </w:p>
    <w:p w14:paraId="3AFE2F24" w14:textId="4463446E" w:rsidR="00D16DAC" w:rsidRPr="00D16DAC" w:rsidRDefault="00D16DAC" w:rsidP="00D16DAC">
      <w:pPr>
        <w:pStyle w:val="Autorin"/>
      </w:pPr>
      <w:r>
        <w:t>Nikolas Eisentraut</w:t>
      </w:r>
    </w:p>
    <w:p w14:paraId="25097389" w14:textId="77777777" w:rsidR="00D16DAC" w:rsidRPr="00D16DAC" w:rsidRDefault="00D16DAC" w:rsidP="00D16DAC">
      <w:r w:rsidRPr="00D16DAC">
        <w:t>Der gutachterlichen Prüfung der Anfechtungsklage</w:t>
      </w:r>
      <w:r w:rsidRPr="00D16DAC">
        <w:fldChar w:fldCharType="begin"/>
      </w:r>
      <w:r w:rsidRPr="00D16DAC">
        <w:instrText xml:space="preserve"> XE "Anfechtungsklage" </w:instrText>
      </w:r>
      <w:r w:rsidRPr="00D16DAC">
        <w:fldChar w:fldCharType="end"/>
      </w:r>
      <w:r w:rsidRPr="00D16DAC">
        <w:t xml:space="preserve"> liegt die folgende Struktur zugrunde:</w:t>
      </w:r>
    </w:p>
    <w:p w14:paraId="76A223CF" w14:textId="77777777" w:rsidR="00D16DAC" w:rsidRPr="00D16DAC" w:rsidRDefault="00D16DAC" w:rsidP="00D16DAC">
      <w:r w:rsidRPr="00D16DAC">
        <w:t>A. Zulässigkeit</w:t>
      </w:r>
      <w:r w:rsidRPr="00D16DAC">
        <w:fldChar w:fldCharType="begin"/>
      </w:r>
      <w:r w:rsidRPr="00D16DAC">
        <w:instrText xml:space="preserve"> XE "Anfechtungsklage:Zulässigkeitsprüfung" </w:instrText>
      </w:r>
      <w:r w:rsidRPr="00D16DAC">
        <w:fldChar w:fldCharType="end"/>
      </w:r>
    </w:p>
    <w:p w14:paraId="4544C29F" w14:textId="05107A7F" w:rsidR="00D16DAC" w:rsidRPr="00D16DAC" w:rsidRDefault="00D16DAC" w:rsidP="00D16DAC">
      <w:pPr>
        <w:ind w:firstLine="708"/>
      </w:pPr>
      <w:r w:rsidRPr="00D16DAC">
        <w:t>I. Eröffnung des Verwaltungsrechtswegs</w:t>
      </w:r>
      <w:r>
        <w:t xml:space="preserve"> (s. § 1 Rn. </w:t>
      </w:r>
      <w:r w:rsidR="008C1818">
        <w:t>8</w:t>
      </w:r>
      <w:r>
        <w:t> ff.)</w:t>
      </w:r>
      <w:r w:rsidR="003F18F9">
        <w:rPr>
          <w:rStyle w:val="Funotenzeichen"/>
        </w:rPr>
        <w:footnoteReference w:id="20"/>
      </w:r>
    </w:p>
    <w:p w14:paraId="79EB2281" w14:textId="7B778714" w:rsidR="00D16DAC" w:rsidRPr="00D16DAC" w:rsidRDefault="00D16DAC" w:rsidP="00D16DAC">
      <w:pPr>
        <w:ind w:left="708"/>
      </w:pPr>
      <w:r w:rsidRPr="00D16DAC">
        <w:t>II. Statthafte Klageart (</w:t>
      </w:r>
      <w:r>
        <w:t>s. § 1 Rn. </w:t>
      </w:r>
      <w:r w:rsidR="008C1818">
        <w:t>6</w:t>
      </w:r>
      <w:r>
        <w:t> ff.)</w:t>
      </w:r>
      <w:r>
        <w:rPr>
          <w:rStyle w:val="Funotenzeichen"/>
        </w:rPr>
        <w:footnoteReference w:id="21"/>
      </w:r>
    </w:p>
    <w:p w14:paraId="4C979969" w14:textId="5861A015" w:rsidR="00D16DAC" w:rsidRPr="00D16DAC" w:rsidRDefault="00D16DAC" w:rsidP="00D16DAC">
      <w:pPr>
        <w:ind w:firstLine="708"/>
      </w:pPr>
      <w:r w:rsidRPr="00D16DAC">
        <w:t>III. Klagebefugnis</w:t>
      </w:r>
      <w:r>
        <w:rPr>
          <w:rStyle w:val="Funotenzeichen"/>
        </w:rPr>
        <w:footnoteReference w:id="22"/>
      </w:r>
    </w:p>
    <w:p w14:paraId="6EE5365F" w14:textId="1B911C95" w:rsidR="00D16DAC" w:rsidRPr="00D16DAC" w:rsidRDefault="00D16DAC" w:rsidP="00D16DAC">
      <w:pPr>
        <w:ind w:firstLine="708"/>
      </w:pPr>
      <w:r w:rsidRPr="00D16DAC">
        <w:t>IV. Vorverfahren</w:t>
      </w:r>
      <w:r>
        <w:rPr>
          <w:rStyle w:val="Funotenzeichen"/>
        </w:rPr>
        <w:footnoteReference w:id="23"/>
      </w:r>
    </w:p>
    <w:p w14:paraId="6A63C38F" w14:textId="105F1D1B" w:rsidR="00D16DAC" w:rsidRPr="00D16DAC" w:rsidRDefault="00D16DAC" w:rsidP="00D16DAC">
      <w:pPr>
        <w:ind w:firstLine="708"/>
      </w:pPr>
      <w:r w:rsidRPr="00D16DAC">
        <w:t>V. Klagefrist</w:t>
      </w:r>
      <w:r>
        <w:rPr>
          <w:rStyle w:val="Funotenzeichen"/>
        </w:rPr>
        <w:footnoteReference w:id="24"/>
      </w:r>
    </w:p>
    <w:p w14:paraId="10523844" w14:textId="63899DE4" w:rsidR="00D16DAC" w:rsidRPr="00D16DAC" w:rsidRDefault="00D16DAC" w:rsidP="00D16DAC">
      <w:pPr>
        <w:ind w:firstLine="708"/>
      </w:pPr>
      <w:r w:rsidRPr="00D16DAC">
        <w:t>VI. Beteiligte</w:t>
      </w:r>
      <w:r>
        <w:rPr>
          <w:rStyle w:val="Funotenzeichen"/>
        </w:rPr>
        <w:footnoteReference w:id="25"/>
      </w:r>
    </w:p>
    <w:p w14:paraId="3D455116" w14:textId="0A7F2D7B" w:rsidR="00D16DAC" w:rsidRPr="00D16DAC" w:rsidRDefault="00D16DAC" w:rsidP="00D16DAC">
      <w:pPr>
        <w:ind w:firstLine="708"/>
      </w:pPr>
      <w:r w:rsidRPr="00D16DAC">
        <w:t>VII. Zuständiges Gericht</w:t>
      </w:r>
      <w:r w:rsidR="001913D4">
        <w:rPr>
          <w:rStyle w:val="Funotenzeichen"/>
        </w:rPr>
        <w:footnoteReference w:id="26"/>
      </w:r>
    </w:p>
    <w:p w14:paraId="27447E4D" w14:textId="24542455" w:rsidR="00D16DAC" w:rsidRPr="00D16DAC" w:rsidRDefault="00D16DAC" w:rsidP="00D16DAC">
      <w:pPr>
        <w:ind w:firstLine="708"/>
      </w:pPr>
      <w:r w:rsidRPr="00D16DAC">
        <w:t>VIII. Rechtsschutzbedürfnis</w:t>
      </w:r>
      <w:r w:rsidR="001913D4">
        <w:rPr>
          <w:rStyle w:val="Funotenzeichen"/>
        </w:rPr>
        <w:footnoteReference w:id="27"/>
      </w:r>
    </w:p>
    <w:p w14:paraId="09AE2A7D" w14:textId="404D8B73" w:rsidR="00D16DAC" w:rsidRPr="00D16DAC" w:rsidRDefault="00D16DAC" w:rsidP="00D16DAC">
      <w:r w:rsidRPr="00D16DAC">
        <w:t>B. Begründetheit</w:t>
      </w:r>
      <w:r w:rsidR="001913D4">
        <w:rPr>
          <w:rStyle w:val="Funotenzeichen"/>
        </w:rPr>
        <w:footnoteReference w:id="28"/>
      </w:r>
    </w:p>
    <w:p w14:paraId="79A0C111" w14:textId="77777777" w:rsidR="00D16DAC" w:rsidRPr="00D16DAC" w:rsidRDefault="00D16DAC" w:rsidP="00D16DAC">
      <w:pPr>
        <w:ind w:firstLine="708"/>
      </w:pPr>
      <w:r w:rsidRPr="00D16DAC">
        <w:t>I. Rechtswidrigkeit des Verwaltungsakts</w:t>
      </w:r>
    </w:p>
    <w:p w14:paraId="271BAA34" w14:textId="10E450EE" w:rsidR="00D16DAC" w:rsidRPr="00D16DAC" w:rsidRDefault="00D16DAC" w:rsidP="00D16DAC">
      <w:pPr>
        <w:ind w:left="708" w:firstLine="708"/>
      </w:pPr>
      <w:r w:rsidRPr="00D16DAC">
        <w:t>1. Ermächtigungsgrundlage</w:t>
      </w:r>
      <w:r w:rsidR="001913D4">
        <w:rPr>
          <w:rStyle w:val="Funotenzeichen"/>
        </w:rPr>
        <w:footnoteReference w:id="29"/>
      </w:r>
    </w:p>
    <w:p w14:paraId="6B5D5EA3" w14:textId="68BF32D3" w:rsidR="00D16DAC" w:rsidRPr="00D16DAC" w:rsidRDefault="00D16DAC" w:rsidP="00D16DAC">
      <w:r w:rsidRPr="00D16DAC">
        <w:lastRenderedPageBreak/>
        <w:tab/>
      </w:r>
      <w:r>
        <w:tab/>
      </w:r>
      <w:r w:rsidRPr="00D16DAC">
        <w:t>2. Formelle Rechtmäßigkeit</w:t>
      </w:r>
    </w:p>
    <w:p w14:paraId="78047392" w14:textId="1274BA57" w:rsidR="00D16DAC" w:rsidRPr="00D16DAC" w:rsidRDefault="00D16DAC" w:rsidP="00D16DAC">
      <w:r w:rsidRPr="00D16DAC">
        <w:tab/>
      </w:r>
      <w:r w:rsidRPr="00D16DAC">
        <w:tab/>
      </w:r>
      <w:r>
        <w:tab/>
      </w:r>
      <w:r w:rsidRPr="00D16DAC">
        <w:t>a) Zuständigkeit</w:t>
      </w:r>
      <w:r w:rsidR="001913D4">
        <w:rPr>
          <w:rStyle w:val="Funotenzeichen"/>
        </w:rPr>
        <w:footnoteReference w:id="30"/>
      </w:r>
    </w:p>
    <w:p w14:paraId="5DD298A8" w14:textId="4ACD221B" w:rsidR="00D16DAC" w:rsidRPr="00D16DAC" w:rsidRDefault="00D16DAC" w:rsidP="00D16DAC">
      <w:r w:rsidRPr="00D16DAC">
        <w:tab/>
      </w:r>
      <w:r w:rsidRPr="00D16DAC">
        <w:tab/>
      </w:r>
      <w:r>
        <w:tab/>
      </w:r>
      <w:r w:rsidRPr="00D16DAC">
        <w:t>b) Verfahren</w:t>
      </w:r>
      <w:r w:rsidR="001913D4">
        <w:rPr>
          <w:rStyle w:val="Funotenzeichen"/>
        </w:rPr>
        <w:footnoteReference w:id="31"/>
      </w:r>
    </w:p>
    <w:p w14:paraId="73373F2B" w14:textId="0E9D8359" w:rsidR="00D16DAC" w:rsidRPr="00D16DAC" w:rsidRDefault="00D16DAC" w:rsidP="00D16DAC">
      <w:r w:rsidRPr="00D16DAC">
        <w:tab/>
      </w:r>
      <w:r w:rsidRPr="00D16DAC">
        <w:tab/>
      </w:r>
      <w:r>
        <w:tab/>
      </w:r>
      <w:r w:rsidRPr="00D16DAC">
        <w:t>c) Form</w:t>
      </w:r>
      <w:r w:rsidR="001913D4">
        <w:rPr>
          <w:rStyle w:val="Funotenzeichen"/>
        </w:rPr>
        <w:footnoteReference w:id="32"/>
      </w:r>
    </w:p>
    <w:p w14:paraId="297F422B" w14:textId="3C56287D" w:rsidR="00D16DAC" w:rsidRDefault="00D16DAC" w:rsidP="00D16DAC">
      <w:r w:rsidRPr="00D16DAC">
        <w:tab/>
      </w:r>
      <w:r>
        <w:tab/>
      </w:r>
      <w:r w:rsidRPr="00D16DAC">
        <w:t>3. Materielle Rechtmäßigkeit</w:t>
      </w:r>
      <w:r w:rsidR="001913D4">
        <w:rPr>
          <w:rStyle w:val="Funotenzeichen"/>
        </w:rPr>
        <w:footnoteReference w:id="33"/>
      </w:r>
    </w:p>
    <w:p w14:paraId="505C14A2" w14:textId="755490EF" w:rsidR="008C1818" w:rsidRDefault="008C1818" w:rsidP="00D16DAC">
      <w:r>
        <w:tab/>
      </w:r>
      <w:r>
        <w:tab/>
      </w:r>
      <w:r>
        <w:tab/>
        <w:t>a) Tatbestand der Ermächtigungsgrundlage</w:t>
      </w:r>
    </w:p>
    <w:p w14:paraId="48491EDA" w14:textId="74F876A4" w:rsidR="008C1818" w:rsidRPr="00D16DAC" w:rsidRDefault="008C1818" w:rsidP="00D16DAC">
      <w:r>
        <w:tab/>
      </w:r>
      <w:r>
        <w:tab/>
      </w:r>
      <w:r>
        <w:tab/>
        <w:t>b) Rechtsfolge der Ermächtigungsgrundlage</w:t>
      </w:r>
    </w:p>
    <w:p w14:paraId="727F134C" w14:textId="5C0515CD" w:rsidR="006F6E53" w:rsidRDefault="00D16DAC" w:rsidP="003F18F9">
      <w:pPr>
        <w:ind w:firstLine="708"/>
      </w:pPr>
      <w:r w:rsidRPr="00D16DAC">
        <w:t>II. Verletzung in subjektiven Rechten</w:t>
      </w:r>
      <w:r w:rsidR="001913D4">
        <w:rPr>
          <w:rStyle w:val="Funotenzeichen"/>
        </w:rPr>
        <w:footnoteReference w:id="34"/>
      </w:r>
      <w:r w:rsidR="006F6E53">
        <w:br w:type="page"/>
      </w:r>
    </w:p>
    <w:p w14:paraId="15C0FBFD" w14:textId="2507C0E6" w:rsidR="003A5762" w:rsidRDefault="003A5762" w:rsidP="008779DD">
      <w:pPr>
        <w:pStyle w:val="berschrift2"/>
      </w:pPr>
      <w:bookmarkStart w:id="31" w:name="_Toc10463904"/>
      <w:bookmarkStart w:id="32" w:name="_Toc13833322"/>
      <w:bookmarkStart w:id="33" w:name="_Toc22132767"/>
      <w:bookmarkStart w:id="34" w:name="Anfechtungsklage"/>
      <w:r>
        <w:lastRenderedPageBreak/>
        <w:t>Fall 1</w:t>
      </w:r>
      <w:r w:rsidR="0059368E">
        <w:t>: Anfechtung</w:t>
      </w:r>
      <w:r w:rsidR="004D7C04">
        <w:t>sklage bei einer</w:t>
      </w:r>
      <w:r w:rsidR="0059368E">
        <w:t xml:space="preserve"> Ordnungsverfügung nach der polizeilichen Generalklausel</w:t>
      </w:r>
      <w:r w:rsidR="00035229">
        <w:t xml:space="preserve"> (Tanja Kernchen)</w:t>
      </w:r>
      <w:bookmarkEnd w:id="31"/>
      <w:bookmarkEnd w:id="32"/>
      <w:bookmarkEnd w:id="33"/>
    </w:p>
    <w:p w14:paraId="21CD26D5" w14:textId="565786EE" w:rsidR="00E04D99" w:rsidRPr="00E04D99" w:rsidRDefault="00E04D99" w:rsidP="00E04D99">
      <w:pPr>
        <w:pStyle w:val="Autorin"/>
      </w:pPr>
      <w:r>
        <w:t>Tanja Kernchen</w:t>
      </w:r>
    </w:p>
    <w:p w14:paraId="59288D6F" w14:textId="77777777" w:rsidR="009E471F" w:rsidRDefault="009E471F" w:rsidP="005A16FB">
      <w:pPr>
        <w:pStyle w:val="Randnummer"/>
        <w:framePr w:wrap="around"/>
        <w:numPr>
          <w:ilvl w:val="0"/>
          <w:numId w:val="15"/>
        </w:numPr>
      </w:pPr>
    </w:p>
    <w:p w14:paraId="53B04007" w14:textId="568A6E4D" w:rsidR="00347CFD" w:rsidRDefault="00347CFD" w:rsidP="003A5762">
      <w:r>
        <w:t xml:space="preserve">Der Fall ist angelehnt an den Beschluss des </w:t>
      </w:r>
      <w:hyperlink r:id="rId46" w:history="1">
        <w:r w:rsidRPr="00347CFD">
          <w:rPr>
            <w:rStyle w:val="Hyperlink"/>
          </w:rPr>
          <w:t>VG Berlin vom 14.</w:t>
        </w:r>
        <w:r w:rsidR="00741BF2">
          <w:rPr>
            <w:rStyle w:val="Hyperlink"/>
          </w:rPr>
          <w:t xml:space="preserve">4.2011, </w:t>
        </w:r>
        <w:r w:rsidRPr="00347CFD">
          <w:rPr>
            <w:rStyle w:val="Hyperlink"/>
          </w:rPr>
          <w:t>Az.: 13 L 50.11</w:t>
        </w:r>
      </w:hyperlink>
      <w:r>
        <w:t>.</w:t>
      </w:r>
    </w:p>
    <w:p w14:paraId="68C9EEA5" w14:textId="77777777" w:rsidR="0001383E" w:rsidRDefault="0001383E" w:rsidP="0001383E">
      <w:pPr>
        <w:pStyle w:val="Randnummer"/>
        <w:framePr w:wrap="around"/>
      </w:pPr>
    </w:p>
    <w:p w14:paraId="5051BC30" w14:textId="6AAD5CEE" w:rsidR="00AE4DFE" w:rsidRDefault="009E471F" w:rsidP="003A5762">
      <w:pPr>
        <w:rPr>
          <w:rFonts w:eastAsiaTheme="majorEastAsia"/>
        </w:rPr>
      </w:pPr>
      <w:r>
        <w:t>Lernziele/Schwerpunkte:</w:t>
      </w:r>
      <w:r w:rsidR="003A5762">
        <w:t xml:space="preserve"> </w:t>
      </w:r>
      <w:r w:rsidR="003A5762" w:rsidRPr="003A5762">
        <w:rPr>
          <w:rFonts w:eastAsiaTheme="majorEastAsia"/>
        </w:rPr>
        <w:t>Anfechtungsklage, Fristberechnung, Polizei- und Ordnungsrecht, Wechsel der Rechtsgrundlage durch Widerspruchsbehörde, Zustandsverantwortlichkeit, Auswahlermessen</w:t>
      </w:r>
    </w:p>
    <w:p w14:paraId="78AB9040" w14:textId="77777777" w:rsidR="0001383E" w:rsidRDefault="0001383E" w:rsidP="003A5762">
      <w:pPr>
        <w:rPr>
          <w:rFonts w:eastAsiaTheme="majorEastAsia"/>
        </w:rPr>
      </w:pPr>
    </w:p>
    <w:p w14:paraId="545B6FB8" w14:textId="1C1FF77A" w:rsidR="003A5762" w:rsidRPr="00DC14C7" w:rsidRDefault="003A5762" w:rsidP="0001383E">
      <w:pPr>
        <w:pStyle w:val="berschrift3"/>
      </w:pPr>
      <w:r w:rsidRPr="00DC14C7">
        <w:t>Sachverhalt</w:t>
      </w:r>
    </w:p>
    <w:p w14:paraId="1165CD6D" w14:textId="77777777" w:rsidR="003A5762" w:rsidRDefault="003A5762" w:rsidP="003A5762">
      <w:pPr>
        <w:pStyle w:val="Randnummer"/>
        <w:framePr w:wrap="around"/>
        <w:rPr>
          <w:rFonts w:eastAsiaTheme="majorEastAsia"/>
        </w:rPr>
      </w:pPr>
    </w:p>
    <w:p w14:paraId="092AD0C3" w14:textId="77777777" w:rsidR="003A5762" w:rsidRPr="003A5762" w:rsidRDefault="003A5762" w:rsidP="003A5762">
      <w:pPr>
        <w:rPr>
          <w:rFonts w:eastAsiaTheme="majorEastAsia"/>
        </w:rPr>
      </w:pPr>
      <w:r w:rsidRPr="003A5762">
        <w:rPr>
          <w:rFonts w:eastAsiaTheme="majorEastAsia"/>
        </w:rPr>
        <w:t>Die K-GmbH (K) ist Eigentümerin eines 50.000 m² großen Grundstücks in Berlin-Pankow, auf dem sich ein historisches Stadion befindet, das zuletzt zur Zeit der DDR betrieben und gepflegt wurde. Die K möchte das Grundstück so bald wie möglich verkaufen, jedoch hat sich noch kein Interessent für das Grundstück gefunden. Der letzte Interessent hat nach einem Besuch des Grundstücks von dem Kauf abgesehen, weil die sich auf dem Grundstück befindenden Gebäude baufällig sind und sich in einem einsturzgefährdeten Zustand befinden. Der Kaufpreis stünde nicht im Verhältnis zu den Investitionen.</w:t>
      </w:r>
    </w:p>
    <w:p w14:paraId="4A978F59" w14:textId="1C13B1AE" w:rsidR="003A5762" w:rsidRPr="003A5762" w:rsidRDefault="003A5762" w:rsidP="003A5762">
      <w:pPr>
        <w:rPr>
          <w:rFonts w:eastAsiaTheme="majorEastAsia"/>
        </w:rPr>
      </w:pPr>
      <w:r w:rsidRPr="003A5762">
        <w:rPr>
          <w:rFonts w:eastAsiaTheme="majorEastAsia"/>
        </w:rPr>
        <w:t>Das</w:t>
      </w:r>
      <w:r w:rsidR="00347CFD">
        <w:rPr>
          <w:rFonts w:eastAsiaTheme="majorEastAsia"/>
        </w:rPr>
        <w:t xml:space="preserve"> örtlich</w:t>
      </w:r>
      <w:r w:rsidRPr="003A5762">
        <w:rPr>
          <w:rFonts w:eastAsiaTheme="majorEastAsia"/>
        </w:rPr>
        <w:t xml:space="preserve"> zuständige Bezirksamt Pankow errichtet im Sommer 2018 in rechtmäßiger Weise auf einem östlich benachbarten bezirkseigenen Grundstück einen Radweg entlang der Grundstücksgrenze zum Grundstück der K. Hierzu entfernt das Bezirksamt die Einfriedung auf dem bezirkseigenen Grundstück zum Grundstück der K.</w:t>
      </w:r>
    </w:p>
    <w:p w14:paraId="33632040" w14:textId="77777777" w:rsidR="003A5762" w:rsidRPr="003A5762" w:rsidRDefault="003A5762" w:rsidP="003A5762">
      <w:pPr>
        <w:rPr>
          <w:rFonts w:eastAsiaTheme="majorEastAsia"/>
        </w:rPr>
      </w:pPr>
      <w:r w:rsidRPr="003A5762">
        <w:rPr>
          <w:rFonts w:eastAsiaTheme="majorEastAsia"/>
        </w:rPr>
        <w:t>Der Radfahrer R freut sich sehr über den neu eingerichteten Fahrradweg, da er so schneller in die Innenstadt zur Arbeit kommt. Zuvor musste er immer einen großen Umweg fahren, auf dem der Autoverkehr morgens und abends die Straßen blockiert und er sich nicht sicher fühlt. Mit dem neuen Fahrradweg muss er sich für den Teil der Strecke wegen eines zu hohen Verkehrsaufkommens keine Sorgen mehr machen. Auch der Fotograf F freut sich über den Fahrradweg, da aufgrund der Entfernung der Einfriedung das Grundstück der K nun frei zugänglich ist. Die alten Gebäude eignen sich für seine Fotografie-Projekte, für die er vorher immer durch einen Zaun klettern musste. Als er das letzte Mal auf dem Grundstück war, sah er auch Jugendliche und auch jüngere Kinder, die den freien Zugang zum Grundstück nutzen, um in den alten Gebäuden Fotos von sich zu machen. An einem Morgen sieht R, wie F und die Jugendlichen auf das Grundstück verschwinden und macht sich Sorgen. Zwar sind auf dem Fahrradweg keine Autos, aber durch die nun offene Grundstücksgrenze könnten doch Personen auf das Grundstück der K gelangen, auf dem viele einsturzgefährdete Gebäude stehen. An den Gebäuden sind eine Vielzahl von Graffiti-Schmierereien zu erkennen sowie an einigen Stellen Müllablagerungen mit leeren Flaschen alkoholischer Getränke. R sieht sich verpflichtet, dem Bezirksamt von seinen Beobachtungen zu erzählen.</w:t>
      </w:r>
    </w:p>
    <w:p w14:paraId="7CD905B2" w14:textId="77777777" w:rsidR="003A5762" w:rsidRPr="003A5762" w:rsidRDefault="003A5762" w:rsidP="003A5762">
      <w:pPr>
        <w:rPr>
          <w:rFonts w:eastAsiaTheme="majorEastAsia"/>
        </w:rPr>
      </w:pPr>
      <w:r w:rsidRPr="003A5762">
        <w:rPr>
          <w:rFonts w:eastAsiaTheme="majorEastAsia"/>
        </w:rPr>
        <w:lastRenderedPageBreak/>
        <w:t>Der zuständige Sachbearbeiter stimmt R zu und erlässt gegen K am 1.8.2018 ohne vorherige Anhörung folgende Anordnung, die am 3.8.2018 bei der K eingeht:</w:t>
      </w:r>
    </w:p>
    <w:p w14:paraId="2CBC84B0" w14:textId="68C3E67A" w:rsidR="003A5762" w:rsidRPr="003A5762" w:rsidRDefault="003A5762" w:rsidP="003A5762">
      <w:pPr>
        <w:rPr>
          <w:rFonts w:eastAsiaTheme="majorEastAsia"/>
        </w:rPr>
      </w:pPr>
      <w:r w:rsidRPr="003A5762">
        <w:rPr>
          <w:rFonts w:eastAsiaTheme="majorEastAsia"/>
        </w:rPr>
        <w:t>„Aufgrund von §</w:t>
      </w:r>
      <w:r w:rsidR="00CE6243">
        <w:rPr>
          <w:rFonts w:eastAsiaTheme="majorEastAsia"/>
        </w:rPr>
        <w:t xml:space="preserve"> 58 I</w:t>
      </w:r>
      <w:r w:rsidRPr="003A5762">
        <w:rPr>
          <w:rFonts w:eastAsiaTheme="majorEastAsia"/>
        </w:rPr>
        <w:t xml:space="preserve"> BauO Bln wird angeordnet, dass Sie ihr Grundstück mit allen sich auf ihm befindlichen Gebäuden und baulichen Anlagen sichern. Bevorzugt wird diesbezüglich eine Gesamteinzäunung an der Grenze zum neu errichteten Fahrradweg.</w:t>
      </w:r>
    </w:p>
    <w:p w14:paraId="573B13B3" w14:textId="77777777" w:rsidR="003A5762" w:rsidRPr="00347CFD" w:rsidRDefault="003A5762" w:rsidP="003A5762">
      <w:pPr>
        <w:rPr>
          <w:rFonts w:eastAsiaTheme="majorEastAsia"/>
          <w:i/>
        </w:rPr>
      </w:pPr>
      <w:r w:rsidRPr="00347CFD">
        <w:rPr>
          <w:rFonts w:eastAsiaTheme="majorEastAsia"/>
          <w:i/>
        </w:rPr>
        <w:t xml:space="preserve">[Es folgt eine ordnungsgemäße Begründung] </w:t>
      </w:r>
    </w:p>
    <w:p w14:paraId="106FA9F9" w14:textId="77777777" w:rsidR="003A5762" w:rsidRPr="003A5762" w:rsidRDefault="003A5762" w:rsidP="003A5762">
      <w:pPr>
        <w:rPr>
          <w:rFonts w:eastAsiaTheme="majorEastAsia"/>
        </w:rPr>
      </w:pPr>
      <w:r w:rsidRPr="003A5762">
        <w:rPr>
          <w:rFonts w:eastAsiaTheme="majorEastAsia"/>
        </w:rPr>
        <w:t>Die Sicherung ist bis spätestens ab Bestandskraft dauerhaft und wirkungsvoll zu gewährleisten.</w:t>
      </w:r>
    </w:p>
    <w:p w14:paraId="26D8772C" w14:textId="77777777" w:rsidR="003A5762" w:rsidRPr="003A5762" w:rsidRDefault="003A5762" w:rsidP="003A5762">
      <w:pPr>
        <w:rPr>
          <w:rFonts w:eastAsiaTheme="majorEastAsia"/>
        </w:rPr>
      </w:pPr>
      <w:r w:rsidRPr="003A5762">
        <w:rPr>
          <w:rFonts w:eastAsiaTheme="majorEastAsia"/>
        </w:rPr>
        <w:t>Für den Fall, dass Sie der Anordnung nicht innerhalb der Frist Folge leisten, wird die Ersatzvornahme in Form der Errichtung und Instandhaltung eines Zaunes durch eine beauftragte Firma angedroht.</w:t>
      </w:r>
    </w:p>
    <w:p w14:paraId="596091EC" w14:textId="77777777" w:rsidR="003A5762" w:rsidRPr="003A5762" w:rsidRDefault="003A5762" w:rsidP="003A5762">
      <w:pPr>
        <w:rPr>
          <w:rFonts w:eastAsiaTheme="majorEastAsia"/>
        </w:rPr>
      </w:pPr>
      <w:r w:rsidRPr="00347CFD">
        <w:rPr>
          <w:rFonts w:eastAsiaTheme="majorEastAsia"/>
          <w:i/>
        </w:rPr>
        <w:t>[Von einer ordnungsgemäßen Rechtsbehelfsbelehrung ist auszugehen.]</w:t>
      </w:r>
      <w:r w:rsidRPr="003A5762">
        <w:rPr>
          <w:rFonts w:eastAsiaTheme="majorEastAsia"/>
        </w:rPr>
        <w:t>“</w:t>
      </w:r>
    </w:p>
    <w:p w14:paraId="68CAFAC0" w14:textId="77777777" w:rsidR="003A5762" w:rsidRPr="003A5762" w:rsidRDefault="003A5762" w:rsidP="003A5762">
      <w:pPr>
        <w:rPr>
          <w:rFonts w:eastAsiaTheme="majorEastAsia"/>
        </w:rPr>
      </w:pPr>
      <w:r w:rsidRPr="003A5762">
        <w:rPr>
          <w:rFonts w:eastAsiaTheme="majorEastAsia"/>
        </w:rPr>
        <w:t>K sieht nicht, was das Problem sei. Schließlich habe das Bezirksamt die Öffnung zu verantworten, sodass K gar keine Handlungspflichten treffe. Daher legt sie gegen die Anordnung am 16.8.2018 Widerspruch ein, der einen Tag später beim Bezirksamt eingeht. Erst durch die Einrichtung des Fahrradweges wurden die Öffnung zum Grundstück und die damit einhergehende Gefahr für unbefugte Dritte geschaffen. Hinzu kommt, dass sie doch das Opfer der ganzen Situation sei, da Unbefugte ihr Grundstück betreten. Außerdem sei sie nicht mehr in Anspruch zu nehmen, seitdem sie das Grundstück am 5.8.2018 an den Kaufmann M weitervermietet habe. Er sei, wenn überhaupt, vielmehr in Anspruch zu nehmen und nicht mehr sie. Zudem wären weder sie noch der M zu der ganzen Sache einmal vorher angehört worden. Dies sei nicht mit einem rechtsstaatlichen Verfahren vereinbar. Auch versteht sie nicht, was genau nun gesichert werden solle.</w:t>
      </w:r>
    </w:p>
    <w:p w14:paraId="4E0286CB" w14:textId="77777777" w:rsidR="003A5762" w:rsidRPr="003A5762" w:rsidRDefault="003A5762" w:rsidP="003A5762">
      <w:pPr>
        <w:rPr>
          <w:rFonts w:eastAsiaTheme="majorEastAsia"/>
        </w:rPr>
      </w:pPr>
      <w:r w:rsidRPr="003A5762">
        <w:rPr>
          <w:rFonts w:eastAsiaTheme="majorEastAsia"/>
        </w:rPr>
        <w:t xml:space="preserve">Die zuständige Widerspruchsbehörde erlässt auf den Widerspruch am 17.9.2018 den folgenden Widerspruchsbescheid, der bei der K mittels Einschreiben durch Übergabe am 18.9.2018 zugeht: </w:t>
      </w:r>
    </w:p>
    <w:p w14:paraId="51F9FAED" w14:textId="77777777" w:rsidR="003A5762" w:rsidRPr="003A5762" w:rsidRDefault="003A5762" w:rsidP="003A5762">
      <w:pPr>
        <w:rPr>
          <w:rFonts w:eastAsiaTheme="majorEastAsia"/>
        </w:rPr>
      </w:pPr>
      <w:r w:rsidRPr="003A5762">
        <w:rPr>
          <w:rFonts w:eastAsiaTheme="majorEastAsia"/>
        </w:rPr>
        <w:t xml:space="preserve">„[…] </w:t>
      </w:r>
    </w:p>
    <w:p w14:paraId="7E1C467D" w14:textId="616A4E94" w:rsidR="003A5762" w:rsidRPr="003A5762" w:rsidRDefault="003A5762" w:rsidP="003A5762">
      <w:pPr>
        <w:rPr>
          <w:rFonts w:eastAsiaTheme="majorEastAsia"/>
        </w:rPr>
      </w:pPr>
      <w:r w:rsidRPr="003A5762">
        <w:rPr>
          <w:rFonts w:eastAsiaTheme="majorEastAsia"/>
        </w:rPr>
        <w:t xml:space="preserve">Die rechtmäßige Maßnahme beruht auf § 17 </w:t>
      </w:r>
      <w:r w:rsidR="00E91AF0">
        <w:rPr>
          <w:rFonts w:eastAsiaTheme="majorEastAsia"/>
        </w:rPr>
        <w:t>I</w:t>
      </w:r>
      <w:r w:rsidRPr="003A5762">
        <w:rPr>
          <w:rFonts w:eastAsiaTheme="majorEastAsia"/>
        </w:rPr>
        <w:t xml:space="preserve"> ASOG. Dass die Anordnung vom 1.8.2018 zunächst auf § 58 </w:t>
      </w:r>
      <w:r w:rsidR="00347CFD">
        <w:rPr>
          <w:rFonts w:eastAsiaTheme="majorEastAsia"/>
        </w:rPr>
        <w:t>I</w:t>
      </w:r>
      <w:r w:rsidRPr="003A5762">
        <w:rPr>
          <w:rFonts w:eastAsiaTheme="majorEastAsia"/>
        </w:rPr>
        <w:t xml:space="preserve"> BauO Bln gestützt wurde, ist unerheblich, da die Voraussetzungen von § 17 </w:t>
      </w:r>
      <w:r w:rsidR="00E91AF0">
        <w:rPr>
          <w:rFonts w:eastAsiaTheme="majorEastAsia"/>
        </w:rPr>
        <w:t>I</w:t>
      </w:r>
      <w:r w:rsidRPr="003A5762">
        <w:rPr>
          <w:rFonts w:eastAsiaTheme="majorEastAsia"/>
        </w:rPr>
        <w:t xml:space="preserve"> ASOG ebenfalls erfüllt sind.</w:t>
      </w:r>
    </w:p>
    <w:p w14:paraId="1DC914EF" w14:textId="77777777" w:rsidR="003A5762" w:rsidRPr="003A5762" w:rsidRDefault="003A5762" w:rsidP="003A5762">
      <w:pPr>
        <w:rPr>
          <w:rFonts w:eastAsiaTheme="majorEastAsia"/>
        </w:rPr>
      </w:pPr>
      <w:r w:rsidRPr="003A5762">
        <w:rPr>
          <w:rFonts w:eastAsiaTheme="majorEastAsia"/>
        </w:rPr>
        <w:t>[</w:t>
      </w:r>
      <w:r w:rsidRPr="003A5762">
        <w:rPr>
          <w:rFonts w:eastAsiaTheme="majorEastAsia"/>
          <w:i/>
        </w:rPr>
        <w:t>Es folgt eine ordnungsgemäße Begründung.</w:t>
      </w:r>
      <w:r w:rsidRPr="003A5762">
        <w:rPr>
          <w:rFonts w:eastAsiaTheme="majorEastAsia"/>
        </w:rPr>
        <w:t>]</w:t>
      </w:r>
    </w:p>
    <w:p w14:paraId="4634E17A" w14:textId="77777777" w:rsidR="003A5762" w:rsidRPr="003A5762" w:rsidRDefault="003A5762" w:rsidP="003A5762">
      <w:pPr>
        <w:rPr>
          <w:rFonts w:eastAsiaTheme="majorEastAsia"/>
        </w:rPr>
      </w:pPr>
      <w:r w:rsidRPr="003A5762">
        <w:rPr>
          <w:rFonts w:eastAsiaTheme="majorEastAsia"/>
        </w:rPr>
        <w:t>Gegen den Widerspruchsbescheid kann innerhalb eines Monats nach Zustellung des Widerspruchbescheids schriftlich Klage erhoben werden.“</w:t>
      </w:r>
    </w:p>
    <w:p w14:paraId="75BAD830" w14:textId="77777777" w:rsidR="003A5762" w:rsidRPr="003A5762" w:rsidRDefault="003A5762" w:rsidP="003A5762">
      <w:pPr>
        <w:rPr>
          <w:rFonts w:eastAsiaTheme="majorEastAsia"/>
        </w:rPr>
      </w:pPr>
      <w:r w:rsidRPr="003A5762">
        <w:rPr>
          <w:rFonts w:eastAsiaTheme="majorEastAsia"/>
        </w:rPr>
        <w:t xml:space="preserve">Der Geschäftsführer der K (G), der das gesamte Verfahren intensiv begleitet, verreist mit seiner Familie bis zum 1.10.2018. Nach seiner Rückkehr fragt er die ebenfalls im Betrieb </w:t>
      </w:r>
      <w:r w:rsidRPr="003A5762">
        <w:rPr>
          <w:rFonts w:eastAsiaTheme="majorEastAsia"/>
        </w:rPr>
        <w:lastRenderedPageBreak/>
        <w:t>tätige Sekretärin S, ob sie wichtige Post vom Gericht bekommen haben. Die S, die grundsätzlich für ihre sorgfältige Arbeit bekannt ist, vergisst im gesamten Trubel, dass der Widerspruchsbescheid zugestellt wurde. Anfang Dezember wird G stutzig und meldet sich beim Bezirksamt, das ihn darauf hinweist, dass der Widerspruchsbescheid bereits am 18.9.2018 zugestellt worden sei. Eine Klage sei nun im Dezember schon verspätet und damit aussichtslos.</w:t>
      </w:r>
    </w:p>
    <w:p w14:paraId="1C04A599" w14:textId="6AE6D04D" w:rsidR="003A5762" w:rsidRPr="003A5762" w:rsidRDefault="003A5762" w:rsidP="003A5762">
      <w:pPr>
        <w:rPr>
          <w:rFonts w:eastAsiaTheme="majorEastAsia"/>
        </w:rPr>
      </w:pPr>
      <w:r w:rsidRPr="003A5762">
        <w:rPr>
          <w:rFonts w:eastAsiaTheme="majorEastAsia"/>
        </w:rPr>
        <w:t xml:space="preserve">G ist zwar erbost über die plötzliche Vergesslichkeit der S. Jedoch ist er der Auffassung, dass ihre Vergesslichkeit nicht dazu führen könne, dass er nicht noch Klage einreichen könne. Schließlich habe </w:t>
      </w:r>
      <w:r w:rsidR="00E05673">
        <w:rPr>
          <w:rFonts w:eastAsiaTheme="majorEastAsia"/>
        </w:rPr>
        <w:t>S</w:t>
      </w:r>
      <w:r w:rsidRPr="003A5762">
        <w:rPr>
          <w:rFonts w:eastAsiaTheme="majorEastAsia"/>
        </w:rPr>
        <w:t xml:space="preserve"> doch den Widerspruchsbescheid vergessen und nicht er als federführende Person des Verfahrens. Außerdem könne nicht einfach die Rechtsgrundlage für die behördliche Maßnahme geändert werden. Das würde gegen seinen Anspruch auf effektiven Rechtsschutz verstoßen. Daher legt er im Namen der K am 27.12.2018 beim zuständigen Verwaltungsgericht Berlin schriftlich Klage gegen den Ausgangs- und Widerspruchsbescheid ein.</w:t>
      </w:r>
    </w:p>
    <w:p w14:paraId="7951914E" w14:textId="77777777" w:rsidR="003A5762" w:rsidRPr="003A5762" w:rsidRDefault="003A5762" w:rsidP="003A5762">
      <w:pPr>
        <w:rPr>
          <w:rFonts w:eastAsiaTheme="majorEastAsia"/>
          <w:b/>
        </w:rPr>
      </w:pPr>
      <w:r w:rsidRPr="003A5762">
        <w:rPr>
          <w:rFonts w:eastAsiaTheme="majorEastAsia"/>
          <w:b/>
        </w:rPr>
        <w:t>Hat die Klage Aussicht auf Erfolg?</w:t>
      </w:r>
    </w:p>
    <w:p w14:paraId="3B9927A3" w14:textId="77777777" w:rsidR="00347CFD" w:rsidRPr="00347CFD" w:rsidRDefault="00817B65" w:rsidP="00347CFD">
      <w:pPr>
        <w:rPr>
          <w:rFonts w:eastAsiaTheme="majorEastAsia"/>
        </w:rPr>
      </w:pPr>
      <w:r w:rsidRPr="00817B65">
        <w:rPr>
          <w:rFonts w:eastAsiaTheme="majorEastAsia"/>
          <w:b/>
        </w:rPr>
        <w:t>Bearbeiter*innenvermerk:</w:t>
      </w:r>
      <w:r>
        <w:rPr>
          <w:rFonts w:eastAsiaTheme="majorEastAsia"/>
        </w:rPr>
        <w:t xml:space="preserve"> Es ist zu unterstellen, dass d</w:t>
      </w:r>
      <w:r w:rsidR="003A5762" w:rsidRPr="003A5762">
        <w:rPr>
          <w:rFonts w:eastAsiaTheme="majorEastAsia"/>
        </w:rPr>
        <w:t xml:space="preserve">as Verwaltungsgericht Berlin </w:t>
      </w:r>
      <w:r w:rsidR="0033651E">
        <w:rPr>
          <w:rFonts w:eastAsiaTheme="majorEastAsia"/>
        </w:rPr>
        <w:t>örtlich und sachlich zuständig</w:t>
      </w:r>
      <w:r>
        <w:rPr>
          <w:rFonts w:eastAsiaTheme="majorEastAsia"/>
        </w:rPr>
        <w:t xml:space="preserve"> ist</w:t>
      </w:r>
      <w:r w:rsidR="0033651E">
        <w:rPr>
          <w:rFonts w:eastAsiaTheme="majorEastAsia"/>
        </w:rPr>
        <w:t xml:space="preserve">. </w:t>
      </w:r>
      <w:r w:rsidR="003A5762" w:rsidRPr="003A5762">
        <w:rPr>
          <w:rFonts w:eastAsiaTheme="majorEastAsia"/>
        </w:rPr>
        <w:t>Es sind</w:t>
      </w:r>
      <w:r>
        <w:rPr>
          <w:rFonts w:eastAsiaTheme="majorEastAsia"/>
        </w:rPr>
        <w:t xml:space="preserve"> das</w:t>
      </w:r>
      <w:r w:rsidR="003A5762" w:rsidRPr="003A5762">
        <w:rPr>
          <w:rFonts w:eastAsiaTheme="majorEastAsia"/>
        </w:rPr>
        <w:t xml:space="preserve"> VwVfG und VwZG de</w:t>
      </w:r>
      <w:r w:rsidR="0033651E">
        <w:rPr>
          <w:rFonts w:eastAsiaTheme="majorEastAsia"/>
        </w:rPr>
        <w:t xml:space="preserve">s Bundes anzuwenden. </w:t>
      </w:r>
      <w:r w:rsidR="00347CFD" w:rsidRPr="00347CFD">
        <w:rPr>
          <w:rFonts w:eastAsiaTheme="majorEastAsia"/>
        </w:rPr>
        <w:t>Verwaltungsvollstreckungsrechtliche Maßnahmen sind nicht zu prüfen. Es ist ferner davon auszugehen, dass</w:t>
      </w:r>
    </w:p>
    <w:p w14:paraId="7D9265C3" w14:textId="77777777" w:rsidR="00347CFD" w:rsidRPr="00347CFD" w:rsidRDefault="00347CFD" w:rsidP="00347CFD">
      <w:pPr>
        <w:rPr>
          <w:rFonts w:eastAsiaTheme="majorEastAsia"/>
        </w:rPr>
      </w:pPr>
      <w:r w:rsidRPr="00347CFD">
        <w:rPr>
          <w:rFonts w:eastAsiaTheme="majorEastAsia"/>
        </w:rPr>
        <w:t>•</w:t>
      </w:r>
      <w:r w:rsidRPr="00347CFD">
        <w:rPr>
          <w:rFonts w:eastAsiaTheme="majorEastAsia"/>
        </w:rPr>
        <w:tab/>
        <w:t>die K ihr Grundstück tatsächlich an den M vermietet hat;</w:t>
      </w:r>
    </w:p>
    <w:p w14:paraId="7456E9F7" w14:textId="77777777" w:rsidR="00347CFD" w:rsidRPr="00347CFD" w:rsidRDefault="00347CFD" w:rsidP="00347CFD">
      <w:pPr>
        <w:rPr>
          <w:rFonts w:eastAsiaTheme="majorEastAsia"/>
        </w:rPr>
      </w:pPr>
      <w:r w:rsidRPr="00347CFD">
        <w:rPr>
          <w:rFonts w:eastAsiaTheme="majorEastAsia"/>
        </w:rPr>
        <w:t>•</w:t>
      </w:r>
      <w:r w:rsidRPr="00347CFD">
        <w:rPr>
          <w:rFonts w:eastAsiaTheme="majorEastAsia"/>
        </w:rPr>
        <w:tab/>
        <w:t>auf dem Grundstück eine Vielzahl von Trampelpfaden erkennbar sind;</w:t>
      </w:r>
    </w:p>
    <w:p w14:paraId="032F8768" w14:textId="5092019B" w:rsidR="00347CFD" w:rsidRDefault="00347CFD" w:rsidP="003A5762">
      <w:pPr>
        <w:rPr>
          <w:rFonts w:eastAsiaTheme="majorEastAsia"/>
        </w:rPr>
      </w:pPr>
      <w:r w:rsidRPr="00347CFD">
        <w:rPr>
          <w:rFonts w:eastAsiaTheme="majorEastAsia"/>
        </w:rPr>
        <w:t>•</w:t>
      </w:r>
      <w:r w:rsidRPr="00347CFD">
        <w:rPr>
          <w:rFonts w:eastAsiaTheme="majorEastAsia"/>
        </w:rPr>
        <w:tab/>
        <w:t xml:space="preserve">in der Anordnung das Grundstück der K </w:t>
      </w:r>
      <w:r>
        <w:rPr>
          <w:rFonts w:eastAsiaTheme="majorEastAsia"/>
        </w:rPr>
        <w:t>bestimmt genug angegeben wurde.</w:t>
      </w:r>
    </w:p>
    <w:p w14:paraId="14B261A2" w14:textId="77777777" w:rsidR="00095F85" w:rsidRDefault="00095F85" w:rsidP="003A5762">
      <w:pPr>
        <w:rPr>
          <w:rFonts w:eastAsiaTheme="majorEastAsia"/>
        </w:rPr>
      </w:pPr>
    </w:p>
    <w:p w14:paraId="64C4B7DE" w14:textId="7EA1DB1F" w:rsidR="00CE6243" w:rsidRDefault="00CE6243" w:rsidP="00CE6243">
      <w:pPr>
        <w:rPr>
          <w:rFonts w:eastAsiaTheme="majorEastAsia"/>
        </w:rPr>
      </w:pPr>
      <w:r w:rsidRPr="00CE6243">
        <w:rPr>
          <w:rFonts w:eastAsiaTheme="majorEastAsia"/>
          <w:b/>
        </w:rPr>
        <w:t xml:space="preserve">§ 58 I BauO </w:t>
      </w:r>
      <w:r>
        <w:rPr>
          <w:rFonts w:eastAsiaTheme="majorEastAsia"/>
        </w:rPr>
        <w:t>Bln lautet:</w:t>
      </w:r>
      <w:r w:rsidRPr="00CE6243">
        <w:t xml:space="preserve"> </w:t>
      </w:r>
      <w:r w:rsidRPr="00CE6243">
        <w:rPr>
          <w:rFonts w:eastAsiaTheme="majorEastAsia"/>
        </w:rPr>
        <w:t xml:space="preserve">Die Bauaufsichtsbehörden haben bei der Errichtung, Änderung, Nutzungsänderung und Beseitigung sowie bei der Nutzung und Instandhaltung von Anlagen darüber zu wachen, dass die öffentlich-rechtlichen Vorschriften eingehalten werden, soweit nicht andere Behörden zuständig sind. </w:t>
      </w:r>
      <w:r>
        <w:rPr>
          <w:rFonts w:eastAsiaTheme="majorEastAsia"/>
        </w:rPr>
        <w:t xml:space="preserve">(…) </w:t>
      </w:r>
      <w:r w:rsidRPr="00CE6243">
        <w:rPr>
          <w:rFonts w:eastAsiaTheme="majorEastAsia"/>
        </w:rPr>
        <w:t xml:space="preserve">Sie können in Wahrnehmung dieser Aufgaben die erforderlichen Maßnahmen treffen. </w:t>
      </w:r>
      <w:r>
        <w:rPr>
          <w:rFonts w:eastAsiaTheme="majorEastAsia"/>
        </w:rPr>
        <w:t>(…)</w:t>
      </w:r>
      <w:r w:rsidRPr="00CE6243">
        <w:rPr>
          <w:rFonts w:eastAsiaTheme="majorEastAsia"/>
        </w:rPr>
        <w:t>.</w:t>
      </w:r>
    </w:p>
    <w:p w14:paraId="0ACC2B36" w14:textId="1A583EE6" w:rsidR="0001383E" w:rsidRPr="00095F85" w:rsidRDefault="00CE6243" w:rsidP="00095F85">
      <w:pPr>
        <w:rPr>
          <w:rFonts w:eastAsiaTheme="majorEastAsia"/>
        </w:rPr>
      </w:pPr>
      <w:r w:rsidRPr="00CE6243">
        <w:rPr>
          <w:rFonts w:eastAsiaTheme="majorEastAsia"/>
          <w:b/>
        </w:rPr>
        <w:t xml:space="preserve">§ 17 I ASOG Bln </w:t>
      </w:r>
      <w:r>
        <w:rPr>
          <w:rFonts w:eastAsiaTheme="majorEastAsia"/>
        </w:rPr>
        <w:t xml:space="preserve">lautet: </w:t>
      </w:r>
      <w:r w:rsidRPr="00CE6243">
        <w:rPr>
          <w:rFonts w:eastAsiaTheme="majorEastAsia"/>
        </w:rPr>
        <w:t>Die Ordnungsbehörden und die Polizei können die notwendigen Maßnahmen treffen, u</w:t>
      </w:r>
      <w:bookmarkStart w:id="35" w:name="_GoBack"/>
      <w:bookmarkEnd w:id="35"/>
      <w:r w:rsidRPr="00CE6243">
        <w:rPr>
          <w:rFonts w:eastAsiaTheme="majorEastAsia"/>
        </w:rPr>
        <w:t>m eine im einzelnen Falle bestehende Gefahr für die öffentliche Sicherheit oder Ordnung (Gefahr) abzuwehren, soweit nicht die §§ 18 bis 51 ihre Befugnisse besonders regeln.</w:t>
      </w:r>
      <w:r w:rsidR="0001383E">
        <w:br w:type="page"/>
      </w:r>
    </w:p>
    <w:p w14:paraId="44C42320" w14:textId="1CD74DB0" w:rsidR="00DC14C7" w:rsidRDefault="00DC14C7" w:rsidP="0001383E">
      <w:pPr>
        <w:pStyle w:val="berschrift3"/>
      </w:pPr>
      <w:r w:rsidRPr="00DC14C7">
        <w:lastRenderedPageBreak/>
        <w:t>Lösungsgliederung</w:t>
      </w:r>
    </w:p>
    <w:p w14:paraId="4A5FC1E5" w14:textId="77777777" w:rsidR="00DC14C7" w:rsidRPr="00DC14C7" w:rsidRDefault="00DC14C7" w:rsidP="00DC14C7">
      <w:pPr>
        <w:pStyle w:val="Randnummer"/>
        <w:framePr w:wrap="around"/>
        <w:rPr>
          <w:rFonts w:eastAsiaTheme="majorEastAsia"/>
        </w:rPr>
      </w:pPr>
    </w:p>
    <w:p w14:paraId="36529B3F" w14:textId="6E56AAE2" w:rsidR="007537A8" w:rsidRDefault="001B5EC5">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"Fall1" </w:instrText>
      </w:r>
      <w:r>
        <w:rPr>
          <w:rFonts w:eastAsiaTheme="majorEastAsia"/>
        </w:rPr>
        <w:fldChar w:fldCharType="separate"/>
      </w:r>
      <w:hyperlink w:anchor="_Toc22132920" w:history="1">
        <w:r w:rsidR="007537A8" w:rsidRPr="00226521">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_Toc22132920 \h </w:instrText>
        </w:r>
        <w:r w:rsidR="007537A8">
          <w:rPr>
            <w:noProof/>
            <w:webHidden/>
          </w:rPr>
        </w:r>
        <w:r w:rsidR="007537A8">
          <w:rPr>
            <w:noProof/>
            <w:webHidden/>
          </w:rPr>
          <w:fldChar w:fldCharType="separate"/>
        </w:r>
        <w:r w:rsidR="007537A8">
          <w:rPr>
            <w:noProof/>
            <w:webHidden/>
          </w:rPr>
          <w:t>8</w:t>
        </w:r>
        <w:r w:rsidR="007537A8">
          <w:rPr>
            <w:noProof/>
            <w:webHidden/>
          </w:rPr>
          <w:fldChar w:fldCharType="end"/>
        </w:r>
      </w:hyperlink>
    </w:p>
    <w:p w14:paraId="1A1A880C" w14:textId="3ADC0232" w:rsidR="007537A8" w:rsidRDefault="00091FED">
      <w:pPr>
        <w:pStyle w:val="Verzeichnis4"/>
        <w:tabs>
          <w:tab w:val="right" w:leader="dot" w:pos="7361"/>
        </w:tabs>
        <w:rPr>
          <w:rFonts w:eastAsiaTheme="minorEastAsia"/>
          <w:noProof/>
          <w:sz w:val="22"/>
          <w:szCs w:val="22"/>
          <w:lang w:eastAsia="de-DE"/>
        </w:rPr>
      </w:pPr>
      <w:hyperlink w:anchor="_Toc22132921" w:history="1">
        <w:r w:rsidR="007537A8" w:rsidRPr="00226521">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_Toc22132921 \h </w:instrText>
        </w:r>
        <w:r w:rsidR="007537A8">
          <w:rPr>
            <w:noProof/>
            <w:webHidden/>
          </w:rPr>
        </w:r>
        <w:r w:rsidR="007537A8">
          <w:rPr>
            <w:noProof/>
            <w:webHidden/>
          </w:rPr>
          <w:fldChar w:fldCharType="separate"/>
        </w:r>
        <w:r w:rsidR="007537A8">
          <w:rPr>
            <w:noProof/>
            <w:webHidden/>
          </w:rPr>
          <w:t>8</w:t>
        </w:r>
        <w:r w:rsidR="007537A8">
          <w:rPr>
            <w:noProof/>
            <w:webHidden/>
          </w:rPr>
          <w:fldChar w:fldCharType="end"/>
        </w:r>
      </w:hyperlink>
    </w:p>
    <w:p w14:paraId="06E1E4C4" w14:textId="08C02F31" w:rsidR="007537A8" w:rsidRDefault="00091FED">
      <w:pPr>
        <w:pStyle w:val="Verzeichnis5"/>
        <w:tabs>
          <w:tab w:val="right" w:leader="dot" w:pos="7361"/>
        </w:tabs>
        <w:rPr>
          <w:rFonts w:eastAsiaTheme="minorEastAsia"/>
          <w:noProof/>
          <w:sz w:val="22"/>
          <w:szCs w:val="22"/>
          <w:lang w:eastAsia="de-DE"/>
        </w:rPr>
      </w:pPr>
      <w:hyperlink w:anchor="_Toc22132922" w:history="1">
        <w:r w:rsidR="007537A8" w:rsidRPr="00226521">
          <w:rPr>
            <w:rStyle w:val="Hyperlink"/>
            <w:noProof/>
          </w:rPr>
          <w:t>I. Eröffnung des Verwaltungsrechtswegs</w:t>
        </w:r>
        <w:r w:rsidR="007537A8">
          <w:rPr>
            <w:noProof/>
            <w:webHidden/>
          </w:rPr>
          <w:tab/>
        </w:r>
        <w:r w:rsidR="007537A8">
          <w:rPr>
            <w:noProof/>
            <w:webHidden/>
          </w:rPr>
          <w:fldChar w:fldCharType="begin"/>
        </w:r>
        <w:r w:rsidR="007537A8">
          <w:rPr>
            <w:noProof/>
            <w:webHidden/>
          </w:rPr>
          <w:instrText xml:space="preserve"> PAGEREF _Toc22132922 \h </w:instrText>
        </w:r>
        <w:r w:rsidR="007537A8">
          <w:rPr>
            <w:noProof/>
            <w:webHidden/>
          </w:rPr>
        </w:r>
        <w:r w:rsidR="007537A8">
          <w:rPr>
            <w:noProof/>
            <w:webHidden/>
          </w:rPr>
          <w:fldChar w:fldCharType="separate"/>
        </w:r>
        <w:r w:rsidR="007537A8">
          <w:rPr>
            <w:noProof/>
            <w:webHidden/>
          </w:rPr>
          <w:t>8</w:t>
        </w:r>
        <w:r w:rsidR="007537A8">
          <w:rPr>
            <w:noProof/>
            <w:webHidden/>
          </w:rPr>
          <w:fldChar w:fldCharType="end"/>
        </w:r>
      </w:hyperlink>
    </w:p>
    <w:p w14:paraId="2311F3B8" w14:textId="771241EA" w:rsidR="007537A8" w:rsidRDefault="00091FED">
      <w:pPr>
        <w:pStyle w:val="Verzeichnis6"/>
        <w:tabs>
          <w:tab w:val="right" w:leader="dot" w:pos="7361"/>
        </w:tabs>
        <w:rPr>
          <w:noProof/>
          <w:sz w:val="22"/>
          <w:szCs w:val="22"/>
          <w:lang w:eastAsia="de-DE"/>
        </w:rPr>
      </w:pPr>
      <w:hyperlink w:anchor="_Toc22132923" w:history="1">
        <w:r w:rsidR="007537A8" w:rsidRPr="00226521">
          <w:rPr>
            <w:rStyle w:val="Hyperlink"/>
            <w:noProof/>
          </w:rPr>
          <w:t>1. Öffentlich-rechtliche Streitigkeit</w:t>
        </w:r>
        <w:r w:rsidR="007537A8">
          <w:rPr>
            <w:noProof/>
            <w:webHidden/>
          </w:rPr>
          <w:tab/>
        </w:r>
        <w:r w:rsidR="007537A8">
          <w:rPr>
            <w:noProof/>
            <w:webHidden/>
          </w:rPr>
          <w:fldChar w:fldCharType="begin"/>
        </w:r>
        <w:r w:rsidR="007537A8">
          <w:rPr>
            <w:noProof/>
            <w:webHidden/>
          </w:rPr>
          <w:instrText xml:space="preserve"> PAGEREF _Toc22132923 \h </w:instrText>
        </w:r>
        <w:r w:rsidR="007537A8">
          <w:rPr>
            <w:noProof/>
            <w:webHidden/>
          </w:rPr>
        </w:r>
        <w:r w:rsidR="007537A8">
          <w:rPr>
            <w:noProof/>
            <w:webHidden/>
          </w:rPr>
          <w:fldChar w:fldCharType="separate"/>
        </w:r>
        <w:r w:rsidR="007537A8">
          <w:rPr>
            <w:noProof/>
            <w:webHidden/>
          </w:rPr>
          <w:t>8</w:t>
        </w:r>
        <w:r w:rsidR="007537A8">
          <w:rPr>
            <w:noProof/>
            <w:webHidden/>
          </w:rPr>
          <w:fldChar w:fldCharType="end"/>
        </w:r>
      </w:hyperlink>
    </w:p>
    <w:p w14:paraId="02BF9C62" w14:textId="477CB7B4" w:rsidR="007537A8" w:rsidRDefault="00091FED">
      <w:pPr>
        <w:pStyle w:val="Verzeichnis6"/>
        <w:tabs>
          <w:tab w:val="right" w:leader="dot" w:pos="7361"/>
        </w:tabs>
        <w:rPr>
          <w:noProof/>
          <w:sz w:val="22"/>
          <w:szCs w:val="22"/>
          <w:lang w:eastAsia="de-DE"/>
        </w:rPr>
      </w:pPr>
      <w:hyperlink w:anchor="_Toc22132924" w:history="1">
        <w:r w:rsidR="007537A8" w:rsidRPr="00226521">
          <w:rPr>
            <w:rStyle w:val="Hyperlink"/>
            <w:noProof/>
          </w:rPr>
          <w:t>2. Nicht-verfassungsrechtlicher Art</w:t>
        </w:r>
        <w:r w:rsidR="007537A8">
          <w:rPr>
            <w:noProof/>
            <w:webHidden/>
          </w:rPr>
          <w:tab/>
        </w:r>
        <w:r w:rsidR="007537A8">
          <w:rPr>
            <w:noProof/>
            <w:webHidden/>
          </w:rPr>
          <w:fldChar w:fldCharType="begin"/>
        </w:r>
        <w:r w:rsidR="007537A8">
          <w:rPr>
            <w:noProof/>
            <w:webHidden/>
          </w:rPr>
          <w:instrText xml:space="preserve"> PAGEREF _Toc22132924 \h </w:instrText>
        </w:r>
        <w:r w:rsidR="007537A8">
          <w:rPr>
            <w:noProof/>
            <w:webHidden/>
          </w:rPr>
        </w:r>
        <w:r w:rsidR="007537A8">
          <w:rPr>
            <w:noProof/>
            <w:webHidden/>
          </w:rPr>
          <w:fldChar w:fldCharType="separate"/>
        </w:r>
        <w:r w:rsidR="007537A8">
          <w:rPr>
            <w:noProof/>
            <w:webHidden/>
          </w:rPr>
          <w:t>8</w:t>
        </w:r>
        <w:r w:rsidR="007537A8">
          <w:rPr>
            <w:noProof/>
            <w:webHidden/>
          </w:rPr>
          <w:fldChar w:fldCharType="end"/>
        </w:r>
      </w:hyperlink>
    </w:p>
    <w:p w14:paraId="0BDF1A78" w14:textId="59A8D5AC" w:rsidR="007537A8" w:rsidRDefault="00091FED">
      <w:pPr>
        <w:pStyle w:val="Verzeichnis6"/>
        <w:tabs>
          <w:tab w:val="right" w:leader="dot" w:pos="7361"/>
        </w:tabs>
        <w:rPr>
          <w:noProof/>
          <w:sz w:val="22"/>
          <w:szCs w:val="22"/>
          <w:lang w:eastAsia="de-DE"/>
        </w:rPr>
      </w:pPr>
      <w:hyperlink w:anchor="_Toc22132925" w:history="1">
        <w:r w:rsidR="007537A8" w:rsidRPr="00226521">
          <w:rPr>
            <w:rStyle w:val="Hyperlink"/>
            <w:noProof/>
          </w:rPr>
          <w:t>3. Abdrängende Sonderzuweisung</w:t>
        </w:r>
        <w:r w:rsidR="007537A8">
          <w:rPr>
            <w:noProof/>
            <w:webHidden/>
          </w:rPr>
          <w:tab/>
        </w:r>
        <w:r w:rsidR="007537A8">
          <w:rPr>
            <w:noProof/>
            <w:webHidden/>
          </w:rPr>
          <w:fldChar w:fldCharType="begin"/>
        </w:r>
        <w:r w:rsidR="007537A8">
          <w:rPr>
            <w:noProof/>
            <w:webHidden/>
          </w:rPr>
          <w:instrText xml:space="preserve"> PAGEREF _Toc22132925 \h </w:instrText>
        </w:r>
        <w:r w:rsidR="007537A8">
          <w:rPr>
            <w:noProof/>
            <w:webHidden/>
          </w:rPr>
        </w:r>
        <w:r w:rsidR="007537A8">
          <w:rPr>
            <w:noProof/>
            <w:webHidden/>
          </w:rPr>
          <w:fldChar w:fldCharType="separate"/>
        </w:r>
        <w:r w:rsidR="007537A8">
          <w:rPr>
            <w:noProof/>
            <w:webHidden/>
          </w:rPr>
          <w:t>8</w:t>
        </w:r>
        <w:r w:rsidR="007537A8">
          <w:rPr>
            <w:noProof/>
            <w:webHidden/>
          </w:rPr>
          <w:fldChar w:fldCharType="end"/>
        </w:r>
      </w:hyperlink>
    </w:p>
    <w:p w14:paraId="09073049" w14:textId="101A1EB3" w:rsidR="007537A8" w:rsidRDefault="00091FED">
      <w:pPr>
        <w:pStyle w:val="Verzeichnis6"/>
        <w:tabs>
          <w:tab w:val="right" w:leader="dot" w:pos="7361"/>
        </w:tabs>
        <w:rPr>
          <w:noProof/>
          <w:sz w:val="22"/>
          <w:szCs w:val="22"/>
          <w:lang w:eastAsia="de-DE"/>
        </w:rPr>
      </w:pPr>
      <w:hyperlink w:anchor="_Toc22132926" w:history="1">
        <w:r w:rsidR="007537A8" w:rsidRPr="00226521">
          <w:rPr>
            <w:rStyle w:val="Hyperlink"/>
            <w:noProof/>
          </w:rPr>
          <w:t>4. Zwischenergebnis</w:t>
        </w:r>
        <w:r w:rsidR="007537A8">
          <w:rPr>
            <w:noProof/>
            <w:webHidden/>
          </w:rPr>
          <w:tab/>
        </w:r>
        <w:r w:rsidR="007537A8">
          <w:rPr>
            <w:noProof/>
            <w:webHidden/>
          </w:rPr>
          <w:fldChar w:fldCharType="begin"/>
        </w:r>
        <w:r w:rsidR="007537A8">
          <w:rPr>
            <w:noProof/>
            <w:webHidden/>
          </w:rPr>
          <w:instrText xml:space="preserve"> PAGEREF _Toc22132926 \h </w:instrText>
        </w:r>
        <w:r w:rsidR="007537A8">
          <w:rPr>
            <w:noProof/>
            <w:webHidden/>
          </w:rPr>
        </w:r>
        <w:r w:rsidR="007537A8">
          <w:rPr>
            <w:noProof/>
            <w:webHidden/>
          </w:rPr>
          <w:fldChar w:fldCharType="separate"/>
        </w:r>
        <w:r w:rsidR="007537A8">
          <w:rPr>
            <w:noProof/>
            <w:webHidden/>
          </w:rPr>
          <w:t>9</w:t>
        </w:r>
        <w:r w:rsidR="007537A8">
          <w:rPr>
            <w:noProof/>
            <w:webHidden/>
          </w:rPr>
          <w:fldChar w:fldCharType="end"/>
        </w:r>
      </w:hyperlink>
    </w:p>
    <w:p w14:paraId="73D41DF3" w14:textId="57C0C406" w:rsidR="007537A8" w:rsidRDefault="00091FED">
      <w:pPr>
        <w:pStyle w:val="Verzeichnis5"/>
        <w:tabs>
          <w:tab w:val="right" w:leader="dot" w:pos="7361"/>
        </w:tabs>
        <w:rPr>
          <w:rFonts w:eastAsiaTheme="minorEastAsia"/>
          <w:noProof/>
          <w:sz w:val="22"/>
          <w:szCs w:val="22"/>
          <w:lang w:eastAsia="de-DE"/>
        </w:rPr>
      </w:pPr>
      <w:hyperlink w:anchor="_Toc22132927" w:history="1">
        <w:r w:rsidR="007537A8" w:rsidRPr="00226521">
          <w:rPr>
            <w:rStyle w:val="Hyperlink"/>
            <w:noProof/>
          </w:rPr>
          <w:t>II. Statthafte Klageart</w:t>
        </w:r>
        <w:r w:rsidR="007537A8">
          <w:rPr>
            <w:noProof/>
            <w:webHidden/>
          </w:rPr>
          <w:tab/>
        </w:r>
        <w:r w:rsidR="007537A8">
          <w:rPr>
            <w:noProof/>
            <w:webHidden/>
          </w:rPr>
          <w:fldChar w:fldCharType="begin"/>
        </w:r>
        <w:r w:rsidR="007537A8">
          <w:rPr>
            <w:noProof/>
            <w:webHidden/>
          </w:rPr>
          <w:instrText xml:space="preserve"> PAGEREF _Toc22132927 \h </w:instrText>
        </w:r>
        <w:r w:rsidR="007537A8">
          <w:rPr>
            <w:noProof/>
            <w:webHidden/>
          </w:rPr>
        </w:r>
        <w:r w:rsidR="007537A8">
          <w:rPr>
            <w:noProof/>
            <w:webHidden/>
          </w:rPr>
          <w:fldChar w:fldCharType="separate"/>
        </w:r>
        <w:r w:rsidR="007537A8">
          <w:rPr>
            <w:noProof/>
            <w:webHidden/>
          </w:rPr>
          <w:t>9</w:t>
        </w:r>
        <w:r w:rsidR="007537A8">
          <w:rPr>
            <w:noProof/>
            <w:webHidden/>
          </w:rPr>
          <w:fldChar w:fldCharType="end"/>
        </w:r>
      </w:hyperlink>
    </w:p>
    <w:p w14:paraId="2B8DE220" w14:textId="1DC64947" w:rsidR="007537A8" w:rsidRDefault="00091FED">
      <w:pPr>
        <w:pStyle w:val="Verzeichnis5"/>
        <w:tabs>
          <w:tab w:val="right" w:leader="dot" w:pos="7361"/>
        </w:tabs>
        <w:rPr>
          <w:rFonts w:eastAsiaTheme="minorEastAsia"/>
          <w:noProof/>
          <w:sz w:val="22"/>
          <w:szCs w:val="22"/>
          <w:lang w:eastAsia="de-DE"/>
        </w:rPr>
      </w:pPr>
      <w:hyperlink w:anchor="_Toc22132928" w:history="1">
        <w:r w:rsidR="007537A8" w:rsidRPr="00226521">
          <w:rPr>
            <w:rStyle w:val="Hyperlink"/>
            <w:noProof/>
          </w:rPr>
          <w:t>III. Klagebefugnis</w:t>
        </w:r>
        <w:r w:rsidR="007537A8">
          <w:rPr>
            <w:noProof/>
            <w:webHidden/>
          </w:rPr>
          <w:tab/>
        </w:r>
        <w:r w:rsidR="007537A8">
          <w:rPr>
            <w:noProof/>
            <w:webHidden/>
          </w:rPr>
          <w:fldChar w:fldCharType="begin"/>
        </w:r>
        <w:r w:rsidR="007537A8">
          <w:rPr>
            <w:noProof/>
            <w:webHidden/>
          </w:rPr>
          <w:instrText xml:space="preserve"> PAGEREF _Toc22132928 \h </w:instrText>
        </w:r>
        <w:r w:rsidR="007537A8">
          <w:rPr>
            <w:noProof/>
            <w:webHidden/>
          </w:rPr>
        </w:r>
        <w:r w:rsidR="007537A8">
          <w:rPr>
            <w:noProof/>
            <w:webHidden/>
          </w:rPr>
          <w:fldChar w:fldCharType="separate"/>
        </w:r>
        <w:r w:rsidR="007537A8">
          <w:rPr>
            <w:noProof/>
            <w:webHidden/>
          </w:rPr>
          <w:t>9</w:t>
        </w:r>
        <w:r w:rsidR="007537A8">
          <w:rPr>
            <w:noProof/>
            <w:webHidden/>
          </w:rPr>
          <w:fldChar w:fldCharType="end"/>
        </w:r>
      </w:hyperlink>
    </w:p>
    <w:p w14:paraId="7D28B951" w14:textId="773F5036" w:rsidR="007537A8" w:rsidRDefault="00091FED">
      <w:pPr>
        <w:pStyle w:val="Verzeichnis5"/>
        <w:tabs>
          <w:tab w:val="right" w:leader="dot" w:pos="7361"/>
        </w:tabs>
        <w:rPr>
          <w:rFonts w:eastAsiaTheme="minorEastAsia"/>
          <w:noProof/>
          <w:sz w:val="22"/>
          <w:szCs w:val="22"/>
          <w:lang w:eastAsia="de-DE"/>
        </w:rPr>
      </w:pPr>
      <w:hyperlink w:anchor="_Toc22132929" w:history="1">
        <w:r w:rsidR="007537A8" w:rsidRPr="00226521">
          <w:rPr>
            <w:rStyle w:val="Hyperlink"/>
            <w:noProof/>
          </w:rPr>
          <w:t>IV. Erfolgloses, ordnungsgemäßes Vorverfahren</w:t>
        </w:r>
        <w:r w:rsidR="007537A8">
          <w:rPr>
            <w:noProof/>
            <w:webHidden/>
          </w:rPr>
          <w:tab/>
        </w:r>
        <w:r w:rsidR="007537A8">
          <w:rPr>
            <w:noProof/>
            <w:webHidden/>
          </w:rPr>
          <w:fldChar w:fldCharType="begin"/>
        </w:r>
        <w:r w:rsidR="007537A8">
          <w:rPr>
            <w:noProof/>
            <w:webHidden/>
          </w:rPr>
          <w:instrText xml:space="preserve"> PAGEREF _Toc22132929 \h </w:instrText>
        </w:r>
        <w:r w:rsidR="007537A8">
          <w:rPr>
            <w:noProof/>
            <w:webHidden/>
          </w:rPr>
        </w:r>
        <w:r w:rsidR="007537A8">
          <w:rPr>
            <w:noProof/>
            <w:webHidden/>
          </w:rPr>
          <w:fldChar w:fldCharType="separate"/>
        </w:r>
        <w:r w:rsidR="007537A8">
          <w:rPr>
            <w:noProof/>
            <w:webHidden/>
          </w:rPr>
          <w:t>9</w:t>
        </w:r>
        <w:r w:rsidR="007537A8">
          <w:rPr>
            <w:noProof/>
            <w:webHidden/>
          </w:rPr>
          <w:fldChar w:fldCharType="end"/>
        </w:r>
      </w:hyperlink>
    </w:p>
    <w:p w14:paraId="1E5A5482" w14:textId="2E081B6E" w:rsidR="007537A8" w:rsidRDefault="00091FED">
      <w:pPr>
        <w:pStyle w:val="Verzeichnis5"/>
        <w:tabs>
          <w:tab w:val="right" w:leader="dot" w:pos="7361"/>
        </w:tabs>
        <w:rPr>
          <w:rFonts w:eastAsiaTheme="minorEastAsia"/>
          <w:noProof/>
          <w:sz w:val="22"/>
          <w:szCs w:val="22"/>
          <w:lang w:eastAsia="de-DE"/>
        </w:rPr>
      </w:pPr>
      <w:hyperlink w:anchor="_Toc22132930" w:history="1">
        <w:r w:rsidR="007537A8" w:rsidRPr="00226521">
          <w:rPr>
            <w:rStyle w:val="Hyperlink"/>
            <w:noProof/>
          </w:rPr>
          <w:t>V. Klagefrist</w:t>
        </w:r>
        <w:r w:rsidR="007537A8">
          <w:rPr>
            <w:noProof/>
            <w:webHidden/>
          </w:rPr>
          <w:tab/>
        </w:r>
        <w:r w:rsidR="007537A8">
          <w:rPr>
            <w:noProof/>
            <w:webHidden/>
          </w:rPr>
          <w:fldChar w:fldCharType="begin"/>
        </w:r>
        <w:r w:rsidR="007537A8">
          <w:rPr>
            <w:noProof/>
            <w:webHidden/>
          </w:rPr>
          <w:instrText xml:space="preserve"> PAGEREF _Toc22132930 \h </w:instrText>
        </w:r>
        <w:r w:rsidR="007537A8">
          <w:rPr>
            <w:noProof/>
            <w:webHidden/>
          </w:rPr>
        </w:r>
        <w:r w:rsidR="007537A8">
          <w:rPr>
            <w:noProof/>
            <w:webHidden/>
          </w:rPr>
          <w:fldChar w:fldCharType="separate"/>
        </w:r>
        <w:r w:rsidR="007537A8">
          <w:rPr>
            <w:noProof/>
            <w:webHidden/>
          </w:rPr>
          <w:t>9</w:t>
        </w:r>
        <w:r w:rsidR="007537A8">
          <w:rPr>
            <w:noProof/>
            <w:webHidden/>
          </w:rPr>
          <w:fldChar w:fldCharType="end"/>
        </w:r>
      </w:hyperlink>
    </w:p>
    <w:p w14:paraId="0A68D147" w14:textId="7F455272" w:rsidR="007537A8" w:rsidRDefault="00091FED">
      <w:pPr>
        <w:pStyle w:val="Verzeichnis6"/>
        <w:tabs>
          <w:tab w:val="right" w:leader="dot" w:pos="7361"/>
        </w:tabs>
        <w:rPr>
          <w:noProof/>
          <w:sz w:val="22"/>
          <w:szCs w:val="22"/>
          <w:lang w:eastAsia="de-DE"/>
        </w:rPr>
      </w:pPr>
      <w:hyperlink w:anchor="_Toc22132931" w:history="1">
        <w:r w:rsidR="007537A8" w:rsidRPr="00226521">
          <w:rPr>
            <w:rStyle w:val="Hyperlink"/>
            <w:noProof/>
          </w:rPr>
          <w:t>1. Fristbeginn</w:t>
        </w:r>
        <w:r w:rsidR="007537A8">
          <w:rPr>
            <w:noProof/>
            <w:webHidden/>
          </w:rPr>
          <w:tab/>
        </w:r>
        <w:r w:rsidR="007537A8">
          <w:rPr>
            <w:noProof/>
            <w:webHidden/>
          </w:rPr>
          <w:fldChar w:fldCharType="begin"/>
        </w:r>
        <w:r w:rsidR="007537A8">
          <w:rPr>
            <w:noProof/>
            <w:webHidden/>
          </w:rPr>
          <w:instrText xml:space="preserve"> PAGEREF _Toc22132931 \h </w:instrText>
        </w:r>
        <w:r w:rsidR="007537A8">
          <w:rPr>
            <w:noProof/>
            <w:webHidden/>
          </w:rPr>
        </w:r>
        <w:r w:rsidR="007537A8">
          <w:rPr>
            <w:noProof/>
            <w:webHidden/>
          </w:rPr>
          <w:fldChar w:fldCharType="separate"/>
        </w:r>
        <w:r w:rsidR="007537A8">
          <w:rPr>
            <w:noProof/>
            <w:webHidden/>
          </w:rPr>
          <w:t>9</w:t>
        </w:r>
        <w:r w:rsidR="007537A8">
          <w:rPr>
            <w:noProof/>
            <w:webHidden/>
          </w:rPr>
          <w:fldChar w:fldCharType="end"/>
        </w:r>
      </w:hyperlink>
    </w:p>
    <w:p w14:paraId="7231404B" w14:textId="6EC0F5FB" w:rsidR="007537A8" w:rsidRDefault="00091FED">
      <w:pPr>
        <w:pStyle w:val="Verzeichnis7"/>
        <w:tabs>
          <w:tab w:val="right" w:leader="dot" w:pos="7361"/>
        </w:tabs>
        <w:rPr>
          <w:noProof/>
          <w:sz w:val="22"/>
          <w:szCs w:val="22"/>
          <w:lang w:eastAsia="de-DE"/>
        </w:rPr>
      </w:pPr>
      <w:hyperlink w:anchor="_Toc22132932" w:history="1">
        <w:r w:rsidR="007537A8" w:rsidRPr="00226521">
          <w:rPr>
            <w:rStyle w:val="Hyperlink"/>
            <w:noProof/>
          </w:rPr>
          <w:t>a) Richtiger Zustellungsempfänger</w:t>
        </w:r>
        <w:r w:rsidR="007537A8">
          <w:rPr>
            <w:noProof/>
            <w:webHidden/>
          </w:rPr>
          <w:tab/>
        </w:r>
        <w:r w:rsidR="007537A8">
          <w:rPr>
            <w:noProof/>
            <w:webHidden/>
          </w:rPr>
          <w:fldChar w:fldCharType="begin"/>
        </w:r>
        <w:r w:rsidR="007537A8">
          <w:rPr>
            <w:noProof/>
            <w:webHidden/>
          </w:rPr>
          <w:instrText xml:space="preserve"> PAGEREF _Toc22132932 \h </w:instrText>
        </w:r>
        <w:r w:rsidR="007537A8">
          <w:rPr>
            <w:noProof/>
            <w:webHidden/>
          </w:rPr>
        </w:r>
        <w:r w:rsidR="007537A8">
          <w:rPr>
            <w:noProof/>
            <w:webHidden/>
          </w:rPr>
          <w:fldChar w:fldCharType="separate"/>
        </w:r>
        <w:r w:rsidR="007537A8">
          <w:rPr>
            <w:noProof/>
            <w:webHidden/>
          </w:rPr>
          <w:t>10</w:t>
        </w:r>
        <w:r w:rsidR="007537A8">
          <w:rPr>
            <w:noProof/>
            <w:webHidden/>
          </w:rPr>
          <w:fldChar w:fldCharType="end"/>
        </w:r>
      </w:hyperlink>
    </w:p>
    <w:p w14:paraId="667C8397" w14:textId="5B854531" w:rsidR="007537A8" w:rsidRDefault="00091FED">
      <w:pPr>
        <w:pStyle w:val="Verzeichnis7"/>
        <w:tabs>
          <w:tab w:val="right" w:leader="dot" w:pos="7361"/>
        </w:tabs>
        <w:rPr>
          <w:noProof/>
          <w:sz w:val="22"/>
          <w:szCs w:val="22"/>
          <w:lang w:eastAsia="de-DE"/>
        </w:rPr>
      </w:pPr>
      <w:hyperlink w:anchor="_Toc22132933" w:history="1">
        <w:r w:rsidR="007537A8" w:rsidRPr="00226521">
          <w:rPr>
            <w:rStyle w:val="Hyperlink"/>
            <w:noProof/>
          </w:rPr>
          <w:t>b) Berechnung des Fristbeginns</w:t>
        </w:r>
        <w:r w:rsidR="007537A8">
          <w:rPr>
            <w:noProof/>
            <w:webHidden/>
          </w:rPr>
          <w:tab/>
        </w:r>
        <w:r w:rsidR="007537A8">
          <w:rPr>
            <w:noProof/>
            <w:webHidden/>
          </w:rPr>
          <w:fldChar w:fldCharType="begin"/>
        </w:r>
        <w:r w:rsidR="007537A8">
          <w:rPr>
            <w:noProof/>
            <w:webHidden/>
          </w:rPr>
          <w:instrText xml:space="preserve"> PAGEREF _Toc22132933 \h </w:instrText>
        </w:r>
        <w:r w:rsidR="007537A8">
          <w:rPr>
            <w:noProof/>
            <w:webHidden/>
          </w:rPr>
        </w:r>
        <w:r w:rsidR="007537A8">
          <w:rPr>
            <w:noProof/>
            <w:webHidden/>
          </w:rPr>
          <w:fldChar w:fldCharType="separate"/>
        </w:r>
        <w:r w:rsidR="007537A8">
          <w:rPr>
            <w:noProof/>
            <w:webHidden/>
          </w:rPr>
          <w:t>10</w:t>
        </w:r>
        <w:r w:rsidR="007537A8">
          <w:rPr>
            <w:noProof/>
            <w:webHidden/>
          </w:rPr>
          <w:fldChar w:fldCharType="end"/>
        </w:r>
      </w:hyperlink>
    </w:p>
    <w:p w14:paraId="51D12BEB" w14:textId="0C032142" w:rsidR="007537A8" w:rsidRDefault="00091FED">
      <w:pPr>
        <w:pStyle w:val="Verzeichnis6"/>
        <w:tabs>
          <w:tab w:val="right" w:leader="dot" w:pos="7361"/>
        </w:tabs>
        <w:rPr>
          <w:noProof/>
          <w:sz w:val="22"/>
          <w:szCs w:val="22"/>
          <w:lang w:eastAsia="de-DE"/>
        </w:rPr>
      </w:pPr>
      <w:hyperlink w:anchor="_Toc22132934" w:history="1">
        <w:r w:rsidR="007537A8" w:rsidRPr="00226521">
          <w:rPr>
            <w:rStyle w:val="Hyperlink"/>
            <w:noProof/>
          </w:rPr>
          <w:t>2. Fristablauf</w:t>
        </w:r>
        <w:r w:rsidR="007537A8">
          <w:rPr>
            <w:noProof/>
            <w:webHidden/>
          </w:rPr>
          <w:tab/>
        </w:r>
        <w:r w:rsidR="007537A8">
          <w:rPr>
            <w:noProof/>
            <w:webHidden/>
          </w:rPr>
          <w:fldChar w:fldCharType="begin"/>
        </w:r>
        <w:r w:rsidR="007537A8">
          <w:rPr>
            <w:noProof/>
            <w:webHidden/>
          </w:rPr>
          <w:instrText xml:space="preserve"> PAGEREF _Toc22132934 \h </w:instrText>
        </w:r>
        <w:r w:rsidR="007537A8">
          <w:rPr>
            <w:noProof/>
            <w:webHidden/>
          </w:rPr>
        </w:r>
        <w:r w:rsidR="007537A8">
          <w:rPr>
            <w:noProof/>
            <w:webHidden/>
          </w:rPr>
          <w:fldChar w:fldCharType="separate"/>
        </w:r>
        <w:r w:rsidR="007537A8">
          <w:rPr>
            <w:noProof/>
            <w:webHidden/>
          </w:rPr>
          <w:t>10</w:t>
        </w:r>
        <w:r w:rsidR="007537A8">
          <w:rPr>
            <w:noProof/>
            <w:webHidden/>
          </w:rPr>
          <w:fldChar w:fldCharType="end"/>
        </w:r>
      </w:hyperlink>
    </w:p>
    <w:p w14:paraId="608EBE12" w14:textId="514B5647" w:rsidR="007537A8" w:rsidRDefault="00091FED">
      <w:pPr>
        <w:pStyle w:val="Verzeichnis6"/>
        <w:tabs>
          <w:tab w:val="right" w:leader="dot" w:pos="7361"/>
        </w:tabs>
        <w:rPr>
          <w:noProof/>
          <w:sz w:val="22"/>
          <w:szCs w:val="22"/>
          <w:lang w:eastAsia="de-DE"/>
        </w:rPr>
      </w:pPr>
      <w:hyperlink w:anchor="_Toc22132935" w:history="1">
        <w:r w:rsidR="007537A8" w:rsidRPr="00226521">
          <w:rPr>
            <w:rStyle w:val="Hyperlink"/>
            <w:noProof/>
          </w:rPr>
          <w:t>3. Fristwahrung wegen fehlerhafter Rechtsbehelfsbelehrung</w:t>
        </w:r>
        <w:r w:rsidR="007537A8">
          <w:rPr>
            <w:noProof/>
            <w:webHidden/>
          </w:rPr>
          <w:tab/>
        </w:r>
        <w:r w:rsidR="007537A8">
          <w:rPr>
            <w:noProof/>
            <w:webHidden/>
          </w:rPr>
          <w:fldChar w:fldCharType="begin"/>
        </w:r>
        <w:r w:rsidR="007537A8">
          <w:rPr>
            <w:noProof/>
            <w:webHidden/>
          </w:rPr>
          <w:instrText xml:space="preserve"> PAGEREF _Toc22132935 \h </w:instrText>
        </w:r>
        <w:r w:rsidR="007537A8">
          <w:rPr>
            <w:noProof/>
            <w:webHidden/>
          </w:rPr>
        </w:r>
        <w:r w:rsidR="007537A8">
          <w:rPr>
            <w:noProof/>
            <w:webHidden/>
          </w:rPr>
          <w:fldChar w:fldCharType="separate"/>
        </w:r>
        <w:r w:rsidR="007537A8">
          <w:rPr>
            <w:noProof/>
            <w:webHidden/>
          </w:rPr>
          <w:t>10</w:t>
        </w:r>
        <w:r w:rsidR="007537A8">
          <w:rPr>
            <w:noProof/>
            <w:webHidden/>
          </w:rPr>
          <w:fldChar w:fldCharType="end"/>
        </w:r>
      </w:hyperlink>
    </w:p>
    <w:p w14:paraId="5F1EA15D" w14:textId="6BE636CA" w:rsidR="007537A8" w:rsidRDefault="00091FED">
      <w:pPr>
        <w:pStyle w:val="Verzeichnis5"/>
        <w:tabs>
          <w:tab w:val="right" w:leader="dot" w:pos="7361"/>
        </w:tabs>
        <w:rPr>
          <w:rFonts w:eastAsiaTheme="minorEastAsia"/>
          <w:noProof/>
          <w:sz w:val="22"/>
          <w:szCs w:val="22"/>
          <w:lang w:eastAsia="de-DE"/>
        </w:rPr>
      </w:pPr>
      <w:hyperlink w:anchor="_Toc22132936" w:history="1">
        <w:r w:rsidR="007537A8" w:rsidRPr="00226521">
          <w:rPr>
            <w:rStyle w:val="Hyperlink"/>
            <w:noProof/>
          </w:rPr>
          <w:t>VI. Beteiligte</w:t>
        </w:r>
        <w:r w:rsidR="007537A8">
          <w:rPr>
            <w:noProof/>
            <w:webHidden/>
          </w:rPr>
          <w:tab/>
        </w:r>
        <w:r w:rsidR="007537A8">
          <w:rPr>
            <w:noProof/>
            <w:webHidden/>
          </w:rPr>
          <w:fldChar w:fldCharType="begin"/>
        </w:r>
        <w:r w:rsidR="007537A8">
          <w:rPr>
            <w:noProof/>
            <w:webHidden/>
          </w:rPr>
          <w:instrText xml:space="preserve"> PAGEREF _Toc22132936 \h </w:instrText>
        </w:r>
        <w:r w:rsidR="007537A8">
          <w:rPr>
            <w:noProof/>
            <w:webHidden/>
          </w:rPr>
        </w:r>
        <w:r w:rsidR="007537A8">
          <w:rPr>
            <w:noProof/>
            <w:webHidden/>
          </w:rPr>
          <w:fldChar w:fldCharType="separate"/>
        </w:r>
        <w:r w:rsidR="007537A8">
          <w:rPr>
            <w:noProof/>
            <w:webHidden/>
          </w:rPr>
          <w:t>11</w:t>
        </w:r>
        <w:r w:rsidR="007537A8">
          <w:rPr>
            <w:noProof/>
            <w:webHidden/>
          </w:rPr>
          <w:fldChar w:fldCharType="end"/>
        </w:r>
      </w:hyperlink>
    </w:p>
    <w:p w14:paraId="35214B0C" w14:textId="24490B1E" w:rsidR="007537A8" w:rsidRDefault="00091FED">
      <w:pPr>
        <w:pStyle w:val="Verzeichnis5"/>
        <w:tabs>
          <w:tab w:val="right" w:leader="dot" w:pos="7361"/>
        </w:tabs>
        <w:rPr>
          <w:rFonts w:eastAsiaTheme="minorEastAsia"/>
          <w:noProof/>
          <w:sz w:val="22"/>
          <w:szCs w:val="22"/>
          <w:lang w:eastAsia="de-DE"/>
        </w:rPr>
      </w:pPr>
      <w:hyperlink w:anchor="_Toc22132937" w:history="1">
        <w:r w:rsidR="007537A8" w:rsidRPr="00226521">
          <w:rPr>
            <w:rStyle w:val="Hyperlink"/>
            <w:noProof/>
          </w:rPr>
          <w:t>VII. Zuständiges Gericht</w:t>
        </w:r>
        <w:r w:rsidR="007537A8">
          <w:rPr>
            <w:noProof/>
            <w:webHidden/>
          </w:rPr>
          <w:tab/>
        </w:r>
        <w:r w:rsidR="007537A8">
          <w:rPr>
            <w:noProof/>
            <w:webHidden/>
          </w:rPr>
          <w:fldChar w:fldCharType="begin"/>
        </w:r>
        <w:r w:rsidR="007537A8">
          <w:rPr>
            <w:noProof/>
            <w:webHidden/>
          </w:rPr>
          <w:instrText xml:space="preserve"> PAGEREF _Toc22132937 \h </w:instrText>
        </w:r>
        <w:r w:rsidR="007537A8">
          <w:rPr>
            <w:noProof/>
            <w:webHidden/>
          </w:rPr>
        </w:r>
        <w:r w:rsidR="007537A8">
          <w:rPr>
            <w:noProof/>
            <w:webHidden/>
          </w:rPr>
          <w:fldChar w:fldCharType="separate"/>
        </w:r>
        <w:r w:rsidR="007537A8">
          <w:rPr>
            <w:noProof/>
            <w:webHidden/>
          </w:rPr>
          <w:t>11</w:t>
        </w:r>
        <w:r w:rsidR="007537A8">
          <w:rPr>
            <w:noProof/>
            <w:webHidden/>
          </w:rPr>
          <w:fldChar w:fldCharType="end"/>
        </w:r>
      </w:hyperlink>
    </w:p>
    <w:p w14:paraId="5948D22A" w14:textId="45FA132E" w:rsidR="007537A8" w:rsidRDefault="00091FED">
      <w:pPr>
        <w:pStyle w:val="Verzeichnis4"/>
        <w:tabs>
          <w:tab w:val="right" w:leader="dot" w:pos="7361"/>
        </w:tabs>
        <w:rPr>
          <w:rFonts w:eastAsiaTheme="minorEastAsia"/>
          <w:noProof/>
          <w:sz w:val="22"/>
          <w:szCs w:val="22"/>
          <w:lang w:eastAsia="de-DE"/>
        </w:rPr>
      </w:pPr>
      <w:hyperlink w:anchor="_Toc22132938" w:history="1">
        <w:r w:rsidR="007537A8" w:rsidRPr="00226521">
          <w:rPr>
            <w:rStyle w:val="Hyperlink"/>
            <w:noProof/>
          </w:rPr>
          <w:t>B. Begründetheit</w:t>
        </w:r>
        <w:r w:rsidR="007537A8">
          <w:rPr>
            <w:noProof/>
            <w:webHidden/>
          </w:rPr>
          <w:tab/>
        </w:r>
        <w:r w:rsidR="007537A8">
          <w:rPr>
            <w:noProof/>
            <w:webHidden/>
          </w:rPr>
          <w:fldChar w:fldCharType="begin"/>
        </w:r>
        <w:r w:rsidR="007537A8">
          <w:rPr>
            <w:noProof/>
            <w:webHidden/>
          </w:rPr>
          <w:instrText xml:space="preserve"> PAGEREF _Toc22132938 \h </w:instrText>
        </w:r>
        <w:r w:rsidR="007537A8">
          <w:rPr>
            <w:noProof/>
            <w:webHidden/>
          </w:rPr>
        </w:r>
        <w:r w:rsidR="007537A8">
          <w:rPr>
            <w:noProof/>
            <w:webHidden/>
          </w:rPr>
          <w:fldChar w:fldCharType="separate"/>
        </w:r>
        <w:r w:rsidR="007537A8">
          <w:rPr>
            <w:noProof/>
            <w:webHidden/>
          </w:rPr>
          <w:t>11</w:t>
        </w:r>
        <w:r w:rsidR="007537A8">
          <w:rPr>
            <w:noProof/>
            <w:webHidden/>
          </w:rPr>
          <w:fldChar w:fldCharType="end"/>
        </w:r>
      </w:hyperlink>
    </w:p>
    <w:p w14:paraId="59B3880C" w14:textId="3FC2A7B7" w:rsidR="007537A8" w:rsidRDefault="00091FED">
      <w:pPr>
        <w:pStyle w:val="Verzeichnis5"/>
        <w:tabs>
          <w:tab w:val="right" w:leader="dot" w:pos="7361"/>
        </w:tabs>
        <w:rPr>
          <w:rFonts w:eastAsiaTheme="minorEastAsia"/>
          <w:noProof/>
          <w:sz w:val="22"/>
          <w:szCs w:val="22"/>
          <w:lang w:eastAsia="de-DE"/>
        </w:rPr>
      </w:pPr>
      <w:hyperlink w:anchor="_Toc22132939" w:history="1">
        <w:r w:rsidR="007537A8" w:rsidRPr="00226521">
          <w:rPr>
            <w:rStyle w:val="Hyperlink"/>
            <w:noProof/>
          </w:rPr>
          <w:t>I. Rechtmäßigkeit des Verwaltungsakts</w:t>
        </w:r>
        <w:r w:rsidR="007537A8">
          <w:rPr>
            <w:noProof/>
            <w:webHidden/>
          </w:rPr>
          <w:tab/>
        </w:r>
        <w:r w:rsidR="007537A8">
          <w:rPr>
            <w:noProof/>
            <w:webHidden/>
          </w:rPr>
          <w:fldChar w:fldCharType="begin"/>
        </w:r>
        <w:r w:rsidR="007537A8">
          <w:rPr>
            <w:noProof/>
            <w:webHidden/>
          </w:rPr>
          <w:instrText xml:space="preserve"> PAGEREF _Toc22132939 \h </w:instrText>
        </w:r>
        <w:r w:rsidR="007537A8">
          <w:rPr>
            <w:noProof/>
            <w:webHidden/>
          </w:rPr>
        </w:r>
        <w:r w:rsidR="007537A8">
          <w:rPr>
            <w:noProof/>
            <w:webHidden/>
          </w:rPr>
          <w:fldChar w:fldCharType="separate"/>
        </w:r>
        <w:r w:rsidR="007537A8">
          <w:rPr>
            <w:noProof/>
            <w:webHidden/>
          </w:rPr>
          <w:t>12</w:t>
        </w:r>
        <w:r w:rsidR="007537A8">
          <w:rPr>
            <w:noProof/>
            <w:webHidden/>
          </w:rPr>
          <w:fldChar w:fldCharType="end"/>
        </w:r>
      </w:hyperlink>
    </w:p>
    <w:p w14:paraId="577718B0" w14:textId="380CAA21" w:rsidR="007537A8" w:rsidRDefault="00091FED">
      <w:pPr>
        <w:pStyle w:val="Verzeichnis6"/>
        <w:tabs>
          <w:tab w:val="right" w:leader="dot" w:pos="7361"/>
        </w:tabs>
        <w:rPr>
          <w:noProof/>
          <w:sz w:val="22"/>
          <w:szCs w:val="22"/>
          <w:lang w:eastAsia="de-DE"/>
        </w:rPr>
      </w:pPr>
      <w:hyperlink w:anchor="_Toc22132940" w:history="1">
        <w:r w:rsidR="007537A8" w:rsidRPr="00226521">
          <w:rPr>
            <w:rStyle w:val="Hyperlink"/>
            <w:noProof/>
          </w:rPr>
          <w:t>1. Ermächtigungsgrundlage</w:t>
        </w:r>
        <w:r w:rsidR="007537A8">
          <w:rPr>
            <w:noProof/>
            <w:webHidden/>
          </w:rPr>
          <w:tab/>
        </w:r>
        <w:r w:rsidR="007537A8">
          <w:rPr>
            <w:noProof/>
            <w:webHidden/>
          </w:rPr>
          <w:fldChar w:fldCharType="begin"/>
        </w:r>
        <w:r w:rsidR="007537A8">
          <w:rPr>
            <w:noProof/>
            <w:webHidden/>
          </w:rPr>
          <w:instrText xml:space="preserve"> PAGEREF _Toc22132940 \h </w:instrText>
        </w:r>
        <w:r w:rsidR="007537A8">
          <w:rPr>
            <w:noProof/>
            <w:webHidden/>
          </w:rPr>
        </w:r>
        <w:r w:rsidR="007537A8">
          <w:rPr>
            <w:noProof/>
            <w:webHidden/>
          </w:rPr>
          <w:fldChar w:fldCharType="separate"/>
        </w:r>
        <w:r w:rsidR="007537A8">
          <w:rPr>
            <w:noProof/>
            <w:webHidden/>
          </w:rPr>
          <w:t>12</w:t>
        </w:r>
        <w:r w:rsidR="007537A8">
          <w:rPr>
            <w:noProof/>
            <w:webHidden/>
          </w:rPr>
          <w:fldChar w:fldCharType="end"/>
        </w:r>
      </w:hyperlink>
    </w:p>
    <w:p w14:paraId="0EFAFA19" w14:textId="2BAA38CD" w:rsidR="007537A8" w:rsidRDefault="00091FED">
      <w:pPr>
        <w:pStyle w:val="Verzeichnis7"/>
        <w:tabs>
          <w:tab w:val="right" w:leader="dot" w:pos="7361"/>
        </w:tabs>
        <w:rPr>
          <w:noProof/>
          <w:sz w:val="22"/>
          <w:szCs w:val="22"/>
          <w:lang w:eastAsia="de-DE"/>
        </w:rPr>
      </w:pPr>
      <w:hyperlink w:anchor="_Toc22132941" w:history="1">
        <w:r w:rsidR="007537A8" w:rsidRPr="00226521">
          <w:rPr>
            <w:rStyle w:val="Hyperlink"/>
            <w:noProof/>
          </w:rPr>
          <w:t>a) Einschlägige Ermächtigungsgrundlage</w:t>
        </w:r>
        <w:r w:rsidR="007537A8">
          <w:rPr>
            <w:noProof/>
            <w:webHidden/>
          </w:rPr>
          <w:tab/>
        </w:r>
        <w:r w:rsidR="007537A8">
          <w:rPr>
            <w:noProof/>
            <w:webHidden/>
          </w:rPr>
          <w:fldChar w:fldCharType="begin"/>
        </w:r>
        <w:r w:rsidR="007537A8">
          <w:rPr>
            <w:noProof/>
            <w:webHidden/>
          </w:rPr>
          <w:instrText xml:space="preserve"> PAGEREF _Toc22132941 \h </w:instrText>
        </w:r>
        <w:r w:rsidR="007537A8">
          <w:rPr>
            <w:noProof/>
            <w:webHidden/>
          </w:rPr>
        </w:r>
        <w:r w:rsidR="007537A8">
          <w:rPr>
            <w:noProof/>
            <w:webHidden/>
          </w:rPr>
          <w:fldChar w:fldCharType="separate"/>
        </w:r>
        <w:r w:rsidR="007537A8">
          <w:rPr>
            <w:noProof/>
            <w:webHidden/>
          </w:rPr>
          <w:t>12</w:t>
        </w:r>
        <w:r w:rsidR="007537A8">
          <w:rPr>
            <w:noProof/>
            <w:webHidden/>
          </w:rPr>
          <w:fldChar w:fldCharType="end"/>
        </w:r>
      </w:hyperlink>
    </w:p>
    <w:p w14:paraId="4D59429C" w14:textId="42A7986A" w:rsidR="007537A8" w:rsidRDefault="00091FED">
      <w:pPr>
        <w:pStyle w:val="Verzeichnis7"/>
        <w:tabs>
          <w:tab w:val="right" w:leader="dot" w:pos="7361"/>
        </w:tabs>
        <w:rPr>
          <w:noProof/>
          <w:sz w:val="22"/>
          <w:szCs w:val="22"/>
          <w:lang w:eastAsia="de-DE"/>
        </w:rPr>
      </w:pPr>
      <w:hyperlink w:anchor="_Toc22132942" w:history="1">
        <w:r w:rsidR="007537A8" w:rsidRPr="00226521">
          <w:rPr>
            <w:rStyle w:val="Hyperlink"/>
            <w:noProof/>
          </w:rPr>
          <w:t>b) Austausch der Ermächtigungsgrundlage</w:t>
        </w:r>
        <w:r w:rsidR="007537A8">
          <w:rPr>
            <w:noProof/>
            <w:webHidden/>
          </w:rPr>
          <w:tab/>
        </w:r>
        <w:r w:rsidR="007537A8">
          <w:rPr>
            <w:noProof/>
            <w:webHidden/>
          </w:rPr>
          <w:fldChar w:fldCharType="begin"/>
        </w:r>
        <w:r w:rsidR="007537A8">
          <w:rPr>
            <w:noProof/>
            <w:webHidden/>
          </w:rPr>
          <w:instrText xml:space="preserve"> PAGEREF _Toc22132942 \h </w:instrText>
        </w:r>
        <w:r w:rsidR="007537A8">
          <w:rPr>
            <w:noProof/>
            <w:webHidden/>
          </w:rPr>
        </w:r>
        <w:r w:rsidR="007537A8">
          <w:rPr>
            <w:noProof/>
            <w:webHidden/>
          </w:rPr>
          <w:fldChar w:fldCharType="separate"/>
        </w:r>
        <w:r w:rsidR="007537A8">
          <w:rPr>
            <w:noProof/>
            <w:webHidden/>
          </w:rPr>
          <w:t>12</w:t>
        </w:r>
        <w:r w:rsidR="007537A8">
          <w:rPr>
            <w:noProof/>
            <w:webHidden/>
          </w:rPr>
          <w:fldChar w:fldCharType="end"/>
        </w:r>
      </w:hyperlink>
    </w:p>
    <w:p w14:paraId="745D36FB" w14:textId="0CCC1C7B" w:rsidR="007537A8" w:rsidRDefault="00091FED">
      <w:pPr>
        <w:pStyle w:val="Verzeichnis6"/>
        <w:tabs>
          <w:tab w:val="right" w:leader="dot" w:pos="7361"/>
        </w:tabs>
        <w:rPr>
          <w:noProof/>
          <w:sz w:val="22"/>
          <w:szCs w:val="22"/>
          <w:lang w:eastAsia="de-DE"/>
        </w:rPr>
      </w:pPr>
      <w:hyperlink w:anchor="_Toc22132943" w:history="1">
        <w:r w:rsidR="007537A8" w:rsidRPr="00226521">
          <w:rPr>
            <w:rStyle w:val="Hyperlink"/>
            <w:noProof/>
          </w:rPr>
          <w:t>2. Formelle Rechtmäßigkeit</w:t>
        </w:r>
        <w:r w:rsidR="007537A8">
          <w:rPr>
            <w:noProof/>
            <w:webHidden/>
          </w:rPr>
          <w:tab/>
        </w:r>
        <w:r w:rsidR="007537A8">
          <w:rPr>
            <w:noProof/>
            <w:webHidden/>
          </w:rPr>
          <w:fldChar w:fldCharType="begin"/>
        </w:r>
        <w:r w:rsidR="007537A8">
          <w:rPr>
            <w:noProof/>
            <w:webHidden/>
          </w:rPr>
          <w:instrText xml:space="preserve"> PAGEREF _Toc22132943 \h </w:instrText>
        </w:r>
        <w:r w:rsidR="007537A8">
          <w:rPr>
            <w:noProof/>
            <w:webHidden/>
          </w:rPr>
        </w:r>
        <w:r w:rsidR="007537A8">
          <w:rPr>
            <w:noProof/>
            <w:webHidden/>
          </w:rPr>
          <w:fldChar w:fldCharType="separate"/>
        </w:r>
        <w:r w:rsidR="007537A8">
          <w:rPr>
            <w:noProof/>
            <w:webHidden/>
          </w:rPr>
          <w:t>13</w:t>
        </w:r>
        <w:r w:rsidR="007537A8">
          <w:rPr>
            <w:noProof/>
            <w:webHidden/>
          </w:rPr>
          <w:fldChar w:fldCharType="end"/>
        </w:r>
      </w:hyperlink>
    </w:p>
    <w:p w14:paraId="371332FF" w14:textId="67770EAA" w:rsidR="007537A8" w:rsidRDefault="00091FED">
      <w:pPr>
        <w:pStyle w:val="Verzeichnis7"/>
        <w:tabs>
          <w:tab w:val="right" w:leader="dot" w:pos="7361"/>
        </w:tabs>
        <w:rPr>
          <w:noProof/>
          <w:sz w:val="22"/>
          <w:szCs w:val="22"/>
          <w:lang w:eastAsia="de-DE"/>
        </w:rPr>
      </w:pPr>
      <w:hyperlink w:anchor="_Toc22132944" w:history="1">
        <w:r w:rsidR="007537A8" w:rsidRPr="00226521">
          <w:rPr>
            <w:rStyle w:val="Hyperlink"/>
            <w:noProof/>
          </w:rPr>
          <w:t>a) Zuständigkeit</w:t>
        </w:r>
        <w:r w:rsidR="007537A8">
          <w:rPr>
            <w:noProof/>
            <w:webHidden/>
          </w:rPr>
          <w:tab/>
        </w:r>
        <w:r w:rsidR="007537A8">
          <w:rPr>
            <w:noProof/>
            <w:webHidden/>
          </w:rPr>
          <w:fldChar w:fldCharType="begin"/>
        </w:r>
        <w:r w:rsidR="007537A8">
          <w:rPr>
            <w:noProof/>
            <w:webHidden/>
          </w:rPr>
          <w:instrText xml:space="preserve"> PAGEREF _Toc22132944 \h </w:instrText>
        </w:r>
        <w:r w:rsidR="007537A8">
          <w:rPr>
            <w:noProof/>
            <w:webHidden/>
          </w:rPr>
        </w:r>
        <w:r w:rsidR="007537A8">
          <w:rPr>
            <w:noProof/>
            <w:webHidden/>
          </w:rPr>
          <w:fldChar w:fldCharType="separate"/>
        </w:r>
        <w:r w:rsidR="007537A8">
          <w:rPr>
            <w:noProof/>
            <w:webHidden/>
          </w:rPr>
          <w:t>13</w:t>
        </w:r>
        <w:r w:rsidR="007537A8">
          <w:rPr>
            <w:noProof/>
            <w:webHidden/>
          </w:rPr>
          <w:fldChar w:fldCharType="end"/>
        </w:r>
      </w:hyperlink>
    </w:p>
    <w:p w14:paraId="76982531" w14:textId="47AD6A57" w:rsidR="007537A8" w:rsidRDefault="00091FED">
      <w:pPr>
        <w:pStyle w:val="Verzeichnis7"/>
        <w:tabs>
          <w:tab w:val="right" w:leader="dot" w:pos="7361"/>
        </w:tabs>
        <w:rPr>
          <w:noProof/>
          <w:sz w:val="22"/>
          <w:szCs w:val="22"/>
          <w:lang w:eastAsia="de-DE"/>
        </w:rPr>
      </w:pPr>
      <w:hyperlink w:anchor="_Toc22132945" w:history="1">
        <w:r w:rsidR="007537A8" w:rsidRPr="00226521">
          <w:rPr>
            <w:rStyle w:val="Hyperlink"/>
            <w:noProof/>
          </w:rPr>
          <w:t>b) Verfahren</w:t>
        </w:r>
        <w:r w:rsidR="007537A8">
          <w:rPr>
            <w:noProof/>
            <w:webHidden/>
          </w:rPr>
          <w:tab/>
        </w:r>
        <w:r w:rsidR="007537A8">
          <w:rPr>
            <w:noProof/>
            <w:webHidden/>
          </w:rPr>
          <w:fldChar w:fldCharType="begin"/>
        </w:r>
        <w:r w:rsidR="007537A8">
          <w:rPr>
            <w:noProof/>
            <w:webHidden/>
          </w:rPr>
          <w:instrText xml:space="preserve"> PAGEREF _Toc22132945 \h </w:instrText>
        </w:r>
        <w:r w:rsidR="007537A8">
          <w:rPr>
            <w:noProof/>
            <w:webHidden/>
          </w:rPr>
        </w:r>
        <w:r w:rsidR="007537A8">
          <w:rPr>
            <w:noProof/>
            <w:webHidden/>
          </w:rPr>
          <w:fldChar w:fldCharType="separate"/>
        </w:r>
        <w:r w:rsidR="007537A8">
          <w:rPr>
            <w:noProof/>
            <w:webHidden/>
          </w:rPr>
          <w:t>13</w:t>
        </w:r>
        <w:r w:rsidR="007537A8">
          <w:rPr>
            <w:noProof/>
            <w:webHidden/>
          </w:rPr>
          <w:fldChar w:fldCharType="end"/>
        </w:r>
      </w:hyperlink>
    </w:p>
    <w:p w14:paraId="45D7D0B8" w14:textId="506DE21B" w:rsidR="007537A8" w:rsidRDefault="00091FED">
      <w:pPr>
        <w:pStyle w:val="Verzeichnis8"/>
        <w:tabs>
          <w:tab w:val="right" w:leader="dot" w:pos="7361"/>
        </w:tabs>
        <w:rPr>
          <w:noProof/>
          <w:sz w:val="22"/>
          <w:szCs w:val="22"/>
          <w:lang w:eastAsia="de-DE"/>
        </w:rPr>
      </w:pPr>
      <w:hyperlink w:anchor="_Toc22132946" w:history="1">
        <w:r w:rsidR="007537A8" w:rsidRPr="00226521">
          <w:rPr>
            <w:rStyle w:val="Hyperlink"/>
            <w:noProof/>
          </w:rPr>
          <w:t>aa) Entbehrlichkeit der Anhörung</w:t>
        </w:r>
        <w:r w:rsidR="007537A8">
          <w:rPr>
            <w:noProof/>
            <w:webHidden/>
          </w:rPr>
          <w:tab/>
        </w:r>
        <w:r w:rsidR="007537A8">
          <w:rPr>
            <w:noProof/>
            <w:webHidden/>
          </w:rPr>
          <w:fldChar w:fldCharType="begin"/>
        </w:r>
        <w:r w:rsidR="007537A8">
          <w:rPr>
            <w:noProof/>
            <w:webHidden/>
          </w:rPr>
          <w:instrText xml:space="preserve"> PAGEREF _Toc22132946 \h </w:instrText>
        </w:r>
        <w:r w:rsidR="007537A8">
          <w:rPr>
            <w:noProof/>
            <w:webHidden/>
          </w:rPr>
        </w:r>
        <w:r w:rsidR="007537A8">
          <w:rPr>
            <w:noProof/>
            <w:webHidden/>
          </w:rPr>
          <w:fldChar w:fldCharType="separate"/>
        </w:r>
        <w:r w:rsidR="007537A8">
          <w:rPr>
            <w:noProof/>
            <w:webHidden/>
          </w:rPr>
          <w:t>13</w:t>
        </w:r>
        <w:r w:rsidR="007537A8">
          <w:rPr>
            <w:noProof/>
            <w:webHidden/>
          </w:rPr>
          <w:fldChar w:fldCharType="end"/>
        </w:r>
      </w:hyperlink>
    </w:p>
    <w:p w14:paraId="036F0FDE" w14:textId="1FDDD2B8" w:rsidR="007537A8" w:rsidRDefault="00091FED">
      <w:pPr>
        <w:pStyle w:val="Verzeichnis8"/>
        <w:tabs>
          <w:tab w:val="right" w:leader="dot" w:pos="7361"/>
        </w:tabs>
        <w:rPr>
          <w:noProof/>
          <w:sz w:val="22"/>
          <w:szCs w:val="22"/>
          <w:lang w:eastAsia="de-DE"/>
        </w:rPr>
      </w:pPr>
      <w:hyperlink w:anchor="_Toc22132947" w:history="1">
        <w:r w:rsidR="007537A8" w:rsidRPr="00226521">
          <w:rPr>
            <w:rStyle w:val="Hyperlink"/>
            <w:noProof/>
          </w:rPr>
          <w:t>bb) Heilung der fehlenden Anhörung</w:t>
        </w:r>
        <w:r w:rsidR="007537A8">
          <w:rPr>
            <w:noProof/>
            <w:webHidden/>
          </w:rPr>
          <w:tab/>
        </w:r>
        <w:r w:rsidR="007537A8">
          <w:rPr>
            <w:noProof/>
            <w:webHidden/>
          </w:rPr>
          <w:fldChar w:fldCharType="begin"/>
        </w:r>
        <w:r w:rsidR="007537A8">
          <w:rPr>
            <w:noProof/>
            <w:webHidden/>
          </w:rPr>
          <w:instrText xml:space="preserve"> PAGEREF _Toc22132947 \h </w:instrText>
        </w:r>
        <w:r w:rsidR="007537A8">
          <w:rPr>
            <w:noProof/>
            <w:webHidden/>
          </w:rPr>
        </w:r>
        <w:r w:rsidR="007537A8">
          <w:rPr>
            <w:noProof/>
            <w:webHidden/>
          </w:rPr>
          <w:fldChar w:fldCharType="separate"/>
        </w:r>
        <w:r w:rsidR="007537A8">
          <w:rPr>
            <w:noProof/>
            <w:webHidden/>
          </w:rPr>
          <w:t>14</w:t>
        </w:r>
        <w:r w:rsidR="007537A8">
          <w:rPr>
            <w:noProof/>
            <w:webHidden/>
          </w:rPr>
          <w:fldChar w:fldCharType="end"/>
        </w:r>
      </w:hyperlink>
    </w:p>
    <w:p w14:paraId="56C07623" w14:textId="2976C7AB" w:rsidR="007537A8" w:rsidRDefault="00091FED">
      <w:pPr>
        <w:pStyle w:val="Verzeichnis7"/>
        <w:tabs>
          <w:tab w:val="right" w:leader="dot" w:pos="7361"/>
        </w:tabs>
        <w:rPr>
          <w:noProof/>
          <w:sz w:val="22"/>
          <w:szCs w:val="22"/>
          <w:lang w:eastAsia="de-DE"/>
        </w:rPr>
      </w:pPr>
      <w:hyperlink w:anchor="_Toc22132948" w:history="1">
        <w:r w:rsidR="007537A8" w:rsidRPr="00226521">
          <w:rPr>
            <w:rStyle w:val="Hyperlink"/>
            <w:noProof/>
          </w:rPr>
          <w:t>c) Form</w:t>
        </w:r>
        <w:r w:rsidR="007537A8">
          <w:rPr>
            <w:noProof/>
            <w:webHidden/>
          </w:rPr>
          <w:tab/>
        </w:r>
        <w:r w:rsidR="007537A8">
          <w:rPr>
            <w:noProof/>
            <w:webHidden/>
          </w:rPr>
          <w:fldChar w:fldCharType="begin"/>
        </w:r>
        <w:r w:rsidR="007537A8">
          <w:rPr>
            <w:noProof/>
            <w:webHidden/>
          </w:rPr>
          <w:instrText xml:space="preserve"> PAGEREF _Toc22132948 \h </w:instrText>
        </w:r>
        <w:r w:rsidR="007537A8">
          <w:rPr>
            <w:noProof/>
            <w:webHidden/>
          </w:rPr>
        </w:r>
        <w:r w:rsidR="007537A8">
          <w:rPr>
            <w:noProof/>
            <w:webHidden/>
          </w:rPr>
          <w:fldChar w:fldCharType="separate"/>
        </w:r>
        <w:r w:rsidR="007537A8">
          <w:rPr>
            <w:noProof/>
            <w:webHidden/>
          </w:rPr>
          <w:t>14</w:t>
        </w:r>
        <w:r w:rsidR="007537A8">
          <w:rPr>
            <w:noProof/>
            <w:webHidden/>
          </w:rPr>
          <w:fldChar w:fldCharType="end"/>
        </w:r>
      </w:hyperlink>
    </w:p>
    <w:p w14:paraId="3081094A" w14:textId="6D57B353" w:rsidR="007537A8" w:rsidRDefault="00091FED">
      <w:pPr>
        <w:pStyle w:val="Verzeichnis6"/>
        <w:tabs>
          <w:tab w:val="right" w:leader="dot" w:pos="7361"/>
        </w:tabs>
        <w:rPr>
          <w:noProof/>
          <w:sz w:val="22"/>
          <w:szCs w:val="22"/>
          <w:lang w:eastAsia="de-DE"/>
        </w:rPr>
      </w:pPr>
      <w:hyperlink w:anchor="_Toc22132949" w:history="1">
        <w:r w:rsidR="007537A8" w:rsidRPr="00226521">
          <w:rPr>
            <w:rStyle w:val="Hyperlink"/>
            <w:noProof/>
          </w:rPr>
          <w:t>3. Materielle Rechtmäßigkeit</w:t>
        </w:r>
        <w:r w:rsidR="007537A8">
          <w:rPr>
            <w:noProof/>
            <w:webHidden/>
          </w:rPr>
          <w:tab/>
        </w:r>
        <w:r w:rsidR="007537A8">
          <w:rPr>
            <w:noProof/>
            <w:webHidden/>
          </w:rPr>
          <w:fldChar w:fldCharType="begin"/>
        </w:r>
        <w:r w:rsidR="007537A8">
          <w:rPr>
            <w:noProof/>
            <w:webHidden/>
          </w:rPr>
          <w:instrText xml:space="preserve"> PAGEREF _Toc22132949 \h </w:instrText>
        </w:r>
        <w:r w:rsidR="007537A8">
          <w:rPr>
            <w:noProof/>
            <w:webHidden/>
          </w:rPr>
        </w:r>
        <w:r w:rsidR="007537A8">
          <w:rPr>
            <w:noProof/>
            <w:webHidden/>
          </w:rPr>
          <w:fldChar w:fldCharType="separate"/>
        </w:r>
        <w:r w:rsidR="007537A8">
          <w:rPr>
            <w:noProof/>
            <w:webHidden/>
          </w:rPr>
          <w:t>14</w:t>
        </w:r>
        <w:r w:rsidR="007537A8">
          <w:rPr>
            <w:noProof/>
            <w:webHidden/>
          </w:rPr>
          <w:fldChar w:fldCharType="end"/>
        </w:r>
      </w:hyperlink>
    </w:p>
    <w:p w14:paraId="614E16ED" w14:textId="4D9B9612" w:rsidR="007537A8" w:rsidRDefault="00091FED">
      <w:pPr>
        <w:pStyle w:val="Verzeichnis7"/>
        <w:tabs>
          <w:tab w:val="right" w:leader="dot" w:pos="7361"/>
        </w:tabs>
        <w:rPr>
          <w:noProof/>
          <w:sz w:val="22"/>
          <w:szCs w:val="22"/>
          <w:lang w:eastAsia="de-DE"/>
        </w:rPr>
      </w:pPr>
      <w:hyperlink w:anchor="_Toc22132950" w:history="1">
        <w:r w:rsidR="007537A8" w:rsidRPr="00226521">
          <w:rPr>
            <w:rStyle w:val="Hyperlink"/>
            <w:noProof/>
          </w:rPr>
          <w:t>a) Tatbestand</w:t>
        </w:r>
        <w:r w:rsidR="007537A8">
          <w:rPr>
            <w:noProof/>
            <w:webHidden/>
          </w:rPr>
          <w:tab/>
        </w:r>
        <w:r w:rsidR="007537A8">
          <w:rPr>
            <w:noProof/>
            <w:webHidden/>
          </w:rPr>
          <w:fldChar w:fldCharType="begin"/>
        </w:r>
        <w:r w:rsidR="007537A8">
          <w:rPr>
            <w:noProof/>
            <w:webHidden/>
          </w:rPr>
          <w:instrText xml:space="preserve"> PAGEREF _Toc22132950 \h </w:instrText>
        </w:r>
        <w:r w:rsidR="007537A8">
          <w:rPr>
            <w:noProof/>
            <w:webHidden/>
          </w:rPr>
        </w:r>
        <w:r w:rsidR="007537A8">
          <w:rPr>
            <w:noProof/>
            <w:webHidden/>
          </w:rPr>
          <w:fldChar w:fldCharType="separate"/>
        </w:r>
        <w:r w:rsidR="007537A8">
          <w:rPr>
            <w:noProof/>
            <w:webHidden/>
          </w:rPr>
          <w:t>14</w:t>
        </w:r>
        <w:r w:rsidR="007537A8">
          <w:rPr>
            <w:noProof/>
            <w:webHidden/>
          </w:rPr>
          <w:fldChar w:fldCharType="end"/>
        </w:r>
      </w:hyperlink>
    </w:p>
    <w:p w14:paraId="0BD26109" w14:textId="1C5FA747" w:rsidR="007537A8" w:rsidRDefault="00091FED">
      <w:pPr>
        <w:pStyle w:val="Verzeichnis8"/>
        <w:tabs>
          <w:tab w:val="right" w:leader="dot" w:pos="7361"/>
        </w:tabs>
        <w:rPr>
          <w:noProof/>
          <w:sz w:val="22"/>
          <w:szCs w:val="22"/>
          <w:lang w:eastAsia="de-DE"/>
        </w:rPr>
      </w:pPr>
      <w:hyperlink w:anchor="_Toc22132951" w:history="1">
        <w:r w:rsidR="007537A8" w:rsidRPr="00226521">
          <w:rPr>
            <w:rStyle w:val="Hyperlink"/>
            <w:noProof/>
          </w:rPr>
          <w:t>aa) Öffentliche Sicherheit und Ordnung</w:t>
        </w:r>
        <w:r w:rsidR="007537A8">
          <w:rPr>
            <w:noProof/>
            <w:webHidden/>
          </w:rPr>
          <w:tab/>
        </w:r>
        <w:r w:rsidR="007537A8">
          <w:rPr>
            <w:noProof/>
            <w:webHidden/>
          </w:rPr>
          <w:fldChar w:fldCharType="begin"/>
        </w:r>
        <w:r w:rsidR="007537A8">
          <w:rPr>
            <w:noProof/>
            <w:webHidden/>
          </w:rPr>
          <w:instrText xml:space="preserve"> PAGEREF _Toc22132951 \h </w:instrText>
        </w:r>
        <w:r w:rsidR="007537A8">
          <w:rPr>
            <w:noProof/>
            <w:webHidden/>
          </w:rPr>
        </w:r>
        <w:r w:rsidR="007537A8">
          <w:rPr>
            <w:noProof/>
            <w:webHidden/>
          </w:rPr>
          <w:fldChar w:fldCharType="separate"/>
        </w:r>
        <w:r w:rsidR="007537A8">
          <w:rPr>
            <w:noProof/>
            <w:webHidden/>
          </w:rPr>
          <w:t>14</w:t>
        </w:r>
        <w:r w:rsidR="007537A8">
          <w:rPr>
            <w:noProof/>
            <w:webHidden/>
          </w:rPr>
          <w:fldChar w:fldCharType="end"/>
        </w:r>
      </w:hyperlink>
    </w:p>
    <w:p w14:paraId="20E14F11" w14:textId="1210BC2A" w:rsidR="007537A8" w:rsidRDefault="00091FED">
      <w:pPr>
        <w:pStyle w:val="Verzeichnis8"/>
        <w:tabs>
          <w:tab w:val="right" w:leader="dot" w:pos="7361"/>
        </w:tabs>
        <w:rPr>
          <w:noProof/>
          <w:sz w:val="22"/>
          <w:szCs w:val="22"/>
          <w:lang w:eastAsia="de-DE"/>
        </w:rPr>
      </w:pPr>
      <w:hyperlink w:anchor="_Toc22132952" w:history="1">
        <w:r w:rsidR="007537A8" w:rsidRPr="00226521">
          <w:rPr>
            <w:rStyle w:val="Hyperlink"/>
            <w:noProof/>
          </w:rPr>
          <w:t>bb) Gefahr</w:t>
        </w:r>
        <w:r w:rsidR="007537A8">
          <w:rPr>
            <w:noProof/>
            <w:webHidden/>
          </w:rPr>
          <w:tab/>
        </w:r>
        <w:r w:rsidR="007537A8">
          <w:rPr>
            <w:noProof/>
            <w:webHidden/>
          </w:rPr>
          <w:fldChar w:fldCharType="begin"/>
        </w:r>
        <w:r w:rsidR="007537A8">
          <w:rPr>
            <w:noProof/>
            <w:webHidden/>
          </w:rPr>
          <w:instrText xml:space="preserve"> PAGEREF _Toc22132952 \h </w:instrText>
        </w:r>
        <w:r w:rsidR="007537A8">
          <w:rPr>
            <w:noProof/>
            <w:webHidden/>
          </w:rPr>
        </w:r>
        <w:r w:rsidR="007537A8">
          <w:rPr>
            <w:noProof/>
            <w:webHidden/>
          </w:rPr>
          <w:fldChar w:fldCharType="separate"/>
        </w:r>
        <w:r w:rsidR="007537A8">
          <w:rPr>
            <w:noProof/>
            <w:webHidden/>
          </w:rPr>
          <w:t>15</w:t>
        </w:r>
        <w:r w:rsidR="007537A8">
          <w:rPr>
            <w:noProof/>
            <w:webHidden/>
          </w:rPr>
          <w:fldChar w:fldCharType="end"/>
        </w:r>
      </w:hyperlink>
    </w:p>
    <w:p w14:paraId="7EA30CDF" w14:textId="5B8E84D6" w:rsidR="007537A8" w:rsidRDefault="00091FED">
      <w:pPr>
        <w:pStyle w:val="Verzeichnis8"/>
        <w:tabs>
          <w:tab w:val="right" w:leader="dot" w:pos="7361"/>
        </w:tabs>
        <w:rPr>
          <w:noProof/>
          <w:sz w:val="22"/>
          <w:szCs w:val="22"/>
          <w:lang w:eastAsia="de-DE"/>
        </w:rPr>
      </w:pPr>
      <w:hyperlink w:anchor="_Toc22132953" w:history="1">
        <w:r w:rsidR="007537A8" w:rsidRPr="00226521">
          <w:rPr>
            <w:rStyle w:val="Hyperlink"/>
            <w:noProof/>
          </w:rPr>
          <w:t>cc) Verantwortlichkeit</w:t>
        </w:r>
        <w:r w:rsidR="007537A8">
          <w:rPr>
            <w:noProof/>
            <w:webHidden/>
          </w:rPr>
          <w:tab/>
        </w:r>
        <w:r w:rsidR="007537A8">
          <w:rPr>
            <w:noProof/>
            <w:webHidden/>
          </w:rPr>
          <w:fldChar w:fldCharType="begin"/>
        </w:r>
        <w:r w:rsidR="007537A8">
          <w:rPr>
            <w:noProof/>
            <w:webHidden/>
          </w:rPr>
          <w:instrText xml:space="preserve"> PAGEREF _Toc22132953 \h </w:instrText>
        </w:r>
        <w:r w:rsidR="007537A8">
          <w:rPr>
            <w:noProof/>
            <w:webHidden/>
          </w:rPr>
        </w:r>
        <w:r w:rsidR="007537A8">
          <w:rPr>
            <w:noProof/>
            <w:webHidden/>
          </w:rPr>
          <w:fldChar w:fldCharType="separate"/>
        </w:r>
        <w:r w:rsidR="007537A8">
          <w:rPr>
            <w:noProof/>
            <w:webHidden/>
          </w:rPr>
          <w:t>15</w:t>
        </w:r>
        <w:r w:rsidR="007537A8">
          <w:rPr>
            <w:noProof/>
            <w:webHidden/>
          </w:rPr>
          <w:fldChar w:fldCharType="end"/>
        </w:r>
      </w:hyperlink>
    </w:p>
    <w:p w14:paraId="5031D513" w14:textId="7B9164B7" w:rsidR="007537A8" w:rsidRDefault="00091FED">
      <w:pPr>
        <w:pStyle w:val="Verzeichnis9"/>
        <w:tabs>
          <w:tab w:val="right" w:leader="dot" w:pos="7361"/>
        </w:tabs>
        <w:rPr>
          <w:noProof/>
          <w:sz w:val="22"/>
          <w:szCs w:val="22"/>
          <w:lang w:eastAsia="de-DE"/>
        </w:rPr>
      </w:pPr>
      <w:hyperlink w:anchor="_Toc22132954" w:history="1">
        <w:r w:rsidR="007537A8" w:rsidRPr="00226521">
          <w:rPr>
            <w:rStyle w:val="Hyperlink"/>
            <w:noProof/>
          </w:rPr>
          <w:t>(1) Verantwortlichkeit als Eigentümerin</w:t>
        </w:r>
        <w:r w:rsidR="007537A8">
          <w:rPr>
            <w:noProof/>
            <w:webHidden/>
          </w:rPr>
          <w:tab/>
        </w:r>
        <w:r w:rsidR="007537A8">
          <w:rPr>
            <w:noProof/>
            <w:webHidden/>
          </w:rPr>
          <w:fldChar w:fldCharType="begin"/>
        </w:r>
        <w:r w:rsidR="007537A8">
          <w:rPr>
            <w:noProof/>
            <w:webHidden/>
          </w:rPr>
          <w:instrText xml:space="preserve"> PAGEREF _Toc22132954 \h </w:instrText>
        </w:r>
        <w:r w:rsidR="007537A8">
          <w:rPr>
            <w:noProof/>
            <w:webHidden/>
          </w:rPr>
        </w:r>
        <w:r w:rsidR="007537A8">
          <w:rPr>
            <w:noProof/>
            <w:webHidden/>
          </w:rPr>
          <w:fldChar w:fldCharType="separate"/>
        </w:r>
        <w:r w:rsidR="007537A8">
          <w:rPr>
            <w:noProof/>
            <w:webHidden/>
          </w:rPr>
          <w:t>16</w:t>
        </w:r>
        <w:r w:rsidR="007537A8">
          <w:rPr>
            <w:noProof/>
            <w:webHidden/>
          </w:rPr>
          <w:fldChar w:fldCharType="end"/>
        </w:r>
      </w:hyperlink>
    </w:p>
    <w:p w14:paraId="22C822BB" w14:textId="0EF371B3" w:rsidR="007537A8" w:rsidRDefault="00091FED">
      <w:pPr>
        <w:pStyle w:val="Verzeichnis9"/>
        <w:tabs>
          <w:tab w:val="right" w:leader="dot" w:pos="7361"/>
        </w:tabs>
        <w:rPr>
          <w:noProof/>
          <w:sz w:val="22"/>
          <w:szCs w:val="22"/>
          <w:lang w:eastAsia="de-DE"/>
        </w:rPr>
      </w:pPr>
      <w:hyperlink w:anchor="_Toc22132955" w:history="1">
        <w:r w:rsidR="007537A8" w:rsidRPr="00226521">
          <w:rPr>
            <w:rStyle w:val="Hyperlink"/>
            <w:noProof/>
          </w:rPr>
          <w:t>(2) Ausschluss der Verantwortlichkeit durch Handlung des Bezirksamts</w:t>
        </w:r>
        <w:r w:rsidR="007537A8">
          <w:rPr>
            <w:noProof/>
            <w:webHidden/>
          </w:rPr>
          <w:tab/>
        </w:r>
        <w:r w:rsidR="007537A8">
          <w:rPr>
            <w:noProof/>
            <w:webHidden/>
          </w:rPr>
          <w:fldChar w:fldCharType="begin"/>
        </w:r>
        <w:r w:rsidR="007537A8">
          <w:rPr>
            <w:noProof/>
            <w:webHidden/>
          </w:rPr>
          <w:instrText xml:space="preserve"> PAGEREF _Toc22132955 \h </w:instrText>
        </w:r>
        <w:r w:rsidR="007537A8">
          <w:rPr>
            <w:noProof/>
            <w:webHidden/>
          </w:rPr>
        </w:r>
        <w:r w:rsidR="007537A8">
          <w:rPr>
            <w:noProof/>
            <w:webHidden/>
          </w:rPr>
          <w:fldChar w:fldCharType="separate"/>
        </w:r>
        <w:r w:rsidR="007537A8">
          <w:rPr>
            <w:noProof/>
            <w:webHidden/>
          </w:rPr>
          <w:t>16</w:t>
        </w:r>
        <w:r w:rsidR="007537A8">
          <w:rPr>
            <w:noProof/>
            <w:webHidden/>
          </w:rPr>
          <w:fldChar w:fldCharType="end"/>
        </w:r>
      </w:hyperlink>
    </w:p>
    <w:p w14:paraId="72E917D4" w14:textId="138D7DDE" w:rsidR="007537A8" w:rsidRDefault="00091FED">
      <w:pPr>
        <w:pStyle w:val="Verzeichnis9"/>
        <w:tabs>
          <w:tab w:val="right" w:leader="dot" w:pos="7361"/>
        </w:tabs>
        <w:rPr>
          <w:noProof/>
          <w:sz w:val="22"/>
          <w:szCs w:val="22"/>
          <w:lang w:eastAsia="de-DE"/>
        </w:rPr>
      </w:pPr>
      <w:hyperlink w:anchor="_Toc22132956" w:history="1">
        <w:r w:rsidR="007537A8" w:rsidRPr="00226521">
          <w:rPr>
            <w:rStyle w:val="Hyperlink"/>
            <w:noProof/>
          </w:rPr>
          <w:t>(3) Ausschluss der Verantwortlichkeit durch Verhalten Dritter</w:t>
        </w:r>
        <w:r w:rsidR="007537A8">
          <w:rPr>
            <w:noProof/>
            <w:webHidden/>
          </w:rPr>
          <w:tab/>
        </w:r>
        <w:r w:rsidR="007537A8">
          <w:rPr>
            <w:noProof/>
            <w:webHidden/>
          </w:rPr>
          <w:fldChar w:fldCharType="begin"/>
        </w:r>
        <w:r w:rsidR="007537A8">
          <w:rPr>
            <w:noProof/>
            <w:webHidden/>
          </w:rPr>
          <w:instrText xml:space="preserve"> PAGEREF _Toc22132956 \h </w:instrText>
        </w:r>
        <w:r w:rsidR="007537A8">
          <w:rPr>
            <w:noProof/>
            <w:webHidden/>
          </w:rPr>
        </w:r>
        <w:r w:rsidR="007537A8">
          <w:rPr>
            <w:noProof/>
            <w:webHidden/>
          </w:rPr>
          <w:fldChar w:fldCharType="separate"/>
        </w:r>
        <w:r w:rsidR="007537A8">
          <w:rPr>
            <w:noProof/>
            <w:webHidden/>
          </w:rPr>
          <w:t>16</w:t>
        </w:r>
        <w:r w:rsidR="007537A8">
          <w:rPr>
            <w:noProof/>
            <w:webHidden/>
          </w:rPr>
          <w:fldChar w:fldCharType="end"/>
        </w:r>
      </w:hyperlink>
    </w:p>
    <w:p w14:paraId="73440D2F" w14:textId="38693616" w:rsidR="007537A8" w:rsidRDefault="00091FED">
      <w:pPr>
        <w:pStyle w:val="Verzeichnis7"/>
        <w:tabs>
          <w:tab w:val="right" w:leader="dot" w:pos="7361"/>
        </w:tabs>
        <w:rPr>
          <w:noProof/>
          <w:sz w:val="22"/>
          <w:szCs w:val="22"/>
          <w:lang w:eastAsia="de-DE"/>
        </w:rPr>
      </w:pPr>
      <w:hyperlink w:anchor="_Toc22132957" w:history="1">
        <w:r w:rsidR="007537A8" w:rsidRPr="00226521">
          <w:rPr>
            <w:rStyle w:val="Hyperlink"/>
            <w:noProof/>
          </w:rPr>
          <w:t>b) Rechtsfolge</w:t>
        </w:r>
        <w:r w:rsidR="007537A8">
          <w:rPr>
            <w:noProof/>
            <w:webHidden/>
          </w:rPr>
          <w:tab/>
        </w:r>
        <w:r w:rsidR="007537A8">
          <w:rPr>
            <w:noProof/>
            <w:webHidden/>
          </w:rPr>
          <w:fldChar w:fldCharType="begin"/>
        </w:r>
        <w:r w:rsidR="007537A8">
          <w:rPr>
            <w:noProof/>
            <w:webHidden/>
          </w:rPr>
          <w:instrText xml:space="preserve"> PAGEREF _Toc22132957 \h </w:instrText>
        </w:r>
        <w:r w:rsidR="007537A8">
          <w:rPr>
            <w:noProof/>
            <w:webHidden/>
          </w:rPr>
        </w:r>
        <w:r w:rsidR="007537A8">
          <w:rPr>
            <w:noProof/>
            <w:webHidden/>
          </w:rPr>
          <w:fldChar w:fldCharType="separate"/>
        </w:r>
        <w:r w:rsidR="007537A8">
          <w:rPr>
            <w:noProof/>
            <w:webHidden/>
          </w:rPr>
          <w:t>17</w:t>
        </w:r>
        <w:r w:rsidR="007537A8">
          <w:rPr>
            <w:noProof/>
            <w:webHidden/>
          </w:rPr>
          <w:fldChar w:fldCharType="end"/>
        </w:r>
      </w:hyperlink>
    </w:p>
    <w:p w14:paraId="14BAB6F1" w14:textId="384CD922" w:rsidR="007537A8" w:rsidRDefault="00091FED">
      <w:pPr>
        <w:pStyle w:val="Verzeichnis8"/>
        <w:tabs>
          <w:tab w:val="right" w:leader="dot" w:pos="7361"/>
        </w:tabs>
        <w:rPr>
          <w:noProof/>
          <w:sz w:val="22"/>
          <w:szCs w:val="22"/>
          <w:lang w:eastAsia="de-DE"/>
        </w:rPr>
      </w:pPr>
      <w:hyperlink w:anchor="_Toc22132958" w:history="1">
        <w:r w:rsidR="007537A8" w:rsidRPr="00226521">
          <w:rPr>
            <w:rStyle w:val="Hyperlink"/>
            <w:noProof/>
          </w:rPr>
          <w:t>aa) Entschließungsermessen</w:t>
        </w:r>
        <w:r w:rsidR="007537A8">
          <w:rPr>
            <w:noProof/>
            <w:webHidden/>
          </w:rPr>
          <w:tab/>
        </w:r>
        <w:r w:rsidR="007537A8">
          <w:rPr>
            <w:noProof/>
            <w:webHidden/>
          </w:rPr>
          <w:fldChar w:fldCharType="begin"/>
        </w:r>
        <w:r w:rsidR="007537A8">
          <w:rPr>
            <w:noProof/>
            <w:webHidden/>
          </w:rPr>
          <w:instrText xml:space="preserve"> PAGEREF _Toc22132958 \h </w:instrText>
        </w:r>
        <w:r w:rsidR="007537A8">
          <w:rPr>
            <w:noProof/>
            <w:webHidden/>
          </w:rPr>
        </w:r>
        <w:r w:rsidR="007537A8">
          <w:rPr>
            <w:noProof/>
            <w:webHidden/>
          </w:rPr>
          <w:fldChar w:fldCharType="separate"/>
        </w:r>
        <w:r w:rsidR="007537A8">
          <w:rPr>
            <w:noProof/>
            <w:webHidden/>
          </w:rPr>
          <w:t>17</w:t>
        </w:r>
        <w:r w:rsidR="007537A8">
          <w:rPr>
            <w:noProof/>
            <w:webHidden/>
          </w:rPr>
          <w:fldChar w:fldCharType="end"/>
        </w:r>
      </w:hyperlink>
    </w:p>
    <w:p w14:paraId="5A09008F" w14:textId="482523CD" w:rsidR="007537A8" w:rsidRDefault="00091FED">
      <w:pPr>
        <w:pStyle w:val="Verzeichnis8"/>
        <w:tabs>
          <w:tab w:val="right" w:leader="dot" w:pos="7361"/>
        </w:tabs>
        <w:rPr>
          <w:noProof/>
          <w:sz w:val="22"/>
          <w:szCs w:val="22"/>
          <w:lang w:eastAsia="de-DE"/>
        </w:rPr>
      </w:pPr>
      <w:hyperlink w:anchor="_Toc22132959" w:history="1">
        <w:r w:rsidR="007537A8" w:rsidRPr="00226521">
          <w:rPr>
            <w:rStyle w:val="Hyperlink"/>
            <w:noProof/>
          </w:rPr>
          <w:t>bb) Auswahlermessen</w:t>
        </w:r>
        <w:r w:rsidR="007537A8">
          <w:rPr>
            <w:noProof/>
            <w:webHidden/>
          </w:rPr>
          <w:tab/>
        </w:r>
        <w:r w:rsidR="007537A8">
          <w:rPr>
            <w:noProof/>
            <w:webHidden/>
          </w:rPr>
          <w:fldChar w:fldCharType="begin"/>
        </w:r>
        <w:r w:rsidR="007537A8">
          <w:rPr>
            <w:noProof/>
            <w:webHidden/>
          </w:rPr>
          <w:instrText xml:space="preserve"> PAGEREF _Toc22132959 \h </w:instrText>
        </w:r>
        <w:r w:rsidR="007537A8">
          <w:rPr>
            <w:noProof/>
            <w:webHidden/>
          </w:rPr>
        </w:r>
        <w:r w:rsidR="007537A8">
          <w:rPr>
            <w:noProof/>
            <w:webHidden/>
          </w:rPr>
          <w:fldChar w:fldCharType="separate"/>
        </w:r>
        <w:r w:rsidR="007537A8">
          <w:rPr>
            <w:noProof/>
            <w:webHidden/>
          </w:rPr>
          <w:t>17</w:t>
        </w:r>
        <w:r w:rsidR="007537A8">
          <w:rPr>
            <w:noProof/>
            <w:webHidden/>
          </w:rPr>
          <w:fldChar w:fldCharType="end"/>
        </w:r>
      </w:hyperlink>
    </w:p>
    <w:p w14:paraId="266752F4" w14:textId="04A7BEF6" w:rsidR="007537A8" w:rsidRDefault="00091FED">
      <w:pPr>
        <w:pStyle w:val="Verzeichnis9"/>
        <w:tabs>
          <w:tab w:val="right" w:leader="dot" w:pos="7361"/>
        </w:tabs>
        <w:rPr>
          <w:noProof/>
          <w:sz w:val="22"/>
          <w:szCs w:val="22"/>
          <w:lang w:eastAsia="de-DE"/>
        </w:rPr>
      </w:pPr>
      <w:hyperlink w:anchor="_Toc22132960" w:history="1">
        <w:r w:rsidR="007537A8" w:rsidRPr="00226521">
          <w:rPr>
            <w:rStyle w:val="Hyperlink"/>
            <w:noProof/>
          </w:rPr>
          <w:t>(1) Bezüglich des Störers</w:t>
        </w:r>
        <w:r w:rsidR="007537A8">
          <w:rPr>
            <w:noProof/>
            <w:webHidden/>
          </w:rPr>
          <w:tab/>
        </w:r>
        <w:r w:rsidR="007537A8">
          <w:rPr>
            <w:noProof/>
            <w:webHidden/>
          </w:rPr>
          <w:fldChar w:fldCharType="begin"/>
        </w:r>
        <w:r w:rsidR="007537A8">
          <w:rPr>
            <w:noProof/>
            <w:webHidden/>
          </w:rPr>
          <w:instrText xml:space="preserve"> PAGEREF _Toc22132960 \h </w:instrText>
        </w:r>
        <w:r w:rsidR="007537A8">
          <w:rPr>
            <w:noProof/>
            <w:webHidden/>
          </w:rPr>
        </w:r>
        <w:r w:rsidR="007537A8">
          <w:rPr>
            <w:noProof/>
            <w:webHidden/>
          </w:rPr>
          <w:fldChar w:fldCharType="separate"/>
        </w:r>
        <w:r w:rsidR="007537A8">
          <w:rPr>
            <w:noProof/>
            <w:webHidden/>
          </w:rPr>
          <w:t>17</w:t>
        </w:r>
        <w:r w:rsidR="007537A8">
          <w:rPr>
            <w:noProof/>
            <w:webHidden/>
          </w:rPr>
          <w:fldChar w:fldCharType="end"/>
        </w:r>
      </w:hyperlink>
    </w:p>
    <w:p w14:paraId="64E62EC8" w14:textId="29261C7A" w:rsidR="007537A8" w:rsidRDefault="00091FED">
      <w:pPr>
        <w:pStyle w:val="Verzeichnis9"/>
        <w:tabs>
          <w:tab w:val="right" w:leader="dot" w:pos="7361"/>
        </w:tabs>
        <w:rPr>
          <w:noProof/>
          <w:sz w:val="22"/>
          <w:szCs w:val="22"/>
          <w:lang w:eastAsia="de-DE"/>
        </w:rPr>
      </w:pPr>
      <w:hyperlink w:anchor="_Toc22132961" w:history="1">
        <w:r w:rsidR="007537A8" w:rsidRPr="00226521">
          <w:rPr>
            <w:rStyle w:val="Hyperlink"/>
            <w:noProof/>
          </w:rPr>
          <w:t>(2) Bezüglich des Mittels</w:t>
        </w:r>
        <w:r w:rsidR="007537A8">
          <w:rPr>
            <w:noProof/>
            <w:webHidden/>
          </w:rPr>
          <w:tab/>
        </w:r>
        <w:r w:rsidR="007537A8">
          <w:rPr>
            <w:noProof/>
            <w:webHidden/>
          </w:rPr>
          <w:fldChar w:fldCharType="begin"/>
        </w:r>
        <w:r w:rsidR="007537A8">
          <w:rPr>
            <w:noProof/>
            <w:webHidden/>
          </w:rPr>
          <w:instrText xml:space="preserve"> PAGEREF _Toc22132961 \h </w:instrText>
        </w:r>
        <w:r w:rsidR="007537A8">
          <w:rPr>
            <w:noProof/>
            <w:webHidden/>
          </w:rPr>
        </w:r>
        <w:r w:rsidR="007537A8">
          <w:rPr>
            <w:noProof/>
            <w:webHidden/>
          </w:rPr>
          <w:fldChar w:fldCharType="separate"/>
        </w:r>
        <w:r w:rsidR="007537A8">
          <w:rPr>
            <w:noProof/>
            <w:webHidden/>
          </w:rPr>
          <w:t>18</w:t>
        </w:r>
        <w:r w:rsidR="007537A8">
          <w:rPr>
            <w:noProof/>
            <w:webHidden/>
          </w:rPr>
          <w:fldChar w:fldCharType="end"/>
        </w:r>
      </w:hyperlink>
    </w:p>
    <w:p w14:paraId="6D9DAE2F" w14:textId="647E16D1" w:rsidR="007537A8" w:rsidRDefault="00091FED">
      <w:pPr>
        <w:pStyle w:val="Verzeichnis5"/>
        <w:tabs>
          <w:tab w:val="right" w:leader="dot" w:pos="7361"/>
        </w:tabs>
        <w:rPr>
          <w:rFonts w:eastAsiaTheme="minorEastAsia"/>
          <w:noProof/>
          <w:sz w:val="22"/>
          <w:szCs w:val="22"/>
          <w:lang w:eastAsia="de-DE"/>
        </w:rPr>
      </w:pPr>
      <w:hyperlink w:anchor="_Toc22132962" w:history="1">
        <w:r w:rsidR="007537A8" w:rsidRPr="00226521">
          <w:rPr>
            <w:rStyle w:val="Hyperlink"/>
            <w:noProof/>
          </w:rPr>
          <w:t>II. Rechtsverletzung</w:t>
        </w:r>
        <w:r w:rsidR="007537A8">
          <w:rPr>
            <w:noProof/>
            <w:webHidden/>
          </w:rPr>
          <w:tab/>
        </w:r>
        <w:r w:rsidR="007537A8">
          <w:rPr>
            <w:noProof/>
            <w:webHidden/>
          </w:rPr>
          <w:fldChar w:fldCharType="begin"/>
        </w:r>
        <w:r w:rsidR="007537A8">
          <w:rPr>
            <w:noProof/>
            <w:webHidden/>
          </w:rPr>
          <w:instrText xml:space="preserve"> PAGEREF _Toc22132962 \h </w:instrText>
        </w:r>
        <w:r w:rsidR="007537A8">
          <w:rPr>
            <w:noProof/>
            <w:webHidden/>
          </w:rPr>
        </w:r>
        <w:r w:rsidR="007537A8">
          <w:rPr>
            <w:noProof/>
            <w:webHidden/>
          </w:rPr>
          <w:fldChar w:fldCharType="separate"/>
        </w:r>
        <w:r w:rsidR="007537A8">
          <w:rPr>
            <w:noProof/>
            <w:webHidden/>
          </w:rPr>
          <w:t>19</w:t>
        </w:r>
        <w:r w:rsidR="007537A8">
          <w:rPr>
            <w:noProof/>
            <w:webHidden/>
          </w:rPr>
          <w:fldChar w:fldCharType="end"/>
        </w:r>
      </w:hyperlink>
    </w:p>
    <w:p w14:paraId="553020C2" w14:textId="0EADDF10" w:rsidR="007537A8" w:rsidRDefault="00091FED">
      <w:pPr>
        <w:pStyle w:val="Verzeichnis4"/>
        <w:tabs>
          <w:tab w:val="right" w:leader="dot" w:pos="7361"/>
        </w:tabs>
        <w:rPr>
          <w:rFonts w:eastAsiaTheme="minorEastAsia"/>
          <w:noProof/>
          <w:sz w:val="22"/>
          <w:szCs w:val="22"/>
          <w:lang w:eastAsia="de-DE"/>
        </w:rPr>
      </w:pPr>
      <w:hyperlink w:anchor="_Toc22132963" w:history="1">
        <w:r w:rsidR="007537A8" w:rsidRPr="00226521">
          <w:rPr>
            <w:rStyle w:val="Hyperlink"/>
            <w:noProof/>
          </w:rPr>
          <w:t>C. Ergebnis</w:t>
        </w:r>
        <w:r w:rsidR="007537A8">
          <w:rPr>
            <w:noProof/>
            <w:webHidden/>
          </w:rPr>
          <w:tab/>
        </w:r>
        <w:r w:rsidR="007537A8">
          <w:rPr>
            <w:noProof/>
            <w:webHidden/>
          </w:rPr>
          <w:fldChar w:fldCharType="begin"/>
        </w:r>
        <w:r w:rsidR="007537A8">
          <w:rPr>
            <w:noProof/>
            <w:webHidden/>
          </w:rPr>
          <w:instrText xml:space="preserve"> PAGEREF _Toc22132963 \h </w:instrText>
        </w:r>
        <w:r w:rsidR="007537A8">
          <w:rPr>
            <w:noProof/>
            <w:webHidden/>
          </w:rPr>
        </w:r>
        <w:r w:rsidR="007537A8">
          <w:rPr>
            <w:noProof/>
            <w:webHidden/>
          </w:rPr>
          <w:fldChar w:fldCharType="separate"/>
        </w:r>
        <w:r w:rsidR="007537A8">
          <w:rPr>
            <w:noProof/>
            <w:webHidden/>
          </w:rPr>
          <w:t>19</w:t>
        </w:r>
        <w:r w:rsidR="007537A8">
          <w:rPr>
            <w:noProof/>
            <w:webHidden/>
          </w:rPr>
          <w:fldChar w:fldCharType="end"/>
        </w:r>
      </w:hyperlink>
    </w:p>
    <w:p w14:paraId="738BA7DF" w14:textId="32658AAB" w:rsidR="007F5EA3" w:rsidRDefault="001B5EC5" w:rsidP="00261442">
      <w:pPr>
        <w:rPr>
          <w:rFonts w:ascii="Calibri" w:eastAsiaTheme="majorEastAsia" w:hAnsi="Calibri" w:cstheme="majorBidi"/>
          <w:b/>
          <w:sz w:val="22"/>
          <w:szCs w:val="26"/>
        </w:rPr>
      </w:pPr>
      <w:r>
        <w:rPr>
          <w:rFonts w:eastAsiaTheme="majorEastAsia"/>
        </w:rPr>
        <w:fldChar w:fldCharType="end"/>
      </w:r>
      <w:bookmarkStart w:id="36" w:name="Fall1"/>
      <w:r w:rsidR="007F5EA3">
        <w:br w:type="page"/>
      </w:r>
    </w:p>
    <w:p w14:paraId="16AF949C" w14:textId="0996A6DA" w:rsidR="003A5762" w:rsidRPr="00DC14C7" w:rsidRDefault="003A5762" w:rsidP="0001383E">
      <w:pPr>
        <w:pStyle w:val="berschrift3"/>
      </w:pPr>
      <w:bookmarkStart w:id="37" w:name="_Toc22132920"/>
      <w:r w:rsidRPr="00DC14C7">
        <w:lastRenderedPageBreak/>
        <w:t>Lösungsvorschlag</w:t>
      </w:r>
      <w:bookmarkEnd w:id="37"/>
    </w:p>
    <w:p w14:paraId="17D2AA88" w14:textId="77777777" w:rsidR="00035229" w:rsidRDefault="00035229" w:rsidP="00035229">
      <w:pPr>
        <w:pStyle w:val="Randnummer"/>
        <w:framePr w:wrap="around"/>
        <w:rPr>
          <w:rFonts w:eastAsiaTheme="majorEastAsia"/>
        </w:rPr>
      </w:pPr>
    </w:p>
    <w:p w14:paraId="68E4DFA3" w14:textId="77777777" w:rsidR="003A5762" w:rsidRPr="003A5762" w:rsidRDefault="003A5762" w:rsidP="003A5762">
      <w:pPr>
        <w:rPr>
          <w:rFonts w:eastAsiaTheme="majorEastAsia"/>
        </w:rPr>
      </w:pPr>
      <w:r w:rsidRPr="003A5762">
        <w:rPr>
          <w:rFonts w:eastAsiaTheme="majorEastAsia"/>
        </w:rPr>
        <w:t>Die Klage hat Aussicht auf Erfolg, wenn sie zulässig und soweit sie begründet ist.</w:t>
      </w:r>
    </w:p>
    <w:p w14:paraId="2F646E8C" w14:textId="3DBE50D0" w:rsidR="003A5762" w:rsidRPr="00874649" w:rsidRDefault="003A5762" w:rsidP="00577529">
      <w:pPr>
        <w:pStyle w:val="berschrift4"/>
        <w:rPr>
          <w:b w:val="0"/>
        </w:rPr>
      </w:pPr>
      <w:bookmarkStart w:id="38" w:name="_Toc22132921"/>
      <w:r w:rsidRPr="00874649">
        <w:t>A. Zulässigkeit</w:t>
      </w:r>
      <w:bookmarkEnd w:id="38"/>
    </w:p>
    <w:p w14:paraId="3AF1ADC7" w14:textId="238C10A7" w:rsidR="003A5762" w:rsidRPr="00874649" w:rsidRDefault="003A5762" w:rsidP="00577529">
      <w:pPr>
        <w:pStyle w:val="berschrift5"/>
        <w:rPr>
          <w:b w:val="0"/>
        </w:rPr>
      </w:pPr>
      <w:bookmarkStart w:id="39" w:name="_Toc22132922"/>
      <w:r w:rsidRPr="00874649">
        <w:t>I. Eröffnung des Verwaltungsrechtswegs</w:t>
      </w:r>
      <w:bookmarkEnd w:id="39"/>
    </w:p>
    <w:p w14:paraId="07E4E2E0" w14:textId="77777777" w:rsidR="00035229" w:rsidRDefault="00035229" w:rsidP="00035229">
      <w:pPr>
        <w:pStyle w:val="Randnummer"/>
        <w:framePr w:wrap="around"/>
        <w:rPr>
          <w:rFonts w:eastAsiaTheme="majorEastAsia"/>
        </w:rPr>
      </w:pPr>
    </w:p>
    <w:p w14:paraId="64A4789E" w14:textId="0079DD78" w:rsidR="003A5762" w:rsidRPr="003A5762" w:rsidRDefault="003A5762" w:rsidP="003A5762">
      <w:pPr>
        <w:rPr>
          <w:rFonts w:eastAsiaTheme="majorEastAsia"/>
        </w:rPr>
      </w:pPr>
      <w:r w:rsidRPr="003A5762">
        <w:rPr>
          <w:rFonts w:eastAsiaTheme="majorEastAsia"/>
        </w:rPr>
        <w:t xml:space="preserve">Zunächst müsste der Verwaltungsrechtsweg eröffnet sein. Mangels aufdrängender Sonderzuweisung ist nach § 40 </w:t>
      </w:r>
      <w:r w:rsidR="00E91AF0">
        <w:rPr>
          <w:rFonts w:eastAsiaTheme="majorEastAsia"/>
        </w:rPr>
        <w:t>I 1</w:t>
      </w:r>
      <w:r w:rsidRPr="003A5762">
        <w:rPr>
          <w:rFonts w:eastAsiaTheme="majorEastAsia"/>
        </w:rPr>
        <w:t xml:space="preserve"> VwGO der Verwaltungsrechtsweg eröffnet, wenn eine öffentlich-rechtliche Streitigkeit nicht-verfassungsrechtlicher Art vorliegt und keine abdrängende Sonderzuweisung gegeben ist.</w:t>
      </w:r>
    </w:p>
    <w:p w14:paraId="14B430A0" w14:textId="2E9B2287" w:rsidR="003A5762" w:rsidRPr="00874649" w:rsidRDefault="003A5762" w:rsidP="00577529">
      <w:pPr>
        <w:pStyle w:val="berschrift6"/>
      </w:pPr>
      <w:bookmarkStart w:id="40" w:name="_Toc22132923"/>
      <w:r w:rsidRPr="00874649">
        <w:t>1. Öffentlich-rechtliche Streitigkeit</w:t>
      </w:r>
      <w:bookmarkEnd w:id="40"/>
    </w:p>
    <w:p w14:paraId="72E05914" w14:textId="77777777" w:rsidR="00035229" w:rsidRDefault="00035229" w:rsidP="00035229">
      <w:pPr>
        <w:pStyle w:val="Randnummer"/>
        <w:framePr w:wrap="around"/>
        <w:rPr>
          <w:rFonts w:eastAsiaTheme="majorEastAsia"/>
        </w:rPr>
      </w:pPr>
    </w:p>
    <w:p w14:paraId="5FBA1AD4" w14:textId="0C54713A" w:rsidR="003A5762" w:rsidRPr="003A5762" w:rsidRDefault="003A5762" w:rsidP="003A5762">
      <w:pPr>
        <w:rPr>
          <w:rFonts w:eastAsiaTheme="majorEastAsia"/>
        </w:rPr>
      </w:pPr>
      <w:r w:rsidRPr="003A5762">
        <w:rPr>
          <w:rFonts w:eastAsiaTheme="majorEastAsia"/>
        </w:rPr>
        <w:t>Eine Streitigkeit ist nach der modifizierten Subjektstheorie öffentlich-rechtlich, wenn die streitentscheidende Norm öffentlich-rechtlich ist. Dies ist der Fall, wenn durch die Norm ausschließlich Hoheitsträger als solche berechtigt oder verpflichtet werden. Die streitentsch</w:t>
      </w:r>
      <w:r w:rsidR="00E91AF0">
        <w:rPr>
          <w:rFonts w:eastAsiaTheme="majorEastAsia"/>
        </w:rPr>
        <w:t>eidende Norm ist entweder § 58 I</w:t>
      </w:r>
      <w:r w:rsidRPr="003A5762">
        <w:rPr>
          <w:rFonts w:eastAsiaTheme="majorEastAsia"/>
        </w:rPr>
        <w:t xml:space="preserve"> BauO Bln oder § 17 </w:t>
      </w:r>
      <w:r w:rsidR="00E91AF0">
        <w:rPr>
          <w:rFonts w:eastAsiaTheme="majorEastAsia"/>
        </w:rPr>
        <w:t>I</w:t>
      </w:r>
      <w:r w:rsidRPr="003A5762">
        <w:rPr>
          <w:rFonts w:eastAsiaTheme="majorEastAsia"/>
        </w:rPr>
        <w:t xml:space="preserve"> ASOG. Ein</w:t>
      </w:r>
      <w:r w:rsidR="00347CFD">
        <w:rPr>
          <w:rFonts w:eastAsiaTheme="majorEastAsia"/>
        </w:rPr>
        <w:t>e</w:t>
      </w:r>
      <w:r w:rsidRPr="003A5762">
        <w:rPr>
          <w:rFonts w:eastAsiaTheme="majorEastAsia"/>
        </w:rPr>
        <w:t xml:space="preserve"> Entscheidung über die tatsächlich einschlägige Norm muss vorliegend noch nicht getroffen werden, da sowohl nach § 58 </w:t>
      </w:r>
      <w:r w:rsidR="00E91AF0">
        <w:rPr>
          <w:rFonts w:eastAsiaTheme="majorEastAsia"/>
        </w:rPr>
        <w:t>I</w:t>
      </w:r>
      <w:r w:rsidRPr="003A5762">
        <w:rPr>
          <w:rFonts w:eastAsiaTheme="majorEastAsia"/>
        </w:rPr>
        <w:t xml:space="preserve"> BauO Bln als auch § 17 </w:t>
      </w:r>
      <w:r w:rsidR="00E91AF0">
        <w:rPr>
          <w:rFonts w:eastAsiaTheme="majorEastAsia"/>
        </w:rPr>
        <w:t>I</w:t>
      </w:r>
      <w:r w:rsidRPr="003A5762">
        <w:rPr>
          <w:rFonts w:eastAsiaTheme="majorEastAsia"/>
        </w:rPr>
        <w:t xml:space="preserve"> ASOG ausschließlich Hoheitsträger zur Vornahme von Maßnahmen berechtigt werden. </w:t>
      </w:r>
    </w:p>
    <w:p w14:paraId="01A41368" w14:textId="77777777" w:rsidR="003A5762" w:rsidRPr="003A5762" w:rsidRDefault="003A5762" w:rsidP="003A5762">
      <w:pPr>
        <w:rPr>
          <w:rFonts w:eastAsiaTheme="majorEastAsia"/>
        </w:rPr>
      </w:pPr>
      <w:r w:rsidRPr="003A5762">
        <w:rPr>
          <w:rFonts w:eastAsiaTheme="majorEastAsia"/>
        </w:rPr>
        <w:t>Somit liegt eine öffentlich-rechtliche Streitigkeit vor.</w:t>
      </w:r>
    </w:p>
    <w:p w14:paraId="0E892ED6" w14:textId="10886059" w:rsidR="003A5762" w:rsidRPr="00874649" w:rsidRDefault="003A5762" w:rsidP="00577529">
      <w:pPr>
        <w:pStyle w:val="berschrift6"/>
      </w:pPr>
      <w:bookmarkStart w:id="41" w:name="_Toc22132924"/>
      <w:r w:rsidRPr="00874649">
        <w:t>2. Nicht-verfassungsrechtlicher Art</w:t>
      </w:r>
      <w:bookmarkEnd w:id="41"/>
    </w:p>
    <w:p w14:paraId="23C64CD4" w14:textId="77777777" w:rsidR="00035229" w:rsidRDefault="00035229" w:rsidP="00035229">
      <w:pPr>
        <w:pStyle w:val="Randnummer"/>
        <w:framePr w:wrap="around"/>
        <w:rPr>
          <w:rFonts w:eastAsiaTheme="majorEastAsia"/>
        </w:rPr>
      </w:pPr>
    </w:p>
    <w:p w14:paraId="3FD6881B" w14:textId="6CE4C479" w:rsidR="003A5762" w:rsidRPr="003A5762" w:rsidRDefault="003A5762" w:rsidP="003A5762">
      <w:pPr>
        <w:rPr>
          <w:rFonts w:eastAsiaTheme="majorEastAsia"/>
        </w:rPr>
      </w:pPr>
      <w:r w:rsidRPr="003A5762">
        <w:rPr>
          <w:rFonts w:eastAsiaTheme="majorEastAsia"/>
        </w:rPr>
        <w:t xml:space="preserve">Die öffentlich-rechtliche Streitigkeit müsste nicht-verfassungsrechtlicher Art sein. Nach der Lehre der sog. doppelten Verfassungsunmittelbarkeit ist eine Streitigkeit verfassungsrechtlicher Art, wenn unmittelbar am Verfassungsleben Beteiligte sich um unmittelbar in der Verfassung geregelte Rechte und Pflichten streiten. </w:t>
      </w:r>
      <w:r w:rsidR="00620FA8">
        <w:rPr>
          <w:rFonts w:eastAsiaTheme="majorEastAsia"/>
        </w:rPr>
        <w:t>D.h.</w:t>
      </w:r>
      <w:r w:rsidRPr="003A5762">
        <w:rPr>
          <w:rFonts w:eastAsiaTheme="majorEastAsia"/>
        </w:rPr>
        <w:t>, dass wenn bereits eine der beiden Voraussetzungen nicht vorliegt, die Streitigkeit nicht-verfassungsrechtlicher Art ist. Die K ist kein Verfassungsorgan, sondern eine juristische Person des Privatrechts, sodass bereits aus diesem Grund eine nicht-verfassungsrechtliche Streitigkeit vorliegt.</w:t>
      </w:r>
    </w:p>
    <w:p w14:paraId="24305A46" w14:textId="5AE4FEDC" w:rsidR="003A5762" w:rsidRPr="00874649" w:rsidRDefault="003A5762" w:rsidP="00577529">
      <w:pPr>
        <w:pStyle w:val="berschrift6"/>
      </w:pPr>
      <w:bookmarkStart w:id="42" w:name="_Toc22132925"/>
      <w:r w:rsidRPr="00874649">
        <w:t>3. Abdrängende Sonderzuweisung</w:t>
      </w:r>
      <w:bookmarkEnd w:id="42"/>
    </w:p>
    <w:p w14:paraId="097E1E89" w14:textId="77777777" w:rsidR="00035229" w:rsidRDefault="00035229" w:rsidP="00035229">
      <w:pPr>
        <w:pStyle w:val="Randnummer"/>
        <w:framePr w:wrap="around"/>
        <w:rPr>
          <w:rFonts w:eastAsiaTheme="majorEastAsia"/>
        </w:rPr>
      </w:pPr>
    </w:p>
    <w:p w14:paraId="6E040525" w14:textId="19D7718C" w:rsidR="003A5762" w:rsidRPr="003A5762" w:rsidRDefault="003A5762" w:rsidP="003A5762">
      <w:pPr>
        <w:rPr>
          <w:rFonts w:eastAsiaTheme="majorEastAsia"/>
        </w:rPr>
      </w:pPr>
      <w:r w:rsidRPr="003A5762">
        <w:rPr>
          <w:rFonts w:eastAsiaTheme="majorEastAsia"/>
        </w:rPr>
        <w:t xml:space="preserve">Schließlich dürfte keine abdrängende Sonderzuweisung die Streitigkeit einem anderen Rechtsweg zuweisen. In Betracht käme vorliegend allein § 23 </w:t>
      </w:r>
      <w:r w:rsidR="00E91AF0">
        <w:rPr>
          <w:rFonts w:eastAsiaTheme="majorEastAsia"/>
        </w:rPr>
        <w:t xml:space="preserve">I </w:t>
      </w:r>
      <w:r w:rsidR="00347CFD">
        <w:rPr>
          <w:rFonts w:eastAsiaTheme="majorEastAsia"/>
        </w:rPr>
        <w:t xml:space="preserve">1 </w:t>
      </w:r>
      <w:r w:rsidRPr="003A5762">
        <w:rPr>
          <w:rFonts w:eastAsiaTheme="majorEastAsia"/>
        </w:rPr>
        <w:t>EGGVG, wonach die ordentlichen Gerichte auf Antrag entscheiden können, wenn der Streitgegenstand von Justizbehörden getroffene Maßnahmen betrifft.</w:t>
      </w:r>
      <w:r w:rsidR="00347CFD">
        <w:rPr>
          <w:rStyle w:val="Funotenzeichen"/>
          <w:rFonts w:eastAsiaTheme="majorEastAsia"/>
        </w:rPr>
        <w:footnoteReference w:id="35"/>
      </w:r>
    </w:p>
    <w:p w14:paraId="2B4654DA" w14:textId="734ADB99" w:rsidR="003A5762" w:rsidRPr="003A5762" w:rsidRDefault="003A5762" w:rsidP="003A5762">
      <w:pPr>
        <w:rPr>
          <w:rFonts w:eastAsiaTheme="majorEastAsia"/>
        </w:rPr>
      </w:pPr>
      <w:r w:rsidRPr="003A5762">
        <w:rPr>
          <w:rFonts w:eastAsiaTheme="majorEastAsia"/>
        </w:rPr>
        <w:t xml:space="preserve">Die Vorschrift betrifft jedoch nur repressive und keine präventiven Maßnahmen. Dies ergibt sich ausdrücklich aus dem Wortlaut der Norm, die nur auf Strafverfolgung abstellt. Die Anordnung wurde jedoch aus präventiven Gründen erlassen, um möglichen Gefahren </w:t>
      </w:r>
      <w:r w:rsidRPr="003A5762">
        <w:rPr>
          <w:rFonts w:eastAsiaTheme="majorEastAsia"/>
        </w:rPr>
        <w:lastRenderedPageBreak/>
        <w:t xml:space="preserve">entgegenzuwirken. Somit ist die Sonderzuweisung nach § 23 </w:t>
      </w:r>
      <w:r w:rsidR="00E91AF0">
        <w:rPr>
          <w:rFonts w:eastAsiaTheme="majorEastAsia"/>
        </w:rPr>
        <w:t>I</w:t>
      </w:r>
      <w:r w:rsidRPr="003A5762">
        <w:rPr>
          <w:rFonts w:eastAsiaTheme="majorEastAsia"/>
        </w:rPr>
        <w:t xml:space="preserve"> </w:t>
      </w:r>
      <w:r w:rsidR="00347CFD">
        <w:rPr>
          <w:rFonts w:eastAsiaTheme="majorEastAsia"/>
        </w:rPr>
        <w:t xml:space="preserve">1 </w:t>
      </w:r>
      <w:r w:rsidRPr="003A5762">
        <w:rPr>
          <w:rFonts w:eastAsiaTheme="majorEastAsia"/>
        </w:rPr>
        <w:t>EGGVG nicht einschlägig. Andere abdrängende Sonderzuweisungen sind nicht ersichtlich.</w:t>
      </w:r>
    </w:p>
    <w:p w14:paraId="44320523" w14:textId="1E123788" w:rsidR="003A5762" w:rsidRPr="00874649" w:rsidRDefault="003A5762" w:rsidP="00577529">
      <w:pPr>
        <w:pStyle w:val="berschrift6"/>
      </w:pPr>
      <w:bookmarkStart w:id="43" w:name="_Toc22132926"/>
      <w:r w:rsidRPr="00874649">
        <w:t>4. Zwischenergebnis</w:t>
      </w:r>
      <w:bookmarkEnd w:id="43"/>
    </w:p>
    <w:p w14:paraId="4DFBF6AA" w14:textId="56439B78" w:rsidR="003A5762" w:rsidRPr="003A5762" w:rsidRDefault="00347CFD" w:rsidP="003A5762">
      <w:pPr>
        <w:rPr>
          <w:rFonts w:eastAsiaTheme="majorEastAsia"/>
        </w:rPr>
      </w:pPr>
      <w:r>
        <w:rPr>
          <w:rFonts w:eastAsiaTheme="majorEastAsia"/>
        </w:rPr>
        <w:t>Der</w:t>
      </w:r>
      <w:r w:rsidR="003A5762" w:rsidRPr="003A5762">
        <w:rPr>
          <w:rFonts w:eastAsiaTheme="majorEastAsia"/>
        </w:rPr>
        <w:t xml:space="preserve"> Verwaltungsrechtsweg </w:t>
      </w:r>
      <w:r>
        <w:rPr>
          <w:rFonts w:eastAsiaTheme="majorEastAsia"/>
        </w:rPr>
        <w:t xml:space="preserve">ist </w:t>
      </w:r>
      <w:r w:rsidR="003A5762" w:rsidRPr="003A5762">
        <w:rPr>
          <w:rFonts w:eastAsiaTheme="majorEastAsia"/>
        </w:rPr>
        <w:t xml:space="preserve">nach § 40 </w:t>
      </w:r>
      <w:r w:rsidR="00E91AF0">
        <w:rPr>
          <w:rFonts w:eastAsiaTheme="majorEastAsia"/>
        </w:rPr>
        <w:t xml:space="preserve">I </w:t>
      </w:r>
      <w:r>
        <w:rPr>
          <w:rFonts w:eastAsiaTheme="majorEastAsia"/>
        </w:rPr>
        <w:t xml:space="preserve">1 </w:t>
      </w:r>
      <w:r w:rsidR="003A5762" w:rsidRPr="003A5762">
        <w:rPr>
          <w:rFonts w:eastAsiaTheme="majorEastAsia"/>
        </w:rPr>
        <w:t>VwGO eröffnet.</w:t>
      </w:r>
    </w:p>
    <w:p w14:paraId="5632C7A0" w14:textId="3BE92EAE" w:rsidR="003A5762" w:rsidRPr="00874649" w:rsidRDefault="003A5762" w:rsidP="00577529">
      <w:pPr>
        <w:pStyle w:val="berschrift5"/>
      </w:pPr>
      <w:bookmarkStart w:id="44" w:name="_Toc22132927"/>
      <w:r w:rsidRPr="00874649">
        <w:t>II. Statthafte Klageart</w:t>
      </w:r>
      <w:bookmarkEnd w:id="44"/>
    </w:p>
    <w:p w14:paraId="4666261E" w14:textId="77777777" w:rsidR="00035229" w:rsidRDefault="00035229" w:rsidP="00035229">
      <w:pPr>
        <w:pStyle w:val="Randnummer"/>
        <w:framePr w:wrap="around"/>
        <w:rPr>
          <w:rFonts w:eastAsiaTheme="majorEastAsia"/>
        </w:rPr>
      </w:pPr>
    </w:p>
    <w:p w14:paraId="7521263B" w14:textId="051AE1AA" w:rsidR="003A5762" w:rsidRPr="003A5762" w:rsidRDefault="003A5762" w:rsidP="003A5762">
      <w:pPr>
        <w:rPr>
          <w:rFonts w:eastAsiaTheme="majorEastAsia"/>
        </w:rPr>
      </w:pPr>
      <w:r w:rsidRPr="003A5762">
        <w:rPr>
          <w:rFonts w:eastAsiaTheme="majorEastAsia"/>
        </w:rPr>
        <w:t>Die statthafte Klage</w:t>
      </w:r>
      <w:r w:rsidR="008C1818">
        <w:rPr>
          <w:rFonts w:eastAsiaTheme="majorEastAsia"/>
        </w:rPr>
        <w:t>art</w:t>
      </w:r>
      <w:r w:rsidRPr="003A5762">
        <w:rPr>
          <w:rFonts w:eastAsiaTheme="majorEastAsia"/>
        </w:rPr>
        <w:t xml:space="preserve"> richtet sich nach dem klägerischen Begehren nach § 88 VwGO. K wendet sich gegen die Anordnung des Bezirksamts Pankow. Daher könnte die Anfechtungsklage nach § 42 </w:t>
      </w:r>
      <w:r w:rsidR="00E91AF0">
        <w:rPr>
          <w:rFonts w:eastAsiaTheme="majorEastAsia"/>
        </w:rPr>
        <w:t>I</w:t>
      </w:r>
      <w:r w:rsidRPr="003A5762">
        <w:rPr>
          <w:rFonts w:eastAsiaTheme="majorEastAsia"/>
        </w:rPr>
        <w:t xml:space="preserve"> 1. Alt. VwGO statthaft sein, die auf die Aufhebung von Verwaltungsakten gerichtet ist. Dafür müsste es sich bei der Anordnung um einen Verwaltungsakt nach § 35 </w:t>
      </w:r>
      <w:r w:rsidR="00E91AF0">
        <w:rPr>
          <w:rFonts w:eastAsiaTheme="majorEastAsia"/>
        </w:rPr>
        <w:t>1</w:t>
      </w:r>
      <w:r w:rsidRPr="003A5762">
        <w:rPr>
          <w:rFonts w:eastAsiaTheme="majorEastAsia"/>
        </w:rPr>
        <w:t xml:space="preserve"> VwVfG handeln.</w:t>
      </w:r>
    </w:p>
    <w:p w14:paraId="13C48EDC" w14:textId="028269C2" w:rsidR="003A5762" w:rsidRPr="003A5762" w:rsidRDefault="003A5762" w:rsidP="003A5762">
      <w:pPr>
        <w:rPr>
          <w:rFonts w:eastAsiaTheme="majorEastAsia"/>
        </w:rPr>
      </w:pPr>
      <w:r w:rsidRPr="003A5762">
        <w:rPr>
          <w:rFonts w:eastAsiaTheme="majorEastAsia"/>
        </w:rPr>
        <w:t xml:space="preserve">Ein Verwaltungsakt ist nach § 35 </w:t>
      </w:r>
      <w:r w:rsidR="00E91AF0">
        <w:rPr>
          <w:rFonts w:eastAsiaTheme="majorEastAsia"/>
        </w:rPr>
        <w:t>1</w:t>
      </w:r>
      <w:r w:rsidRPr="003A5762">
        <w:rPr>
          <w:rFonts w:eastAsiaTheme="majorEastAsia"/>
        </w:rPr>
        <w:t xml:space="preserve"> VwVfG jede hoheitliche Maßnahme, die eine Behörde zur Regelung eines Einzelfalls auf dem Gebiet des öffentlichen Recht</w:t>
      </w:r>
      <w:r w:rsidR="00A8236D">
        <w:rPr>
          <w:rFonts w:eastAsiaTheme="majorEastAsia"/>
        </w:rPr>
        <w:t>s</w:t>
      </w:r>
      <w:r w:rsidRPr="003A5762">
        <w:rPr>
          <w:rFonts w:eastAsiaTheme="majorEastAsia"/>
        </w:rPr>
        <w:t xml:space="preserve"> tri</w:t>
      </w:r>
      <w:r w:rsidR="00A8236D">
        <w:rPr>
          <w:rFonts w:eastAsiaTheme="majorEastAsia"/>
        </w:rPr>
        <w:t>ff</w:t>
      </w:r>
      <w:r w:rsidRPr="003A5762">
        <w:rPr>
          <w:rFonts w:eastAsiaTheme="majorEastAsia"/>
        </w:rPr>
        <w:t>t und die auf unmittelbare Rechtswirkung nach außen gerichtet ist. Bei der Anordnung handelt es sich um eine rechtliche Verpflichtung durch das Bezirksamt als Hoheitsträger, die sich im konkreten Fall an die K richtet, die außerhalb der Verwaltung steht.</w:t>
      </w:r>
    </w:p>
    <w:p w14:paraId="76A95746" w14:textId="77777777" w:rsidR="003A5762" w:rsidRPr="003A5762" w:rsidRDefault="003A5762" w:rsidP="003A5762">
      <w:pPr>
        <w:rPr>
          <w:rFonts w:eastAsiaTheme="majorEastAsia"/>
        </w:rPr>
      </w:pPr>
      <w:r w:rsidRPr="003A5762">
        <w:rPr>
          <w:rFonts w:eastAsiaTheme="majorEastAsia"/>
        </w:rPr>
        <w:t>Es handelt sich bei der Anordnung also um einen Verwaltungsakt, der mit der Anfechtungsklage nach § 42 I 1. Alt. VwGO aufgehoben werden kann, sodass die Anfechtungsklage statthaft ist.</w:t>
      </w:r>
    </w:p>
    <w:p w14:paraId="598611F6" w14:textId="7BB08D9E" w:rsidR="003A5762" w:rsidRPr="00874649" w:rsidRDefault="003A5762" w:rsidP="00577529">
      <w:pPr>
        <w:pStyle w:val="berschrift5"/>
      </w:pPr>
      <w:bookmarkStart w:id="45" w:name="_Toc22132928"/>
      <w:r w:rsidRPr="00874649">
        <w:t>III. Klagebefugnis</w:t>
      </w:r>
      <w:bookmarkEnd w:id="45"/>
    </w:p>
    <w:p w14:paraId="0B720D3C" w14:textId="77777777" w:rsidR="00035229" w:rsidRDefault="00035229" w:rsidP="00035229">
      <w:pPr>
        <w:pStyle w:val="Randnummer"/>
        <w:framePr w:wrap="around"/>
        <w:rPr>
          <w:rFonts w:eastAsiaTheme="majorEastAsia"/>
        </w:rPr>
      </w:pPr>
    </w:p>
    <w:p w14:paraId="076BFC30" w14:textId="1AA8B91E" w:rsidR="003A5762" w:rsidRPr="003A5762" w:rsidRDefault="003A5762" w:rsidP="003A5762">
      <w:pPr>
        <w:rPr>
          <w:rFonts w:eastAsiaTheme="majorEastAsia"/>
        </w:rPr>
      </w:pPr>
      <w:r w:rsidRPr="003A5762">
        <w:rPr>
          <w:rFonts w:eastAsiaTheme="majorEastAsia"/>
        </w:rPr>
        <w:t xml:space="preserve">Zudem müsste K gemäß § 42 </w:t>
      </w:r>
      <w:r w:rsidR="00E91AF0">
        <w:rPr>
          <w:rFonts w:eastAsiaTheme="majorEastAsia"/>
        </w:rPr>
        <w:t>II</w:t>
      </w:r>
      <w:r w:rsidRPr="003A5762">
        <w:rPr>
          <w:rFonts w:eastAsiaTheme="majorEastAsia"/>
        </w:rPr>
        <w:t xml:space="preserve"> VwGO klagebefugt sein. Dies ist der Fall, wenn die Verletzung ihrer subjektiv-öffentlichen Rechte zumindest nicht ausgeschlossen und damit möglich ist. Da sie Adressatin des sie belastenden Verwaltungsakts ist, ist zumindest nach der Adressatentheorie nicht ausgeschlossen, dass sie jedenfalls in ihrer Handlungsfreiheit aus Art. 2 </w:t>
      </w:r>
      <w:r w:rsidR="00E91AF0">
        <w:rPr>
          <w:rFonts w:eastAsiaTheme="majorEastAsia"/>
        </w:rPr>
        <w:t>I</w:t>
      </w:r>
      <w:r w:rsidRPr="003A5762">
        <w:rPr>
          <w:rFonts w:eastAsiaTheme="majorEastAsia"/>
        </w:rPr>
        <w:t xml:space="preserve"> GG verletzt sein könnte.</w:t>
      </w:r>
    </w:p>
    <w:p w14:paraId="54B66D8A" w14:textId="05642D93" w:rsidR="003A5762" w:rsidRPr="003A5762" w:rsidRDefault="003A5762" w:rsidP="003A5762">
      <w:pPr>
        <w:rPr>
          <w:rFonts w:eastAsiaTheme="majorEastAsia"/>
        </w:rPr>
      </w:pPr>
      <w:r w:rsidRPr="003A5762">
        <w:rPr>
          <w:rFonts w:eastAsiaTheme="majorEastAsia"/>
        </w:rPr>
        <w:t xml:space="preserve">K ist mithin nach § 42 </w:t>
      </w:r>
      <w:r w:rsidR="00E91AF0">
        <w:rPr>
          <w:rFonts w:eastAsiaTheme="majorEastAsia"/>
        </w:rPr>
        <w:t>II</w:t>
      </w:r>
      <w:r w:rsidRPr="003A5762">
        <w:rPr>
          <w:rFonts w:eastAsiaTheme="majorEastAsia"/>
        </w:rPr>
        <w:t xml:space="preserve"> VwGO klagebefugt.</w:t>
      </w:r>
    </w:p>
    <w:p w14:paraId="7595387F" w14:textId="3F35E062" w:rsidR="003A5762" w:rsidRPr="00874649" w:rsidRDefault="003A5762" w:rsidP="00577529">
      <w:pPr>
        <w:pStyle w:val="berschrift5"/>
      </w:pPr>
      <w:bookmarkStart w:id="46" w:name="_Toc22132929"/>
      <w:r w:rsidRPr="00874649">
        <w:t>IV. Erfolgloses, ordnungsgemäßes Vorverfahren</w:t>
      </w:r>
      <w:bookmarkEnd w:id="46"/>
    </w:p>
    <w:p w14:paraId="31727703" w14:textId="77777777" w:rsidR="00035229" w:rsidRDefault="00035229" w:rsidP="00035229">
      <w:pPr>
        <w:pStyle w:val="Randnummer"/>
        <w:framePr w:wrap="around"/>
        <w:rPr>
          <w:rFonts w:eastAsiaTheme="majorEastAsia"/>
        </w:rPr>
      </w:pPr>
    </w:p>
    <w:p w14:paraId="78A55984" w14:textId="6A6FDC45" w:rsidR="003A5762" w:rsidRPr="003A5762" w:rsidRDefault="003A5762" w:rsidP="003A5762">
      <w:pPr>
        <w:rPr>
          <w:rFonts w:eastAsiaTheme="majorEastAsia"/>
        </w:rPr>
      </w:pPr>
      <w:r w:rsidRPr="003A5762">
        <w:rPr>
          <w:rFonts w:eastAsiaTheme="majorEastAsia"/>
        </w:rPr>
        <w:t xml:space="preserve">Ferner müsste ein erfolgloses, ordnungsgemäßes Vorverfahren nach §§ 68 ff. VwGO stattgefunden haben. Es gilt nach § 70 </w:t>
      </w:r>
      <w:r w:rsidR="00E91AF0">
        <w:rPr>
          <w:rFonts w:eastAsiaTheme="majorEastAsia"/>
        </w:rPr>
        <w:t>I</w:t>
      </w:r>
      <w:r w:rsidRPr="003A5762">
        <w:rPr>
          <w:rFonts w:eastAsiaTheme="majorEastAsia"/>
        </w:rPr>
        <w:t xml:space="preserve"> VwGO eine Monatsfrist. Diese hat K eingehalten, da der Ausgangsbescheid am 3.8.2018 zugegangen ist und der Widerspruch am 17.8.2018, somit nach zwei Wochen und damit innerhalb der Frist, beim Bezirksamt eingegangen ist.</w:t>
      </w:r>
    </w:p>
    <w:p w14:paraId="7A68270B" w14:textId="10EDDE5B" w:rsidR="003A5762" w:rsidRPr="00874649" w:rsidRDefault="003A5762" w:rsidP="00577529">
      <w:pPr>
        <w:pStyle w:val="berschrift5"/>
      </w:pPr>
      <w:bookmarkStart w:id="47" w:name="_Toc22132930"/>
      <w:r w:rsidRPr="00874649">
        <w:t>V. Klagefrist</w:t>
      </w:r>
      <w:bookmarkEnd w:id="47"/>
    </w:p>
    <w:p w14:paraId="0F4C7B1F" w14:textId="77777777" w:rsidR="00035229" w:rsidRDefault="00035229" w:rsidP="00035229">
      <w:pPr>
        <w:pStyle w:val="Randnummer"/>
        <w:framePr w:wrap="around"/>
        <w:rPr>
          <w:rFonts w:eastAsiaTheme="majorEastAsia"/>
        </w:rPr>
      </w:pPr>
    </w:p>
    <w:p w14:paraId="08AEC836" w14:textId="34B89FDE" w:rsidR="003A5762" w:rsidRPr="003A5762" w:rsidRDefault="003A5762" w:rsidP="003A5762">
      <w:pPr>
        <w:rPr>
          <w:rFonts w:eastAsiaTheme="majorEastAsia"/>
        </w:rPr>
      </w:pPr>
      <w:r w:rsidRPr="003A5762">
        <w:rPr>
          <w:rFonts w:eastAsiaTheme="majorEastAsia"/>
        </w:rPr>
        <w:t xml:space="preserve">Fraglich ist jedoch, ob K die Klagefrist gemäß § 74 </w:t>
      </w:r>
      <w:r w:rsidR="00E91AF0">
        <w:rPr>
          <w:rFonts w:eastAsiaTheme="majorEastAsia"/>
        </w:rPr>
        <w:t>I</w:t>
      </w:r>
      <w:r w:rsidRPr="003A5762">
        <w:rPr>
          <w:rFonts w:eastAsiaTheme="majorEastAsia"/>
        </w:rPr>
        <w:t xml:space="preserve"> VwGO gewahrt hat, wonach einen Monat nach Zustellung des Widerspruchbescheids beim Gericht Klage einzureichen ist.</w:t>
      </w:r>
    </w:p>
    <w:p w14:paraId="344372CB" w14:textId="3E502659" w:rsidR="003A5762" w:rsidRPr="00874649" w:rsidRDefault="00DC14C7" w:rsidP="00577529">
      <w:pPr>
        <w:pStyle w:val="berschrift6"/>
      </w:pPr>
      <w:bookmarkStart w:id="48" w:name="_Toc22132931"/>
      <w:r w:rsidRPr="00874649">
        <w:t>1</w:t>
      </w:r>
      <w:r w:rsidR="003A5762" w:rsidRPr="00874649">
        <w:t>. Fristbeginn</w:t>
      </w:r>
      <w:bookmarkEnd w:id="48"/>
    </w:p>
    <w:p w14:paraId="041BFD40" w14:textId="77777777" w:rsidR="00035229" w:rsidRDefault="00035229" w:rsidP="00035229">
      <w:pPr>
        <w:pStyle w:val="Randnummer"/>
        <w:framePr w:wrap="around"/>
        <w:rPr>
          <w:rFonts w:eastAsiaTheme="majorEastAsia"/>
        </w:rPr>
      </w:pPr>
    </w:p>
    <w:p w14:paraId="1A97B1E9" w14:textId="6E538E4D" w:rsidR="003A5762" w:rsidRPr="003A5762" w:rsidRDefault="003A5762" w:rsidP="003A5762">
      <w:pPr>
        <w:rPr>
          <w:rFonts w:eastAsiaTheme="majorEastAsia"/>
        </w:rPr>
      </w:pPr>
      <w:r w:rsidRPr="003A5762">
        <w:rPr>
          <w:rFonts w:eastAsiaTheme="majorEastAsia"/>
        </w:rPr>
        <w:t xml:space="preserve">Die Berechnung der Frist beginnt gemäß § 57 </w:t>
      </w:r>
      <w:r w:rsidR="00E91AF0">
        <w:rPr>
          <w:rFonts w:eastAsiaTheme="majorEastAsia"/>
        </w:rPr>
        <w:t>I</w:t>
      </w:r>
      <w:r w:rsidRPr="003A5762">
        <w:rPr>
          <w:rFonts w:eastAsiaTheme="majorEastAsia"/>
        </w:rPr>
        <w:t xml:space="preserve"> VwGO mit der Zustellung, wenn nichts anderes bestimmt ist. Vorliegend ist demnach die Zustellung des Widerspruchbescheids maßgeblich. Dies richtet sich nach den Vorschriften des VwZG, da der </w:t>
      </w:r>
      <w:r w:rsidRPr="003A5762">
        <w:rPr>
          <w:rFonts w:eastAsiaTheme="majorEastAsia"/>
        </w:rPr>
        <w:lastRenderedPageBreak/>
        <w:t xml:space="preserve">Widerspruchsbescheid nach § 73 </w:t>
      </w:r>
      <w:r w:rsidR="00347CFD">
        <w:rPr>
          <w:rFonts w:eastAsiaTheme="majorEastAsia"/>
        </w:rPr>
        <w:t xml:space="preserve">III 2 </w:t>
      </w:r>
      <w:r w:rsidRPr="003A5762">
        <w:rPr>
          <w:rFonts w:eastAsiaTheme="majorEastAsia"/>
        </w:rPr>
        <w:t xml:space="preserve">VwGO von Amts wegen zuzustellen ist. Vorliegend wählte das Bezirksamt die Zustellung durch die Post mittels Einschreiben durch Übergabe nach § 4 </w:t>
      </w:r>
      <w:r w:rsidR="00E91AF0">
        <w:rPr>
          <w:rFonts w:eastAsiaTheme="majorEastAsia"/>
        </w:rPr>
        <w:t>I</w:t>
      </w:r>
      <w:r w:rsidRPr="003A5762">
        <w:rPr>
          <w:rFonts w:eastAsiaTheme="majorEastAsia"/>
        </w:rPr>
        <w:t xml:space="preserve"> 1. Alt. VwZG.</w:t>
      </w:r>
      <w:r w:rsidR="00347CFD">
        <w:rPr>
          <w:rStyle w:val="Funotenzeichen"/>
          <w:rFonts w:eastAsiaTheme="majorEastAsia"/>
        </w:rPr>
        <w:footnoteReference w:id="36"/>
      </w:r>
    </w:p>
    <w:p w14:paraId="4890FB28" w14:textId="10A07C4A" w:rsidR="003A5762" w:rsidRPr="00874649" w:rsidRDefault="00DC14C7" w:rsidP="00577529">
      <w:pPr>
        <w:pStyle w:val="berschrift7"/>
      </w:pPr>
      <w:bookmarkStart w:id="49" w:name="_Toc22132932"/>
      <w:r w:rsidRPr="00874649">
        <w:t>a)</w:t>
      </w:r>
      <w:r w:rsidR="003A5762" w:rsidRPr="00874649">
        <w:t xml:space="preserve"> Richtiger Zustellungsempfänger</w:t>
      </w:r>
      <w:bookmarkEnd w:id="49"/>
    </w:p>
    <w:p w14:paraId="40CF4170" w14:textId="77777777" w:rsidR="00035229" w:rsidRDefault="00035229" w:rsidP="00035229">
      <w:pPr>
        <w:pStyle w:val="Randnummer"/>
        <w:framePr w:wrap="around"/>
        <w:rPr>
          <w:rFonts w:eastAsiaTheme="majorEastAsia"/>
        </w:rPr>
      </w:pPr>
    </w:p>
    <w:p w14:paraId="7CFFFA41" w14:textId="6D785FFD" w:rsidR="003A5762" w:rsidRPr="003A5762" w:rsidRDefault="003A5762" w:rsidP="003A5762">
      <w:pPr>
        <w:rPr>
          <w:rFonts w:eastAsiaTheme="majorEastAsia"/>
        </w:rPr>
      </w:pPr>
      <w:r w:rsidRPr="003A5762">
        <w:rPr>
          <w:rFonts w:eastAsiaTheme="majorEastAsia"/>
        </w:rPr>
        <w:t>Fraglich ist zunächst, ob die Zustellung rechtmäßig war, da nicht der G als Geschäftsführ</w:t>
      </w:r>
      <w:r w:rsidR="00347CFD">
        <w:rPr>
          <w:rFonts w:eastAsiaTheme="majorEastAsia"/>
        </w:rPr>
        <w:t>er der K die Anordnung entgegen</w:t>
      </w:r>
      <w:r w:rsidR="00A57023">
        <w:rPr>
          <w:rFonts w:eastAsiaTheme="majorEastAsia"/>
        </w:rPr>
        <w:t xml:space="preserve"> </w:t>
      </w:r>
      <w:r w:rsidRPr="003A5762">
        <w:rPr>
          <w:rFonts w:eastAsiaTheme="majorEastAsia"/>
        </w:rPr>
        <w:t xml:space="preserve">genommen hat, sondern die Sekretärin der K. Grundsätzlich hat die Zustellung an den Adressaten zu erfolgen. Adressatin war die K und damit der G als rechtmäßiger Vertreter nach § 35 </w:t>
      </w:r>
      <w:r w:rsidR="00E91AF0">
        <w:rPr>
          <w:rFonts w:eastAsiaTheme="majorEastAsia"/>
        </w:rPr>
        <w:t>I</w:t>
      </w:r>
      <w:r w:rsidR="00347CFD">
        <w:rPr>
          <w:rFonts w:eastAsiaTheme="majorEastAsia"/>
        </w:rPr>
        <w:t xml:space="preserve"> 1</w:t>
      </w:r>
      <w:r w:rsidRPr="003A5762">
        <w:rPr>
          <w:rFonts w:eastAsiaTheme="majorEastAsia"/>
        </w:rPr>
        <w:t xml:space="preserve"> GmbHG. Jedoch kann die Zustellung auch an einen Ersatzempfänger erfolgen, wenn der Adressat nicht anzutreffen ist. Zu der Gruppe der Ersatzempfänger gehören Familienmitglieder, wie Ehegatten, aber auch im Betrieb beschäftigte Personen, die bei der Zustellung anwesend sind.</w:t>
      </w:r>
    </w:p>
    <w:p w14:paraId="13B50A31" w14:textId="2354A616" w:rsidR="00347CFD" w:rsidRPr="003A5762" w:rsidRDefault="003A5762" w:rsidP="003A5762">
      <w:pPr>
        <w:rPr>
          <w:rFonts w:eastAsiaTheme="majorEastAsia"/>
        </w:rPr>
      </w:pPr>
      <w:r w:rsidRPr="003A5762">
        <w:rPr>
          <w:rFonts w:eastAsiaTheme="majorEastAsia"/>
        </w:rPr>
        <w:t xml:space="preserve">Die Sekretärin ist eine im Betrieb beschäftigte Person, was auch nach außen </w:t>
      </w:r>
      <w:r w:rsidR="00347CFD">
        <w:rPr>
          <w:rFonts w:eastAsiaTheme="majorEastAsia"/>
        </w:rPr>
        <w:t xml:space="preserve">hin </w:t>
      </w:r>
      <w:r w:rsidRPr="003A5762">
        <w:rPr>
          <w:rFonts w:eastAsiaTheme="majorEastAsia"/>
        </w:rPr>
        <w:t xml:space="preserve">erkennbar ist. Sie ist mithin als Ersatzempfänger zu werten, sodass eine Zustellung an sie </w:t>
      </w:r>
      <w:r w:rsidR="00347CFD">
        <w:rPr>
          <w:rFonts w:eastAsiaTheme="majorEastAsia"/>
        </w:rPr>
        <w:t>ebenfalls</w:t>
      </w:r>
      <w:r w:rsidRPr="003A5762">
        <w:rPr>
          <w:rFonts w:eastAsiaTheme="majorEastAsia"/>
        </w:rPr>
        <w:t xml:space="preserve"> möglich war, da aus der Sicht eines objektiven Beobachters davon auszugehen ist, dass die Sekretärin eines Betriebs zur Annahme von Sendungen berechtigt ist und eine unverzügliche Weitergabe der Anordnung an den Adressaten zu erwarten war.</w:t>
      </w:r>
    </w:p>
    <w:p w14:paraId="3BB29510" w14:textId="4D0D5650" w:rsidR="00347CFD" w:rsidRPr="00874649" w:rsidRDefault="00DC14C7" w:rsidP="00577529">
      <w:pPr>
        <w:pStyle w:val="berschrift7"/>
      </w:pPr>
      <w:bookmarkStart w:id="50" w:name="_Toc22132933"/>
      <w:r w:rsidRPr="00874649">
        <w:t>b)</w:t>
      </w:r>
      <w:r w:rsidR="003A5762" w:rsidRPr="00874649">
        <w:t xml:space="preserve"> Berechnung des Fristbeginns</w:t>
      </w:r>
      <w:bookmarkEnd w:id="50"/>
    </w:p>
    <w:p w14:paraId="6A0E4093" w14:textId="77777777" w:rsidR="00035229" w:rsidRDefault="00035229" w:rsidP="00035229">
      <w:pPr>
        <w:pStyle w:val="Randnummer"/>
        <w:framePr w:wrap="around"/>
        <w:rPr>
          <w:rFonts w:eastAsiaTheme="majorEastAsia"/>
        </w:rPr>
      </w:pPr>
    </w:p>
    <w:p w14:paraId="1314A4D9" w14:textId="2ECF2C35" w:rsidR="003A5762" w:rsidRPr="003A5762" w:rsidRDefault="003A5762" w:rsidP="00347CFD">
      <w:pPr>
        <w:rPr>
          <w:rFonts w:eastAsiaTheme="majorEastAsia"/>
        </w:rPr>
      </w:pPr>
      <w:r w:rsidRPr="003A5762">
        <w:rPr>
          <w:rFonts w:eastAsiaTheme="majorEastAsia"/>
        </w:rPr>
        <w:t xml:space="preserve">Nach § 4 </w:t>
      </w:r>
      <w:r w:rsidR="00E91AF0">
        <w:rPr>
          <w:rFonts w:eastAsiaTheme="majorEastAsia"/>
        </w:rPr>
        <w:t>II</w:t>
      </w:r>
      <w:r w:rsidR="00347CFD">
        <w:rPr>
          <w:rFonts w:eastAsiaTheme="majorEastAsia"/>
        </w:rPr>
        <w:t xml:space="preserve"> </w:t>
      </w:r>
      <w:r w:rsidRPr="003A5762">
        <w:rPr>
          <w:rFonts w:eastAsiaTheme="majorEastAsia"/>
        </w:rPr>
        <w:t xml:space="preserve">2 VwZG gilt das Dokument am dritten Tag nach der Aufgabe zur Post als zugestellt, es sei denn, dass es nicht oder zu einem späteren Zeitpunkt zugegangen ist. Vorliegend wurde der Widerspruchsbescheid am 17.9.2018 zur Post gegeben und ist bereits am 18.9.2018 zugegangen. Es ist unerheblich, dass der Bescheid bereits vor Ablauf der Drei-Tages-Frist </w:t>
      </w:r>
      <w:r w:rsidR="00A57023">
        <w:rPr>
          <w:rFonts w:eastAsiaTheme="majorEastAsia"/>
        </w:rPr>
        <w:t>zugegangen</w:t>
      </w:r>
      <w:r w:rsidRPr="003A5762">
        <w:rPr>
          <w:rFonts w:eastAsiaTheme="majorEastAsia"/>
        </w:rPr>
        <w:t xml:space="preserve"> ist, da diese den Bürger schützen soll und durch einen früheren Zugang nicht verkürzt werden darf. Die Berechnung des Fristbeginns ist nach § 57 </w:t>
      </w:r>
      <w:r w:rsidR="00E91AF0">
        <w:rPr>
          <w:rFonts w:eastAsiaTheme="majorEastAsia"/>
        </w:rPr>
        <w:t>II</w:t>
      </w:r>
      <w:r w:rsidRPr="003A5762">
        <w:rPr>
          <w:rFonts w:eastAsiaTheme="majorEastAsia"/>
        </w:rPr>
        <w:t xml:space="preserve"> VwGO i.V.m. §§ 222 </w:t>
      </w:r>
      <w:r w:rsidR="00E91AF0">
        <w:rPr>
          <w:rFonts w:eastAsiaTheme="majorEastAsia"/>
        </w:rPr>
        <w:t>I</w:t>
      </w:r>
      <w:r w:rsidRPr="003A5762">
        <w:rPr>
          <w:rFonts w:eastAsiaTheme="majorEastAsia"/>
        </w:rPr>
        <w:t xml:space="preserve"> ZPO, 187 </w:t>
      </w:r>
      <w:r w:rsidR="00E91AF0">
        <w:rPr>
          <w:rFonts w:eastAsiaTheme="majorEastAsia"/>
        </w:rPr>
        <w:t>I</w:t>
      </w:r>
      <w:r w:rsidRPr="003A5762">
        <w:rPr>
          <w:rFonts w:eastAsiaTheme="majorEastAsia"/>
        </w:rPr>
        <w:t xml:space="preserve"> BGB geregelt, wonach in dem Fall, dass für den Anfang einer Frist ein Ereignis maßgebend ist, der Tag, in welchen das Ereignis fällt, zur Berechnung der Frist nicht mitgerechnet wird.</w:t>
      </w:r>
    </w:p>
    <w:p w14:paraId="1A04D3A7" w14:textId="41F438BE" w:rsidR="003A5762" w:rsidRPr="003A5762" w:rsidRDefault="003A5762" w:rsidP="003A5762">
      <w:pPr>
        <w:rPr>
          <w:rFonts w:eastAsiaTheme="majorEastAsia"/>
        </w:rPr>
      </w:pPr>
      <w:r w:rsidRPr="003A5762">
        <w:rPr>
          <w:rFonts w:eastAsiaTheme="majorEastAsia"/>
        </w:rPr>
        <w:t>Dami</w:t>
      </w:r>
      <w:r w:rsidR="00347CFD">
        <w:rPr>
          <w:rFonts w:eastAsiaTheme="majorEastAsia"/>
        </w:rPr>
        <w:t>t gilt der Bescheid am 20.9.2018</w:t>
      </w:r>
      <w:r w:rsidRPr="003A5762">
        <w:rPr>
          <w:rFonts w:eastAsiaTheme="majorEastAsia"/>
        </w:rPr>
        <w:t xml:space="preserve"> als zugestellt.</w:t>
      </w:r>
    </w:p>
    <w:p w14:paraId="463877B2" w14:textId="390725C8" w:rsidR="003A5762" w:rsidRPr="00874649" w:rsidRDefault="00DC14C7" w:rsidP="00577529">
      <w:pPr>
        <w:pStyle w:val="berschrift6"/>
      </w:pPr>
      <w:bookmarkStart w:id="51" w:name="_Toc22132934"/>
      <w:r w:rsidRPr="00874649">
        <w:t>2.</w:t>
      </w:r>
      <w:r w:rsidR="003A5762" w:rsidRPr="00874649">
        <w:t xml:space="preserve"> Fristablauf</w:t>
      </w:r>
      <w:bookmarkEnd w:id="51"/>
    </w:p>
    <w:p w14:paraId="3FD02DE8" w14:textId="77777777" w:rsidR="00035229" w:rsidRDefault="00035229" w:rsidP="00035229">
      <w:pPr>
        <w:pStyle w:val="Randnummer"/>
        <w:framePr w:wrap="around"/>
        <w:rPr>
          <w:rFonts w:eastAsiaTheme="majorEastAsia"/>
        </w:rPr>
      </w:pPr>
    </w:p>
    <w:p w14:paraId="7F54D32F" w14:textId="26E87CCC" w:rsidR="003A5762" w:rsidRPr="003A5762" w:rsidRDefault="003A5762" w:rsidP="003A5762">
      <w:pPr>
        <w:rPr>
          <w:rFonts w:eastAsiaTheme="majorEastAsia"/>
        </w:rPr>
      </w:pPr>
      <w:r w:rsidRPr="003A5762">
        <w:rPr>
          <w:rFonts w:eastAsiaTheme="majorEastAsia"/>
        </w:rPr>
        <w:t xml:space="preserve">Der Fristablauf richtet sich ebenfalls nach § 57 </w:t>
      </w:r>
      <w:r w:rsidR="00E91AF0">
        <w:rPr>
          <w:rFonts w:eastAsiaTheme="majorEastAsia"/>
        </w:rPr>
        <w:t>II</w:t>
      </w:r>
      <w:r w:rsidRPr="003A5762">
        <w:rPr>
          <w:rFonts w:eastAsiaTheme="majorEastAsia"/>
        </w:rPr>
        <w:t xml:space="preserve"> VwGO i.V.m. § 222 </w:t>
      </w:r>
      <w:r w:rsidR="00E91AF0">
        <w:rPr>
          <w:rFonts w:eastAsiaTheme="majorEastAsia"/>
        </w:rPr>
        <w:t>I</w:t>
      </w:r>
      <w:r w:rsidRPr="003A5762">
        <w:rPr>
          <w:rFonts w:eastAsiaTheme="majorEastAsia"/>
        </w:rPr>
        <w:t xml:space="preserve"> ZPO und § 188 BGB, wonach eine Frist, die nach Monaten bestimmt ist, im Fall des § 187 </w:t>
      </w:r>
      <w:r w:rsidR="00E91AF0">
        <w:rPr>
          <w:rFonts w:eastAsiaTheme="majorEastAsia"/>
        </w:rPr>
        <w:t>I</w:t>
      </w:r>
      <w:r w:rsidRPr="003A5762">
        <w:rPr>
          <w:rFonts w:eastAsiaTheme="majorEastAsia"/>
        </w:rPr>
        <w:t xml:space="preserve"> BGB mit Ablauf desjenigen Tages endigt, welcher durch seine Zahl dem Tage entspricht, in den das Ereignis fällt. Damit liefe die Frist am 20.10.2018 ab. Die am 27.12.2018 zugestellte Klage könnte damit verspätet sein.</w:t>
      </w:r>
    </w:p>
    <w:p w14:paraId="7436A503" w14:textId="7A490D84" w:rsidR="003A5762" w:rsidRPr="00874649" w:rsidRDefault="00DC14C7" w:rsidP="00577529">
      <w:pPr>
        <w:pStyle w:val="berschrift6"/>
      </w:pPr>
      <w:bookmarkStart w:id="52" w:name="_Toc22132935"/>
      <w:r w:rsidRPr="00874649">
        <w:t>3</w:t>
      </w:r>
      <w:r w:rsidR="003A5762" w:rsidRPr="00874649">
        <w:t>. Fristwahrung wegen fehlerhafter Rechtsbehelfsbelehrung</w:t>
      </w:r>
      <w:bookmarkEnd w:id="52"/>
    </w:p>
    <w:p w14:paraId="307DE357" w14:textId="77777777" w:rsidR="00035229" w:rsidRDefault="00035229" w:rsidP="00035229">
      <w:pPr>
        <w:pStyle w:val="Randnummer"/>
        <w:framePr w:wrap="around"/>
        <w:rPr>
          <w:rFonts w:eastAsiaTheme="majorEastAsia"/>
        </w:rPr>
      </w:pPr>
    </w:p>
    <w:p w14:paraId="6F655681" w14:textId="51319EA6" w:rsidR="003A5762" w:rsidRPr="003A5762" w:rsidRDefault="003A5762" w:rsidP="003A5762">
      <w:pPr>
        <w:rPr>
          <w:rFonts w:eastAsiaTheme="majorEastAsia"/>
        </w:rPr>
      </w:pPr>
      <w:r w:rsidRPr="003A5762">
        <w:rPr>
          <w:rFonts w:eastAsiaTheme="majorEastAsia"/>
        </w:rPr>
        <w:lastRenderedPageBreak/>
        <w:t xml:space="preserve">Jedoch kommt vorliegend eine fehlerhafte Rechtsbehelfsbelehrung nach § 58 </w:t>
      </w:r>
      <w:r w:rsidR="00E91AF0">
        <w:rPr>
          <w:rFonts w:eastAsiaTheme="majorEastAsia"/>
        </w:rPr>
        <w:t>II</w:t>
      </w:r>
      <w:r w:rsidRPr="003A5762">
        <w:rPr>
          <w:rFonts w:eastAsiaTheme="majorEastAsia"/>
        </w:rPr>
        <w:t xml:space="preserve"> </w:t>
      </w:r>
      <w:r w:rsidR="00E91AF0">
        <w:rPr>
          <w:rFonts w:eastAsiaTheme="majorEastAsia"/>
        </w:rPr>
        <w:t>1</w:t>
      </w:r>
      <w:r w:rsidRPr="003A5762">
        <w:rPr>
          <w:rFonts w:eastAsiaTheme="majorEastAsia"/>
        </w:rPr>
        <w:t xml:space="preserve"> Alt. 2 VwGO in Betracht Danach ist bei einer unrichtigen Rechtsbehelfsbelehrung die Einlegung des Rechtsbehelfs innerhalb eines Jahres möglich. Eine richtige Rechtsbehelfsbelehrung muss vollständig sein und darf weder irreführenden Zusätze noch falsche, nicht in § 58 </w:t>
      </w:r>
      <w:r w:rsidR="00E91AF0">
        <w:rPr>
          <w:rFonts w:eastAsiaTheme="majorEastAsia"/>
        </w:rPr>
        <w:t>I</w:t>
      </w:r>
      <w:r w:rsidRPr="003A5762">
        <w:rPr>
          <w:rFonts w:eastAsiaTheme="majorEastAsia"/>
        </w:rPr>
        <w:t xml:space="preserve"> VwGO genannte Voraussetzungen enthalten.</w:t>
      </w:r>
      <w:r w:rsidR="00347CFD">
        <w:rPr>
          <w:rStyle w:val="Funotenzeichen"/>
          <w:rFonts w:eastAsiaTheme="majorEastAsia"/>
        </w:rPr>
        <w:footnoteReference w:id="37"/>
      </w:r>
    </w:p>
    <w:p w14:paraId="1DB47ACB" w14:textId="2D8C1B45" w:rsidR="003A5762" w:rsidRDefault="003A5762" w:rsidP="003A5762">
      <w:pPr>
        <w:rPr>
          <w:rFonts w:eastAsiaTheme="majorEastAsia"/>
        </w:rPr>
      </w:pPr>
      <w:r w:rsidRPr="003A5762">
        <w:rPr>
          <w:rFonts w:eastAsiaTheme="majorEastAsia"/>
        </w:rPr>
        <w:t xml:space="preserve">In der Rechtsbehelfsbelehrung wurde nur auf eine schriftliche Einlegung der Klage nach § 81 </w:t>
      </w:r>
      <w:r w:rsidR="00E91AF0">
        <w:rPr>
          <w:rFonts w:eastAsiaTheme="majorEastAsia"/>
        </w:rPr>
        <w:t>I</w:t>
      </w:r>
      <w:r w:rsidRPr="003A5762">
        <w:rPr>
          <w:rFonts w:eastAsiaTheme="majorEastAsia"/>
        </w:rPr>
        <w:t xml:space="preserve"> </w:t>
      </w:r>
      <w:r w:rsidR="00E91AF0">
        <w:rPr>
          <w:rFonts w:eastAsiaTheme="majorEastAsia"/>
        </w:rPr>
        <w:t>1</w:t>
      </w:r>
      <w:r w:rsidRPr="003A5762">
        <w:rPr>
          <w:rFonts w:eastAsiaTheme="majorEastAsia"/>
        </w:rPr>
        <w:t xml:space="preserve"> VwGO hingewiesen. Nicht genannt wurde die Einlegung mittels Niederschrift beim Urkundsbeamten der Geschäftsstelle nach § 82 </w:t>
      </w:r>
      <w:r w:rsidR="00E91AF0">
        <w:rPr>
          <w:rFonts w:eastAsiaTheme="majorEastAsia"/>
        </w:rPr>
        <w:t>I</w:t>
      </w:r>
      <w:r w:rsidRPr="003A5762">
        <w:rPr>
          <w:rFonts w:eastAsiaTheme="majorEastAsia"/>
        </w:rPr>
        <w:t xml:space="preserve"> 2 VwGO. Zwar muss die belehrende Stelle nach herrschender Rechtsprechung nicht über die Form der Einlegung belehren, da die Form kein wesentlicher Bestandteil i.S.d. § 58 </w:t>
      </w:r>
      <w:r w:rsidR="00E91AF0">
        <w:rPr>
          <w:rFonts w:eastAsiaTheme="majorEastAsia"/>
        </w:rPr>
        <w:t>I</w:t>
      </w:r>
      <w:r w:rsidRPr="003A5762">
        <w:rPr>
          <w:rFonts w:eastAsiaTheme="majorEastAsia"/>
        </w:rPr>
        <w:t xml:space="preserve"> VwGO ist. Wird dennoch ein Hinweis zur Form gegeben, so muss dieser vollständig sein und darf nicht irreführen. Aufgrund des fehlenden Hinweises auf die Einlegung mittels Niederschrift ist mithin die Rechtsbehelfsbelehrung nach § 58 </w:t>
      </w:r>
      <w:r w:rsidR="00E91AF0">
        <w:rPr>
          <w:rFonts w:eastAsiaTheme="majorEastAsia"/>
        </w:rPr>
        <w:t>II</w:t>
      </w:r>
      <w:r w:rsidR="00347CFD">
        <w:rPr>
          <w:rFonts w:eastAsiaTheme="majorEastAsia"/>
        </w:rPr>
        <w:t xml:space="preserve"> 1 Alt. 2</w:t>
      </w:r>
      <w:r w:rsidRPr="003A5762">
        <w:rPr>
          <w:rFonts w:eastAsiaTheme="majorEastAsia"/>
        </w:rPr>
        <w:t xml:space="preserve"> VwGO fehlerhaft. Es gilt damit die Jahresfrist, die am 20.9.2019 endet. Mithin wurde die Klage fristgerecht eingereicht.</w:t>
      </w:r>
    </w:p>
    <w:p w14:paraId="4C708D6C" w14:textId="4BF43524" w:rsidR="003A5762" w:rsidRPr="003A5762" w:rsidRDefault="008C1818" w:rsidP="003A5762">
      <w:pPr>
        <w:rPr>
          <w:rFonts w:eastAsiaTheme="majorEastAsia"/>
          <w:i/>
        </w:rPr>
      </w:pPr>
      <w:r>
        <w:rPr>
          <w:rFonts w:eastAsiaTheme="majorEastAsia"/>
          <w:i/>
        </w:rPr>
        <w:t>Lösungsh</w:t>
      </w:r>
      <w:r w:rsidR="003A5762" w:rsidRPr="003A5762">
        <w:rPr>
          <w:rFonts w:eastAsiaTheme="majorEastAsia"/>
          <w:i/>
        </w:rPr>
        <w:t>inweis: Wer die fehlerhafte Rechtsbehelfsbelehrung nicht gesehen hat, muss die Wiedereinsetzung in den vorheri</w:t>
      </w:r>
      <w:r w:rsidR="00090F42">
        <w:rPr>
          <w:rFonts w:eastAsiaTheme="majorEastAsia"/>
          <w:i/>
        </w:rPr>
        <w:t xml:space="preserve">gen Stand nach § 60 VwGO prüfen, was </w:t>
      </w:r>
      <w:r w:rsidR="003A5762" w:rsidRPr="003A5762">
        <w:rPr>
          <w:rFonts w:eastAsiaTheme="majorEastAsia"/>
          <w:i/>
        </w:rPr>
        <w:t xml:space="preserve">Ausführungen zum Verschulden, insbesondere </w:t>
      </w:r>
      <w:r w:rsidR="00090F42">
        <w:rPr>
          <w:rFonts w:eastAsiaTheme="majorEastAsia"/>
          <w:i/>
        </w:rPr>
        <w:t xml:space="preserve">zur </w:t>
      </w:r>
      <w:r w:rsidR="003A5762" w:rsidRPr="003A5762">
        <w:rPr>
          <w:rFonts w:eastAsiaTheme="majorEastAsia"/>
          <w:i/>
        </w:rPr>
        <w:t>Zurechnung des Verschuldens</w:t>
      </w:r>
      <w:r w:rsidR="00090F42">
        <w:rPr>
          <w:rFonts w:eastAsiaTheme="majorEastAsia"/>
          <w:i/>
        </w:rPr>
        <w:t xml:space="preserve"> erforderlich macht</w:t>
      </w:r>
      <w:r w:rsidR="003A5762" w:rsidRPr="003A5762">
        <w:rPr>
          <w:rFonts w:eastAsiaTheme="majorEastAsia"/>
          <w:i/>
        </w:rPr>
        <w:t>.</w:t>
      </w:r>
      <w:r w:rsidR="00347CFD">
        <w:rPr>
          <w:rStyle w:val="Funotenzeichen"/>
          <w:rFonts w:eastAsiaTheme="majorEastAsia"/>
          <w:i/>
        </w:rPr>
        <w:footnoteReference w:id="38"/>
      </w:r>
      <w:r w:rsidR="003A5762" w:rsidRPr="003A5762">
        <w:rPr>
          <w:rFonts w:eastAsiaTheme="majorEastAsia"/>
          <w:i/>
        </w:rPr>
        <w:t xml:space="preserve"> Anderenfalls ist auf die Problematik nicht einzugehen, was auch mit einem Satz abgehandelt werden kann: „Das Verschulden der Sekretärin S ist insoweit nicht von Bedeutung.“</w:t>
      </w:r>
    </w:p>
    <w:p w14:paraId="254DA14C" w14:textId="5BA0B53D" w:rsidR="003A5762" w:rsidRPr="00874649" w:rsidRDefault="003A5762" w:rsidP="00577529">
      <w:pPr>
        <w:pStyle w:val="berschrift5"/>
      </w:pPr>
      <w:bookmarkStart w:id="53" w:name="_Toc22132936"/>
      <w:r w:rsidRPr="00874649">
        <w:t>VI. Beteiligte</w:t>
      </w:r>
      <w:bookmarkEnd w:id="53"/>
    </w:p>
    <w:p w14:paraId="68875413" w14:textId="77777777" w:rsidR="00035229" w:rsidRDefault="00035229" w:rsidP="00035229">
      <w:pPr>
        <w:pStyle w:val="Randnummer"/>
        <w:framePr w:wrap="around"/>
        <w:rPr>
          <w:rFonts w:eastAsiaTheme="majorEastAsia"/>
        </w:rPr>
      </w:pPr>
    </w:p>
    <w:p w14:paraId="08E639FA" w14:textId="4B42BFB2" w:rsidR="003A5762" w:rsidRPr="003A5762" w:rsidRDefault="003A5762" w:rsidP="003A5762">
      <w:pPr>
        <w:rPr>
          <w:rFonts w:eastAsiaTheme="majorEastAsia"/>
        </w:rPr>
      </w:pPr>
      <w:r w:rsidRPr="003A5762">
        <w:rPr>
          <w:rFonts w:eastAsiaTheme="majorEastAsia"/>
        </w:rPr>
        <w:t xml:space="preserve">Klagegegner ist gemäß § 78 </w:t>
      </w:r>
      <w:r w:rsidR="00E91AF0">
        <w:rPr>
          <w:rFonts w:eastAsiaTheme="majorEastAsia"/>
        </w:rPr>
        <w:t>I</w:t>
      </w:r>
      <w:r w:rsidRPr="003A5762">
        <w:rPr>
          <w:rFonts w:eastAsiaTheme="majorEastAsia"/>
        </w:rPr>
        <w:t xml:space="preserve"> Nr. 1 VwGO </w:t>
      </w:r>
      <w:r w:rsidR="00090F42">
        <w:rPr>
          <w:rFonts w:eastAsiaTheme="majorEastAsia"/>
        </w:rPr>
        <w:t xml:space="preserve">als Rechtsträger der Behörde </w:t>
      </w:r>
      <w:r w:rsidRPr="003A5762">
        <w:rPr>
          <w:rFonts w:eastAsiaTheme="majorEastAsia"/>
        </w:rPr>
        <w:t>das Land Berlin, die die Anordnung gegen die K erlassen hat.</w:t>
      </w:r>
    </w:p>
    <w:p w14:paraId="2E31AFA9" w14:textId="4026FA16" w:rsidR="003A5762" w:rsidRPr="003A5762" w:rsidRDefault="00035229" w:rsidP="003A5762">
      <w:pPr>
        <w:rPr>
          <w:rFonts w:eastAsiaTheme="majorEastAsia"/>
        </w:rPr>
      </w:pPr>
      <w:r>
        <w:rPr>
          <w:rFonts w:eastAsiaTheme="majorEastAsia"/>
        </w:rPr>
        <w:t>Das Land Berlin und K als Klägerin</w:t>
      </w:r>
      <w:r w:rsidR="003A5762" w:rsidRPr="003A5762">
        <w:rPr>
          <w:rFonts w:eastAsiaTheme="majorEastAsia"/>
        </w:rPr>
        <w:t xml:space="preserve"> müssen ferner beteiligten- und prozessfähig sein. </w:t>
      </w:r>
    </w:p>
    <w:p w14:paraId="432CB212" w14:textId="45E20690" w:rsidR="003A5762" w:rsidRPr="003A5762" w:rsidRDefault="003A5762" w:rsidP="003A5762">
      <w:pPr>
        <w:rPr>
          <w:rFonts w:eastAsiaTheme="majorEastAsia"/>
        </w:rPr>
      </w:pPr>
      <w:r w:rsidRPr="003A5762">
        <w:rPr>
          <w:rFonts w:eastAsiaTheme="majorEastAsia"/>
        </w:rPr>
        <w:t>Die Beteiligtenfähigkeit der K ergibt sich aus § 61 Nr</w:t>
      </w:r>
      <w:r w:rsidR="00090F42">
        <w:rPr>
          <w:rFonts w:eastAsiaTheme="majorEastAsia"/>
        </w:rPr>
        <w:t>.</w:t>
      </w:r>
      <w:r w:rsidRPr="003A5762">
        <w:rPr>
          <w:rFonts w:eastAsiaTheme="majorEastAsia"/>
        </w:rPr>
        <w:t xml:space="preserve"> 1 Alt.</w:t>
      </w:r>
      <w:r w:rsidR="00090F42">
        <w:rPr>
          <w:rFonts w:eastAsiaTheme="majorEastAsia"/>
        </w:rPr>
        <w:t xml:space="preserve"> 2</w:t>
      </w:r>
      <w:r w:rsidRPr="003A5762">
        <w:rPr>
          <w:rFonts w:eastAsiaTheme="majorEastAsia"/>
        </w:rPr>
        <w:t xml:space="preserve"> VwGO und ihre Prozessfähigkeit als GmbH aus § 62 Abs. 3 VwGO, wonach ihr gesetzlicher Vertreter für sie handelt. Dies ist der Geschäftsführer G gemäß § 35 </w:t>
      </w:r>
      <w:r w:rsidR="00E91AF0">
        <w:rPr>
          <w:rFonts w:eastAsiaTheme="majorEastAsia"/>
        </w:rPr>
        <w:t>I</w:t>
      </w:r>
      <w:r w:rsidRPr="003A5762">
        <w:rPr>
          <w:rFonts w:eastAsiaTheme="majorEastAsia"/>
        </w:rPr>
        <w:t xml:space="preserve"> </w:t>
      </w:r>
      <w:r w:rsidR="00E91AF0">
        <w:rPr>
          <w:rFonts w:eastAsiaTheme="majorEastAsia"/>
        </w:rPr>
        <w:t>1</w:t>
      </w:r>
      <w:r w:rsidRPr="003A5762">
        <w:rPr>
          <w:rFonts w:eastAsiaTheme="majorEastAsia"/>
        </w:rPr>
        <w:t xml:space="preserve"> GmbHG.</w:t>
      </w:r>
    </w:p>
    <w:p w14:paraId="24B847EA" w14:textId="77777777" w:rsidR="003A5762" w:rsidRPr="003A5762" w:rsidRDefault="003A5762" w:rsidP="003A5762">
      <w:pPr>
        <w:rPr>
          <w:rFonts w:eastAsiaTheme="majorEastAsia"/>
        </w:rPr>
      </w:pPr>
      <w:r w:rsidRPr="003A5762">
        <w:rPr>
          <w:rFonts w:eastAsiaTheme="majorEastAsia"/>
        </w:rPr>
        <w:t>Das Bezirksamt ist gemäß § 61 Nr. 3 VwGO beteiligtenfähig und nach § 62 Abs. 3 VwGO prozessfähig.</w:t>
      </w:r>
    </w:p>
    <w:p w14:paraId="4CAB9AA6" w14:textId="3F55BB67" w:rsidR="003A5762" w:rsidRPr="00874649" w:rsidRDefault="003A5762" w:rsidP="00577529">
      <w:pPr>
        <w:pStyle w:val="berschrift5"/>
      </w:pPr>
      <w:bookmarkStart w:id="54" w:name="_Toc22132937"/>
      <w:r w:rsidRPr="00874649">
        <w:t>VII. Zuständiges Gericht</w:t>
      </w:r>
      <w:bookmarkEnd w:id="54"/>
    </w:p>
    <w:p w14:paraId="3254F642" w14:textId="77777777" w:rsidR="00035229" w:rsidRDefault="00035229" w:rsidP="00035229">
      <w:pPr>
        <w:pStyle w:val="Randnummer"/>
        <w:framePr w:wrap="around"/>
        <w:rPr>
          <w:rFonts w:eastAsiaTheme="majorEastAsia"/>
        </w:rPr>
      </w:pPr>
    </w:p>
    <w:p w14:paraId="6E58A672" w14:textId="77777777" w:rsidR="003A5762" w:rsidRDefault="003A5762" w:rsidP="003A5762">
      <w:pPr>
        <w:rPr>
          <w:rFonts w:eastAsiaTheme="majorEastAsia"/>
        </w:rPr>
      </w:pPr>
      <w:r w:rsidRPr="003A5762">
        <w:rPr>
          <w:rFonts w:eastAsiaTheme="majorEastAsia"/>
        </w:rPr>
        <w:t>Laut Sachverhalt ist das Verwaltungsgericht Berlin das zuständige Gericht.</w:t>
      </w:r>
    </w:p>
    <w:p w14:paraId="74DF4711" w14:textId="77777777" w:rsidR="00577529" w:rsidRPr="003A5762" w:rsidRDefault="00577529" w:rsidP="003A5762">
      <w:pPr>
        <w:rPr>
          <w:rFonts w:eastAsiaTheme="majorEastAsia"/>
        </w:rPr>
      </w:pPr>
    </w:p>
    <w:p w14:paraId="59F662F1" w14:textId="3258D84A" w:rsidR="003A5762" w:rsidRPr="00874649" w:rsidRDefault="003A5762" w:rsidP="00577529">
      <w:pPr>
        <w:pStyle w:val="berschrift4"/>
      </w:pPr>
      <w:bookmarkStart w:id="55" w:name="_Toc22132938"/>
      <w:r w:rsidRPr="00874649">
        <w:t>B. Begründetheit</w:t>
      </w:r>
      <w:bookmarkEnd w:id="55"/>
    </w:p>
    <w:p w14:paraId="00781AC5" w14:textId="77777777" w:rsidR="00035229" w:rsidRDefault="00035229" w:rsidP="00035229">
      <w:pPr>
        <w:pStyle w:val="Randnummer"/>
        <w:framePr w:wrap="around"/>
        <w:rPr>
          <w:rFonts w:eastAsiaTheme="majorEastAsia"/>
        </w:rPr>
      </w:pPr>
    </w:p>
    <w:p w14:paraId="5C3E9762" w14:textId="0B512892" w:rsidR="003A5762" w:rsidRDefault="003A5762" w:rsidP="003A5762">
      <w:pPr>
        <w:rPr>
          <w:rFonts w:eastAsiaTheme="majorEastAsia"/>
        </w:rPr>
      </w:pPr>
      <w:r w:rsidRPr="003A5762">
        <w:rPr>
          <w:rFonts w:eastAsiaTheme="majorEastAsia"/>
        </w:rPr>
        <w:lastRenderedPageBreak/>
        <w:t xml:space="preserve">Die Klage ist gemäß § 113 </w:t>
      </w:r>
      <w:r w:rsidR="00035229">
        <w:rPr>
          <w:rFonts w:eastAsiaTheme="majorEastAsia"/>
        </w:rPr>
        <w:t>I 1</w:t>
      </w:r>
      <w:r w:rsidRPr="003A5762">
        <w:rPr>
          <w:rFonts w:eastAsiaTheme="majorEastAsia"/>
        </w:rPr>
        <w:t xml:space="preserve"> VwGO begründet, soweit der Verwaltungsakt rechtswidrig und die K dadurch in ihren Rechten verletzt ist.</w:t>
      </w:r>
    </w:p>
    <w:p w14:paraId="4F4DC94B" w14:textId="77777777" w:rsidR="00C87638" w:rsidRDefault="00C87638" w:rsidP="003A5762">
      <w:pPr>
        <w:rPr>
          <w:rFonts w:eastAsiaTheme="majorEastAsia"/>
        </w:rPr>
      </w:pPr>
    </w:p>
    <w:p w14:paraId="5D73E19C" w14:textId="77777777" w:rsidR="00C87638" w:rsidRPr="003A5762" w:rsidRDefault="00C87638" w:rsidP="003A5762">
      <w:pPr>
        <w:rPr>
          <w:rFonts w:eastAsiaTheme="majorEastAsia"/>
        </w:rPr>
      </w:pPr>
    </w:p>
    <w:p w14:paraId="684270A7" w14:textId="4B4C74CC" w:rsidR="003A5762" w:rsidRPr="00874649" w:rsidRDefault="003A5762" w:rsidP="00577529">
      <w:pPr>
        <w:pStyle w:val="berschrift5"/>
      </w:pPr>
      <w:bookmarkStart w:id="56" w:name="_Toc22132939"/>
      <w:r w:rsidRPr="00874649">
        <w:t xml:space="preserve">I. Rechtmäßigkeit des </w:t>
      </w:r>
      <w:r w:rsidR="00DA1B70">
        <w:t>Verwaltungsakts</w:t>
      </w:r>
      <w:bookmarkEnd w:id="56"/>
    </w:p>
    <w:p w14:paraId="7521904E" w14:textId="77777777" w:rsidR="00035229" w:rsidRDefault="00035229" w:rsidP="00035229">
      <w:pPr>
        <w:pStyle w:val="Randnummer"/>
        <w:framePr w:wrap="around"/>
        <w:rPr>
          <w:rFonts w:eastAsiaTheme="majorEastAsia"/>
        </w:rPr>
      </w:pPr>
    </w:p>
    <w:p w14:paraId="57E89FA4" w14:textId="77777777" w:rsidR="003A5762" w:rsidRPr="003A5762" w:rsidRDefault="003A5762" w:rsidP="003A5762">
      <w:pPr>
        <w:rPr>
          <w:rFonts w:eastAsiaTheme="majorEastAsia"/>
        </w:rPr>
      </w:pPr>
      <w:r w:rsidRPr="003A5762">
        <w:rPr>
          <w:rFonts w:eastAsiaTheme="majorEastAsia"/>
        </w:rPr>
        <w:t>Ein Verwaltungsakt ist rechtmäßig, wenn er in Anwendung einer rechtmäßigen Ermächtigungsgrundlage erfolgt sowie formell und materiell rechtmäßig ist.</w:t>
      </w:r>
    </w:p>
    <w:p w14:paraId="124142C7" w14:textId="471BF9BC" w:rsidR="003A5762" w:rsidRPr="00874649" w:rsidRDefault="003A5762" w:rsidP="00577529">
      <w:pPr>
        <w:pStyle w:val="berschrift6"/>
      </w:pPr>
      <w:bookmarkStart w:id="57" w:name="_Toc22132940"/>
      <w:r w:rsidRPr="00874649">
        <w:t>1. Ermächtigungsgrundlage</w:t>
      </w:r>
      <w:bookmarkEnd w:id="57"/>
    </w:p>
    <w:p w14:paraId="6CAB8ADB" w14:textId="17486EED" w:rsidR="003A5762" w:rsidRPr="00874649" w:rsidRDefault="003A5762" w:rsidP="00577529">
      <w:pPr>
        <w:pStyle w:val="berschrift7"/>
      </w:pPr>
      <w:bookmarkStart w:id="58" w:name="_Toc22132941"/>
      <w:r w:rsidRPr="00874649">
        <w:t>a) Einschlägige Ermächtigungsgrundlage</w:t>
      </w:r>
      <w:bookmarkEnd w:id="58"/>
    </w:p>
    <w:p w14:paraId="23AA070F" w14:textId="77777777" w:rsidR="00035229" w:rsidRDefault="00035229" w:rsidP="00035229">
      <w:pPr>
        <w:pStyle w:val="Randnummer"/>
        <w:framePr w:wrap="around"/>
        <w:rPr>
          <w:rFonts w:eastAsiaTheme="majorEastAsia"/>
        </w:rPr>
      </w:pPr>
    </w:p>
    <w:p w14:paraId="0BFAE71A" w14:textId="77777777" w:rsidR="003A5762" w:rsidRPr="003A5762" w:rsidRDefault="003A5762" w:rsidP="003A5762">
      <w:pPr>
        <w:rPr>
          <w:rFonts w:eastAsiaTheme="majorEastAsia"/>
        </w:rPr>
      </w:pPr>
      <w:r w:rsidRPr="003A5762">
        <w:rPr>
          <w:rFonts w:eastAsiaTheme="majorEastAsia"/>
        </w:rPr>
        <w:t>Fraglich ist zum einen, welche Ermächtigungsgrundlage einschlägig ist.</w:t>
      </w:r>
    </w:p>
    <w:p w14:paraId="33808785" w14:textId="4E9F2272" w:rsidR="003A5762" w:rsidRPr="003A5762" w:rsidRDefault="003A5762" w:rsidP="003A5762">
      <w:pPr>
        <w:rPr>
          <w:rFonts w:eastAsiaTheme="majorEastAsia"/>
        </w:rPr>
      </w:pPr>
      <w:r w:rsidRPr="003A5762">
        <w:rPr>
          <w:rFonts w:eastAsiaTheme="majorEastAsia"/>
        </w:rPr>
        <w:t xml:space="preserve">Zunächst könnte bei der Auslegung des Ausgangsbescheids davon ausgegangen werden, dass sich die Anordnung auf die Sicherstellung der baulichen Anlagen auf dem Grundstück der K beziehen. Dies spräche dafür, dass § 58 </w:t>
      </w:r>
      <w:r w:rsidR="00090F42">
        <w:rPr>
          <w:rFonts w:eastAsiaTheme="majorEastAsia"/>
        </w:rPr>
        <w:t xml:space="preserve">I </w:t>
      </w:r>
      <w:r w:rsidRPr="003A5762">
        <w:rPr>
          <w:rFonts w:eastAsiaTheme="majorEastAsia"/>
        </w:rPr>
        <w:t xml:space="preserve">BauO Bln einschlägig wäre. Durch den Hinweis auf die favorisierte Sicherung durch einen Zaun bestehen jedoch Zweifel an der Bestimmtheit der Anordnung. Zudem bezieht sich die Androhung der Ersatzvornahme allein auf die Sicherung durch den Bau eines Zauns um das Grundstück und </w:t>
      </w:r>
      <w:r w:rsidR="00090F42">
        <w:rPr>
          <w:rFonts w:eastAsiaTheme="majorEastAsia"/>
        </w:rPr>
        <w:t xml:space="preserve">gerade </w:t>
      </w:r>
      <w:r w:rsidRPr="003A5762">
        <w:rPr>
          <w:rFonts w:eastAsiaTheme="majorEastAsia"/>
        </w:rPr>
        <w:t xml:space="preserve">nicht auf die Gebäude als bauliche Anlagen. Daher ist die Anordnung </w:t>
      </w:r>
      <w:r w:rsidR="00090F42">
        <w:rPr>
          <w:rFonts w:eastAsiaTheme="majorEastAsia"/>
        </w:rPr>
        <w:t xml:space="preserve">vielmehr </w:t>
      </w:r>
      <w:r w:rsidRPr="003A5762">
        <w:rPr>
          <w:rFonts w:eastAsiaTheme="majorEastAsia"/>
        </w:rPr>
        <w:t xml:space="preserve">dahingehend auszulegen, dass allein die Sicherung des Grundstücks und nicht der baulichen Anlagen angeordnet wird. § 58 BauO Bln deckt jedoch allein die Anordnung atypischer Maßnahmen an baulichen Anlagen und auch andere Vorschriften der BauO Bln sind nicht einschlägig. Mithin existiert keine spezialgesetzliche bauordnungsrechtliche Eingriffsbefugnis zur Verpflichtung des Grundstücksinhabers zur Vornahme von Sicherungsmaßnahmen an seinem Grundstück. </w:t>
      </w:r>
    </w:p>
    <w:p w14:paraId="64DBC032" w14:textId="4E2B669B" w:rsidR="003A5762" w:rsidRPr="003A5762" w:rsidRDefault="003A5762" w:rsidP="003A5762">
      <w:pPr>
        <w:rPr>
          <w:rFonts w:eastAsiaTheme="majorEastAsia"/>
        </w:rPr>
      </w:pPr>
      <w:r w:rsidRPr="003A5762">
        <w:rPr>
          <w:rFonts w:eastAsiaTheme="majorEastAsia"/>
        </w:rPr>
        <w:t xml:space="preserve">Daher ist die einschlägige Ermächtigungsgrundlage die ordnungsrechtliche Generalklausel § 17 </w:t>
      </w:r>
      <w:r w:rsidR="00E91AF0">
        <w:rPr>
          <w:rFonts w:eastAsiaTheme="majorEastAsia"/>
        </w:rPr>
        <w:t>I</w:t>
      </w:r>
      <w:r w:rsidRPr="003A5762">
        <w:rPr>
          <w:rFonts w:eastAsiaTheme="majorEastAsia"/>
        </w:rPr>
        <w:t xml:space="preserve"> ASOG. Danach können die Ordnungsbehörden die notwendigen Maßnahmen treffen, um eine im einzelnen Falle bestehende Gefahr für die öffentliche Sicherheit und Ordnung abzuwehren.</w:t>
      </w:r>
    </w:p>
    <w:p w14:paraId="5D6937EC" w14:textId="50D43477" w:rsidR="003A5762" w:rsidRPr="00874649" w:rsidRDefault="003A5762" w:rsidP="00577529">
      <w:pPr>
        <w:pStyle w:val="berschrift7"/>
      </w:pPr>
      <w:bookmarkStart w:id="59" w:name="_Toc22132942"/>
      <w:r w:rsidRPr="00874649">
        <w:t>b) Austausch der Ermächtigungsgrundlage</w:t>
      </w:r>
      <w:bookmarkEnd w:id="59"/>
    </w:p>
    <w:p w14:paraId="4CDD94B4" w14:textId="77777777" w:rsidR="00035229" w:rsidRDefault="00035229" w:rsidP="00035229">
      <w:pPr>
        <w:pStyle w:val="Randnummer"/>
        <w:framePr w:wrap="around"/>
        <w:rPr>
          <w:rFonts w:eastAsiaTheme="majorEastAsia"/>
        </w:rPr>
      </w:pPr>
    </w:p>
    <w:p w14:paraId="289338F2" w14:textId="77777777" w:rsidR="003A5762" w:rsidRPr="003A5762" w:rsidRDefault="003A5762" w:rsidP="003A5762">
      <w:pPr>
        <w:rPr>
          <w:rFonts w:eastAsiaTheme="majorEastAsia"/>
        </w:rPr>
      </w:pPr>
      <w:r w:rsidRPr="003A5762">
        <w:rPr>
          <w:rFonts w:eastAsiaTheme="majorEastAsia"/>
        </w:rPr>
        <w:t>Der Austausch der Ermächtigungsgrundlage durch die Widerspruchsbehörde müsste jedoch auch zulässig sein.</w:t>
      </w:r>
    </w:p>
    <w:p w14:paraId="32FC5815" w14:textId="0F7F9016" w:rsidR="003A5762" w:rsidRPr="003A5762" w:rsidRDefault="003A5762" w:rsidP="003A5762">
      <w:pPr>
        <w:rPr>
          <w:rFonts w:eastAsiaTheme="majorEastAsia"/>
        </w:rPr>
      </w:pPr>
      <w:r w:rsidRPr="003A5762">
        <w:rPr>
          <w:rFonts w:eastAsiaTheme="majorEastAsia"/>
        </w:rPr>
        <w:t xml:space="preserve">Grundsätzlich ist die Ausgangsbehörde nach § 45 </w:t>
      </w:r>
      <w:r w:rsidR="00E91AF0">
        <w:rPr>
          <w:rFonts w:eastAsiaTheme="majorEastAsia"/>
        </w:rPr>
        <w:t>I</w:t>
      </w:r>
      <w:r w:rsidRPr="003A5762">
        <w:rPr>
          <w:rFonts w:eastAsiaTheme="majorEastAsia"/>
        </w:rPr>
        <w:t xml:space="preserve"> Nr. 2 VwVfG dazu befugt, bis zum Abschluss der letzten Tatsacheninstanz eines verwaltungsgerichtlichen Verfahrens eine Begründung nachzuholen. Hierunter könnte auch der Wechsel der Rechtsgrundlage fallen. Es ist jedoch zwischen dem Nachholen und dem Nachschieben einer Begründung zu unterscheiden. Das Nachholen auf der einen Seite erfordert, dass zuvor keine Begründung </w:t>
      </w:r>
      <w:r w:rsidR="00090F42">
        <w:rPr>
          <w:rFonts w:eastAsiaTheme="majorEastAsia"/>
        </w:rPr>
        <w:t>vorlag</w:t>
      </w:r>
      <w:r w:rsidRPr="003A5762">
        <w:rPr>
          <w:rFonts w:eastAsiaTheme="majorEastAsia"/>
        </w:rPr>
        <w:t xml:space="preserve">. Das Nachschieben auf der anderen Seite umfasst die Fälle, in denen eine Begründung vorlag, diese aber in der Sache unzutreffend war. Da die Anordnung begründet wurde, aber möglicherweise auf eine falsche Ermächtigungsgrundlage gestützt wurde, ist </w:t>
      </w:r>
      <w:r w:rsidRPr="003A5762">
        <w:rPr>
          <w:rFonts w:eastAsiaTheme="majorEastAsia"/>
        </w:rPr>
        <w:lastRenderedPageBreak/>
        <w:t>vielmehr von einem Nach</w:t>
      </w:r>
      <w:r w:rsidR="00090F42">
        <w:rPr>
          <w:rFonts w:eastAsiaTheme="majorEastAsia"/>
        </w:rPr>
        <w:t>schieben von Gründen auszugehen, das</w:t>
      </w:r>
      <w:r w:rsidRPr="003A5762">
        <w:rPr>
          <w:rFonts w:eastAsiaTheme="majorEastAsia"/>
        </w:rPr>
        <w:t xml:space="preserve"> gerade nicht </w:t>
      </w:r>
      <w:r w:rsidR="00090F42">
        <w:rPr>
          <w:rFonts w:eastAsiaTheme="majorEastAsia"/>
        </w:rPr>
        <w:t xml:space="preserve">von </w:t>
      </w:r>
      <w:r w:rsidRPr="003A5762">
        <w:rPr>
          <w:rFonts w:eastAsiaTheme="majorEastAsia"/>
        </w:rPr>
        <w:t xml:space="preserve">§ 45 </w:t>
      </w:r>
      <w:r w:rsidR="00E91AF0">
        <w:rPr>
          <w:rFonts w:eastAsiaTheme="majorEastAsia"/>
        </w:rPr>
        <w:t>I</w:t>
      </w:r>
      <w:r w:rsidRPr="003A5762">
        <w:rPr>
          <w:rFonts w:eastAsiaTheme="majorEastAsia"/>
        </w:rPr>
        <w:t xml:space="preserve"> Nr. 2 VwVfG</w:t>
      </w:r>
      <w:r w:rsidR="00090F42">
        <w:rPr>
          <w:rFonts w:eastAsiaTheme="majorEastAsia"/>
        </w:rPr>
        <w:t xml:space="preserve"> umfasst ist</w:t>
      </w:r>
      <w:r w:rsidRPr="003A5762">
        <w:rPr>
          <w:rFonts w:eastAsiaTheme="majorEastAsia"/>
        </w:rPr>
        <w:t>. Der Rechtsgedanke des zulässigen Nachschiebens ergibt sich vielmehr aus § 114 S. 2 VwGO, wonach dies selbst noch im Verwaltungsprozess möglich ist.</w:t>
      </w:r>
    </w:p>
    <w:p w14:paraId="15CBF200" w14:textId="32B13A13" w:rsidR="003A5762" w:rsidRPr="003A5762" w:rsidRDefault="003A5762" w:rsidP="003A5762">
      <w:pPr>
        <w:rPr>
          <w:rFonts w:eastAsiaTheme="majorEastAsia"/>
        </w:rPr>
      </w:pPr>
      <w:r w:rsidRPr="003A5762">
        <w:rPr>
          <w:rFonts w:eastAsiaTheme="majorEastAsia"/>
        </w:rPr>
        <w:t xml:space="preserve">Dies entspricht auch der Prüfungskompetenz der Widerspruchsbehörde nach § 68 </w:t>
      </w:r>
      <w:r w:rsidR="00E91AF0">
        <w:rPr>
          <w:rFonts w:eastAsiaTheme="majorEastAsia"/>
        </w:rPr>
        <w:t>I</w:t>
      </w:r>
      <w:r w:rsidRPr="003A5762">
        <w:rPr>
          <w:rFonts w:eastAsiaTheme="majorEastAsia"/>
        </w:rPr>
        <w:t xml:space="preserve"> VwGO, wonach sie zur Prüfung der Recht- und Zweckmäßigkeit befugt ist, d.h. auch die Rechtsgrundlage des angegriffenen </w:t>
      </w:r>
      <w:r w:rsidR="00DA1B70">
        <w:rPr>
          <w:rFonts w:eastAsiaTheme="majorEastAsia"/>
        </w:rPr>
        <w:t>Verwaltungsakts</w:t>
      </w:r>
      <w:r w:rsidR="00090F42">
        <w:rPr>
          <w:rFonts w:eastAsiaTheme="majorEastAsia"/>
        </w:rPr>
        <w:t xml:space="preserve"> auszuwechseln.</w:t>
      </w:r>
      <w:r w:rsidR="00090F42">
        <w:rPr>
          <w:rStyle w:val="Funotenzeichen"/>
          <w:rFonts w:eastAsiaTheme="majorEastAsia"/>
        </w:rPr>
        <w:footnoteReference w:id="39"/>
      </w:r>
      <w:r w:rsidR="00A566D1">
        <w:rPr>
          <w:rFonts w:eastAsiaTheme="majorEastAsia"/>
        </w:rPr>
        <w:t xml:space="preserve"> </w:t>
      </w:r>
      <w:r w:rsidRPr="003A5762">
        <w:rPr>
          <w:rFonts w:eastAsiaTheme="majorEastAsia"/>
        </w:rPr>
        <w:t>Sie darf in dem Fall des Wechsels der Ermächtigungsgrundlage jedoch ihre Entscheidungskompetenzen nicht überschreiten. Das bedeutet, dass der Verwaltungsakt sich durch den Wechsel nicht in seinem Wesen ändern darf. Denn ihre Kompetenz umfasst nicht den Erlass eines neuen Ausgangsbescheids. Innerhalb der Ermessensverwaltung ist davon auszugehen, dass jedenfalls dann keine Wesensänderung vorliegt, wenn der Wechsel die Ermessensgrundlage oder den Ermessensrahmen nicht verändert.</w:t>
      </w:r>
    </w:p>
    <w:p w14:paraId="4C0FB1B5" w14:textId="35A83A94" w:rsidR="003A5762" w:rsidRPr="003A5762" w:rsidRDefault="003A5762" w:rsidP="003A5762">
      <w:pPr>
        <w:rPr>
          <w:rFonts w:eastAsiaTheme="majorEastAsia"/>
        </w:rPr>
      </w:pPr>
      <w:r w:rsidRPr="003A5762">
        <w:rPr>
          <w:rFonts w:eastAsiaTheme="majorEastAsia"/>
        </w:rPr>
        <w:t xml:space="preserve">Im vorliegenden Fall decken sich die Tatbestandsvoraussetzungen des § 58 </w:t>
      </w:r>
      <w:r w:rsidR="00035229">
        <w:rPr>
          <w:rFonts w:eastAsiaTheme="majorEastAsia"/>
        </w:rPr>
        <w:t xml:space="preserve">I </w:t>
      </w:r>
      <w:r w:rsidRPr="003A5762">
        <w:rPr>
          <w:rFonts w:eastAsiaTheme="majorEastAsia"/>
        </w:rPr>
        <w:t xml:space="preserve">BauO Bln und des § 17 </w:t>
      </w:r>
      <w:r w:rsidR="00E91AF0">
        <w:rPr>
          <w:rFonts w:eastAsiaTheme="majorEastAsia"/>
        </w:rPr>
        <w:t>I</w:t>
      </w:r>
      <w:r w:rsidRPr="003A5762">
        <w:rPr>
          <w:rFonts w:eastAsiaTheme="majorEastAsia"/>
        </w:rPr>
        <w:t xml:space="preserve"> ASOG weitestgehend. Zudem werden im Rahmen des Ermessens die gleichen Erwägungen herangezogen. Eine Wesensänderung liegt mithin nicht vor, sodass der Wechsel der Ermächtigungsgrundlage zulässig ist und die Voraussetzungen des § 17 </w:t>
      </w:r>
      <w:r w:rsidR="00E91AF0">
        <w:rPr>
          <w:rFonts w:eastAsiaTheme="majorEastAsia"/>
        </w:rPr>
        <w:t>I</w:t>
      </w:r>
      <w:r w:rsidRPr="003A5762">
        <w:rPr>
          <w:rFonts w:eastAsiaTheme="majorEastAsia"/>
        </w:rPr>
        <w:t xml:space="preserve"> ASOG zu prüfen sind.</w:t>
      </w:r>
      <w:r w:rsidR="00090F42">
        <w:rPr>
          <w:rStyle w:val="Funotenzeichen"/>
          <w:rFonts w:eastAsiaTheme="majorEastAsia"/>
        </w:rPr>
        <w:footnoteReference w:id="40"/>
      </w:r>
    </w:p>
    <w:p w14:paraId="11214014" w14:textId="77EDA62C" w:rsidR="003A5762" w:rsidRPr="00874649" w:rsidRDefault="003A5762" w:rsidP="00577529">
      <w:pPr>
        <w:pStyle w:val="berschrift6"/>
      </w:pPr>
      <w:bookmarkStart w:id="60" w:name="_Toc22132943"/>
      <w:r w:rsidRPr="00874649">
        <w:t>2. Formelle Rechtmäßigkeit</w:t>
      </w:r>
      <w:bookmarkEnd w:id="60"/>
    </w:p>
    <w:p w14:paraId="4CA6E04E" w14:textId="77777777" w:rsidR="00035229" w:rsidRDefault="00035229" w:rsidP="00035229">
      <w:pPr>
        <w:pStyle w:val="Randnummer"/>
        <w:framePr w:wrap="around"/>
        <w:rPr>
          <w:rFonts w:eastAsiaTheme="majorEastAsia"/>
        </w:rPr>
      </w:pPr>
    </w:p>
    <w:p w14:paraId="43A3F224" w14:textId="77777777" w:rsidR="003A5762" w:rsidRPr="003A5762" w:rsidRDefault="003A5762" w:rsidP="003A5762">
      <w:pPr>
        <w:rPr>
          <w:rFonts w:eastAsiaTheme="majorEastAsia"/>
        </w:rPr>
      </w:pPr>
      <w:r w:rsidRPr="003A5762">
        <w:rPr>
          <w:rFonts w:eastAsiaTheme="majorEastAsia"/>
        </w:rPr>
        <w:t>Die Anordnung müsste durch die zuständige Behörde im Rahmen eines rechtmäßigen Verfahrens erlassen worden sein und den Formvorschriften entsprechen.</w:t>
      </w:r>
    </w:p>
    <w:p w14:paraId="038D35BC" w14:textId="730CEA3B" w:rsidR="003A5762" w:rsidRPr="00874649" w:rsidRDefault="003A5762" w:rsidP="00577529">
      <w:pPr>
        <w:pStyle w:val="berschrift7"/>
      </w:pPr>
      <w:bookmarkStart w:id="61" w:name="_Toc22132944"/>
      <w:r w:rsidRPr="00874649">
        <w:t>a) Zuständigkeit</w:t>
      </w:r>
      <w:bookmarkEnd w:id="61"/>
    </w:p>
    <w:p w14:paraId="38F7EF92" w14:textId="77777777" w:rsidR="00035229" w:rsidRDefault="00035229" w:rsidP="00035229">
      <w:pPr>
        <w:pStyle w:val="Randnummer"/>
        <w:framePr w:wrap="around"/>
        <w:rPr>
          <w:rFonts w:eastAsiaTheme="majorEastAsia"/>
        </w:rPr>
      </w:pPr>
    </w:p>
    <w:p w14:paraId="5B531AED" w14:textId="5B4D59C2" w:rsidR="003A5762" w:rsidRPr="003A5762" w:rsidRDefault="003A5762" w:rsidP="003A5762">
      <w:pPr>
        <w:rPr>
          <w:rFonts w:eastAsiaTheme="majorEastAsia"/>
        </w:rPr>
      </w:pPr>
      <w:r w:rsidRPr="003A5762">
        <w:rPr>
          <w:rFonts w:eastAsiaTheme="majorEastAsia"/>
        </w:rPr>
        <w:t xml:space="preserve">Nach § 4 </w:t>
      </w:r>
      <w:r w:rsidR="00E91AF0">
        <w:rPr>
          <w:rFonts w:eastAsiaTheme="majorEastAsia"/>
        </w:rPr>
        <w:t>II</w:t>
      </w:r>
      <w:r w:rsidR="00090F42">
        <w:rPr>
          <w:rFonts w:eastAsiaTheme="majorEastAsia"/>
        </w:rPr>
        <w:t xml:space="preserve"> AZG i.V.m. § 2 IV</w:t>
      </w:r>
      <w:r w:rsidRPr="003A5762">
        <w:rPr>
          <w:rFonts w:eastAsiaTheme="majorEastAsia"/>
        </w:rPr>
        <w:t xml:space="preserve"> ASOG i.V.m. Nr. 15 ZustKatOrd sind die Bezirksämter</w:t>
      </w:r>
      <w:r w:rsidR="00090F42">
        <w:rPr>
          <w:rFonts w:eastAsiaTheme="majorEastAsia"/>
        </w:rPr>
        <w:t xml:space="preserve"> sachlich</w:t>
      </w:r>
      <w:r w:rsidRPr="003A5762">
        <w:rPr>
          <w:rFonts w:eastAsiaTheme="majorEastAsia"/>
        </w:rPr>
        <w:t xml:space="preserve"> zuständig.</w:t>
      </w:r>
      <w:r w:rsidR="00090F42">
        <w:rPr>
          <w:rFonts w:eastAsiaTheme="majorEastAsia"/>
        </w:rPr>
        <w:t xml:space="preserve"> Die örtliche Zuständigkeit ist laut Sachverhalt gegeben.</w:t>
      </w:r>
    </w:p>
    <w:p w14:paraId="1E3CE7B1" w14:textId="5182CA33" w:rsidR="003A5762" w:rsidRPr="00874649" w:rsidRDefault="003A5762" w:rsidP="00577529">
      <w:pPr>
        <w:pStyle w:val="berschrift7"/>
      </w:pPr>
      <w:bookmarkStart w:id="62" w:name="_Toc22132945"/>
      <w:r w:rsidRPr="00874649">
        <w:t>b) Verfahren</w:t>
      </w:r>
      <w:bookmarkEnd w:id="62"/>
    </w:p>
    <w:p w14:paraId="1AAE88B6" w14:textId="77777777" w:rsidR="00035229" w:rsidRDefault="00035229" w:rsidP="00035229">
      <w:pPr>
        <w:pStyle w:val="Randnummer"/>
        <w:framePr w:wrap="around"/>
        <w:rPr>
          <w:rFonts w:eastAsiaTheme="majorEastAsia"/>
        </w:rPr>
      </w:pPr>
    </w:p>
    <w:p w14:paraId="219132DD" w14:textId="3E9F2B64" w:rsidR="003A5762" w:rsidRPr="003A5762" w:rsidRDefault="003A5762" w:rsidP="003A5762">
      <w:pPr>
        <w:rPr>
          <w:rFonts w:eastAsiaTheme="majorEastAsia"/>
        </w:rPr>
      </w:pPr>
      <w:r w:rsidRPr="003A5762">
        <w:rPr>
          <w:rFonts w:eastAsiaTheme="majorEastAsia"/>
        </w:rPr>
        <w:t xml:space="preserve">Fraglich ist jedoch, ob die Verfahrensvorschriften eingehalten wurden. Gemäß § 28 </w:t>
      </w:r>
      <w:r w:rsidR="00E91AF0">
        <w:rPr>
          <w:rFonts w:eastAsiaTheme="majorEastAsia"/>
        </w:rPr>
        <w:t>I</w:t>
      </w:r>
      <w:r w:rsidRPr="003A5762">
        <w:rPr>
          <w:rFonts w:eastAsiaTheme="majorEastAsia"/>
        </w:rPr>
        <w:t xml:space="preserve"> VwVfG sind die von belastenden Verwaltungsakten Betroffenen zu den für die Entscheidung erheblichen Tatsachen anzuhören. Bei der vorliegenden Anordnung handelt es sich um einen belastenden Verwaltungsakt, sodass eine Anhörung grundsätzlich erforderlich gewesen wäre. Eine Anhörung fand jedoch nicht statt. </w:t>
      </w:r>
    </w:p>
    <w:p w14:paraId="34BF6B56" w14:textId="70EF7BBC" w:rsidR="00035229" w:rsidRPr="00874649" w:rsidRDefault="00035229" w:rsidP="00577529">
      <w:pPr>
        <w:pStyle w:val="berschrift8"/>
      </w:pPr>
      <w:bookmarkStart w:id="63" w:name="_Toc22132946"/>
      <w:r w:rsidRPr="00874649">
        <w:t>aa) Entbehrlichkeit der Anhörung</w:t>
      </w:r>
      <w:bookmarkEnd w:id="63"/>
    </w:p>
    <w:p w14:paraId="3F764CBC" w14:textId="77777777" w:rsidR="00035229" w:rsidRPr="00035229" w:rsidRDefault="00035229" w:rsidP="00035229">
      <w:pPr>
        <w:pStyle w:val="Randnummer"/>
        <w:framePr w:wrap="around"/>
      </w:pPr>
    </w:p>
    <w:p w14:paraId="28201B91" w14:textId="2DC32FE6" w:rsidR="003A5762" w:rsidRPr="003A5762" w:rsidRDefault="003A5762" w:rsidP="003A5762">
      <w:pPr>
        <w:rPr>
          <w:rFonts w:eastAsiaTheme="majorEastAsia"/>
        </w:rPr>
      </w:pPr>
      <w:r w:rsidRPr="003A5762">
        <w:rPr>
          <w:rFonts w:eastAsiaTheme="majorEastAsia"/>
        </w:rPr>
        <w:t xml:space="preserve">In Betracht kommt, dass die Anhörung gemäß § 28 </w:t>
      </w:r>
      <w:r w:rsidR="00E91AF0">
        <w:rPr>
          <w:rFonts w:eastAsiaTheme="majorEastAsia"/>
        </w:rPr>
        <w:t>II</w:t>
      </w:r>
      <w:r w:rsidRPr="003A5762">
        <w:rPr>
          <w:rFonts w:eastAsiaTheme="majorEastAsia"/>
        </w:rPr>
        <w:t xml:space="preserve"> Nr. 1 VwVfG entbehrlich war. Dafür müsste Gefahr in Verzug vorgelegen haben. Das ist der Fall, wenn damit zu rechnen ist, dass der Zweck des </w:t>
      </w:r>
      <w:r w:rsidR="00DA1B70">
        <w:rPr>
          <w:rFonts w:eastAsiaTheme="majorEastAsia"/>
        </w:rPr>
        <w:t>Verwaltungsakts</w:t>
      </w:r>
      <w:r w:rsidRPr="003A5762">
        <w:rPr>
          <w:rFonts w:eastAsiaTheme="majorEastAsia"/>
        </w:rPr>
        <w:t xml:space="preserve"> bei Abwarten nicht mehr erreicht werden könnte.</w:t>
      </w:r>
    </w:p>
    <w:p w14:paraId="72CE519B" w14:textId="6653B2CB" w:rsidR="003A5762" w:rsidRDefault="003A5762" w:rsidP="003A5762">
      <w:pPr>
        <w:rPr>
          <w:rFonts w:eastAsiaTheme="majorEastAsia"/>
        </w:rPr>
      </w:pPr>
      <w:r w:rsidRPr="003A5762">
        <w:rPr>
          <w:rFonts w:eastAsiaTheme="majorEastAsia"/>
        </w:rPr>
        <w:lastRenderedPageBreak/>
        <w:t xml:space="preserve">Jedoch geht die Behörde selbst davon aus, dass noch eine gewisse Zeit abgewartet werden kann, da sie anordnet, dass erst ab Bestandskraft die Ersatzvornahme angedroht wird. Eine sofortige Anordnung hat sie gerade nicht angeordnet. Gefahr in Verzug nach § 28 </w:t>
      </w:r>
      <w:r w:rsidR="00E91AF0">
        <w:rPr>
          <w:rFonts w:eastAsiaTheme="majorEastAsia"/>
        </w:rPr>
        <w:t>II</w:t>
      </w:r>
      <w:r w:rsidRPr="003A5762">
        <w:rPr>
          <w:rFonts w:eastAsiaTheme="majorEastAsia"/>
        </w:rPr>
        <w:t xml:space="preserve"> Nr. 1 VwVfG liegt mithin nicht vor.</w:t>
      </w:r>
    </w:p>
    <w:p w14:paraId="41A2F557" w14:textId="77777777" w:rsidR="00C87638" w:rsidRDefault="00C87638" w:rsidP="003A5762">
      <w:pPr>
        <w:rPr>
          <w:rFonts w:eastAsiaTheme="majorEastAsia"/>
        </w:rPr>
      </w:pPr>
    </w:p>
    <w:p w14:paraId="019DB006" w14:textId="77777777" w:rsidR="00C87638" w:rsidRDefault="00C87638" w:rsidP="00577529">
      <w:pPr>
        <w:pStyle w:val="berschrift8"/>
      </w:pPr>
    </w:p>
    <w:p w14:paraId="701D8F88" w14:textId="1F88000A" w:rsidR="003A5762" w:rsidRPr="00874649" w:rsidRDefault="00035229" w:rsidP="00577529">
      <w:pPr>
        <w:pStyle w:val="berschrift8"/>
      </w:pPr>
      <w:bookmarkStart w:id="64" w:name="_Toc22132947"/>
      <w:r w:rsidRPr="00874649">
        <w:t xml:space="preserve">bb) </w:t>
      </w:r>
      <w:r w:rsidR="003A5762" w:rsidRPr="00874649">
        <w:t>Heilung der fehlenden Anhörung</w:t>
      </w:r>
      <w:bookmarkEnd w:id="64"/>
    </w:p>
    <w:p w14:paraId="4371407E" w14:textId="77777777" w:rsidR="00035229" w:rsidRPr="00035229" w:rsidRDefault="00035229" w:rsidP="00035229">
      <w:pPr>
        <w:pStyle w:val="Randnummer"/>
        <w:framePr w:wrap="around"/>
      </w:pPr>
    </w:p>
    <w:p w14:paraId="391847B9" w14:textId="6EFEF971" w:rsidR="003A5762" w:rsidRPr="003A5762" w:rsidRDefault="003A5762" w:rsidP="003A5762">
      <w:pPr>
        <w:rPr>
          <w:rFonts w:eastAsiaTheme="majorEastAsia"/>
        </w:rPr>
      </w:pPr>
      <w:r w:rsidRPr="003A5762">
        <w:rPr>
          <w:rFonts w:eastAsiaTheme="majorEastAsia"/>
        </w:rPr>
        <w:t xml:space="preserve">Letztlich könnte die fehlende Anhörung gemäß § 45 </w:t>
      </w:r>
      <w:r w:rsidR="00E91AF0">
        <w:rPr>
          <w:rFonts w:eastAsiaTheme="majorEastAsia"/>
        </w:rPr>
        <w:t>I</w:t>
      </w:r>
      <w:r w:rsidRPr="003A5762">
        <w:rPr>
          <w:rFonts w:eastAsiaTheme="majorEastAsia"/>
        </w:rPr>
        <w:t xml:space="preserve"> Nr. 3 VwVfG</w:t>
      </w:r>
      <w:r w:rsidR="00090F42" w:rsidRPr="00090F42">
        <w:rPr>
          <w:rFonts w:eastAsiaTheme="majorEastAsia"/>
        </w:rPr>
        <w:t xml:space="preserve"> </w:t>
      </w:r>
      <w:r w:rsidR="00090F42" w:rsidRPr="003A5762">
        <w:rPr>
          <w:rFonts w:eastAsiaTheme="majorEastAsia"/>
        </w:rPr>
        <w:t>geheilt worden sein</w:t>
      </w:r>
      <w:r w:rsidRPr="003A5762">
        <w:rPr>
          <w:rFonts w:eastAsiaTheme="majorEastAsia"/>
        </w:rPr>
        <w:t>. Dies erfordert eine Nachholung der Anhörung. Eine Nachholung könnte in dem erfolgten Widerspruchsverfahren zu sehen sein, auch wenn nicht ausdrücklich von einer Nachholung gesprochen wurde. Dafür spricht insbesondere der Sinn und Zweck einer Anhörung, dass die Betroffenen die Möglichkeit bekommen sollen, sich zum Verwaltungsverfahren zu äußern und Überraschungseffekte zu vermeiden. Mit dem Widerspruch hat die K die Möglichkeit bekommen, sich inhaltlich zu der Sache zu äußern.</w:t>
      </w:r>
    </w:p>
    <w:p w14:paraId="73844CA9" w14:textId="02C06FAB" w:rsidR="003A5762" w:rsidRPr="003A5762" w:rsidRDefault="003A5762" w:rsidP="003A5762">
      <w:pPr>
        <w:rPr>
          <w:rFonts w:eastAsiaTheme="majorEastAsia"/>
        </w:rPr>
      </w:pPr>
      <w:r w:rsidRPr="003A5762">
        <w:rPr>
          <w:rFonts w:eastAsiaTheme="majorEastAsia"/>
        </w:rPr>
        <w:t xml:space="preserve">Mithin reicht das Widerspruchsverfahren für eine Nachholung der Anhörung aus, sodass der Verfahrensfehler insoweit </w:t>
      </w:r>
      <w:r w:rsidR="00090F42">
        <w:rPr>
          <w:rFonts w:eastAsiaTheme="majorEastAsia"/>
        </w:rPr>
        <w:t>geheilt wurde</w:t>
      </w:r>
      <w:r w:rsidRPr="003A5762">
        <w:rPr>
          <w:rFonts w:eastAsiaTheme="majorEastAsia"/>
        </w:rPr>
        <w:t>.</w:t>
      </w:r>
      <w:r w:rsidR="00090F42">
        <w:rPr>
          <w:rStyle w:val="Funotenzeichen"/>
          <w:rFonts w:eastAsiaTheme="majorEastAsia"/>
        </w:rPr>
        <w:footnoteReference w:id="41"/>
      </w:r>
    </w:p>
    <w:p w14:paraId="357DE209" w14:textId="2193EE9B" w:rsidR="003A5762" w:rsidRPr="00874649" w:rsidRDefault="003A5762" w:rsidP="00577529">
      <w:pPr>
        <w:pStyle w:val="berschrift7"/>
      </w:pPr>
      <w:bookmarkStart w:id="65" w:name="_Toc22132948"/>
      <w:r w:rsidRPr="00874649">
        <w:t>c) Form</w:t>
      </w:r>
      <w:bookmarkEnd w:id="65"/>
    </w:p>
    <w:p w14:paraId="6AC404E7" w14:textId="77777777" w:rsidR="00035229" w:rsidRDefault="00035229" w:rsidP="00035229">
      <w:pPr>
        <w:pStyle w:val="Randnummer"/>
        <w:framePr w:wrap="around"/>
        <w:rPr>
          <w:rFonts w:eastAsiaTheme="majorEastAsia"/>
        </w:rPr>
      </w:pPr>
    </w:p>
    <w:p w14:paraId="395549D0" w14:textId="365F22B3" w:rsidR="003A5762" w:rsidRPr="003A5762" w:rsidRDefault="003A5762" w:rsidP="003A5762">
      <w:pPr>
        <w:rPr>
          <w:rFonts w:eastAsiaTheme="majorEastAsia"/>
        </w:rPr>
      </w:pPr>
      <w:r w:rsidRPr="003A5762">
        <w:rPr>
          <w:rFonts w:eastAsiaTheme="majorEastAsia"/>
        </w:rPr>
        <w:t xml:space="preserve">Formelle Fehler sind nicht ersichtlich. Die Anordnung erfolgte gemäß § 37 </w:t>
      </w:r>
      <w:r w:rsidR="00E91AF0">
        <w:rPr>
          <w:rFonts w:eastAsiaTheme="majorEastAsia"/>
        </w:rPr>
        <w:t>II</w:t>
      </w:r>
      <w:r w:rsidRPr="003A5762">
        <w:rPr>
          <w:rFonts w:eastAsiaTheme="majorEastAsia"/>
        </w:rPr>
        <w:t xml:space="preserve"> VwVfG in schriftlicher Form und wurde dem entsprechend ordnungsgemäß nach § 39 </w:t>
      </w:r>
      <w:r w:rsidR="00E91AF0">
        <w:rPr>
          <w:rFonts w:eastAsiaTheme="majorEastAsia"/>
        </w:rPr>
        <w:t>I</w:t>
      </w:r>
      <w:r w:rsidRPr="003A5762">
        <w:rPr>
          <w:rFonts w:eastAsiaTheme="majorEastAsia"/>
        </w:rPr>
        <w:t xml:space="preserve"> VwVfG mit einer </w:t>
      </w:r>
      <w:r w:rsidR="00090F42">
        <w:rPr>
          <w:rFonts w:eastAsiaTheme="majorEastAsia"/>
        </w:rPr>
        <w:t xml:space="preserve">ordnungsgemäßen </w:t>
      </w:r>
      <w:r w:rsidRPr="003A5762">
        <w:rPr>
          <w:rFonts w:eastAsiaTheme="majorEastAsia"/>
        </w:rPr>
        <w:t>Begründung versehen.</w:t>
      </w:r>
    </w:p>
    <w:p w14:paraId="17FD8289" w14:textId="43356F40" w:rsidR="003A5762" w:rsidRPr="00874649" w:rsidRDefault="003A5762" w:rsidP="00577529">
      <w:pPr>
        <w:pStyle w:val="berschrift6"/>
      </w:pPr>
      <w:bookmarkStart w:id="66" w:name="_Toc22132949"/>
      <w:r w:rsidRPr="00874649">
        <w:t>3. Materielle Rechtmäßigkeit</w:t>
      </w:r>
      <w:bookmarkEnd w:id="66"/>
    </w:p>
    <w:p w14:paraId="738590AB" w14:textId="73F9B3E7" w:rsidR="003A5762" w:rsidRPr="00874649" w:rsidRDefault="003A5762" w:rsidP="00577529">
      <w:pPr>
        <w:pStyle w:val="berschrift7"/>
      </w:pPr>
      <w:bookmarkStart w:id="67" w:name="_Toc22132950"/>
      <w:r w:rsidRPr="00874649">
        <w:t>a) Tatbestand</w:t>
      </w:r>
      <w:bookmarkEnd w:id="67"/>
    </w:p>
    <w:p w14:paraId="660BD439" w14:textId="4D7793F6" w:rsidR="003A5762" w:rsidRPr="00874649" w:rsidRDefault="003A5762" w:rsidP="00577529">
      <w:pPr>
        <w:pStyle w:val="berschrift8"/>
      </w:pPr>
      <w:bookmarkStart w:id="68" w:name="_Toc22132951"/>
      <w:r w:rsidRPr="00874649">
        <w:t>aa) Öffentliche Sicherheit und Ordnung</w:t>
      </w:r>
      <w:bookmarkEnd w:id="68"/>
    </w:p>
    <w:p w14:paraId="7CFCF7AB" w14:textId="77777777" w:rsidR="00035229" w:rsidRDefault="00035229" w:rsidP="00035229">
      <w:pPr>
        <w:pStyle w:val="Randnummer"/>
        <w:framePr w:wrap="around"/>
        <w:rPr>
          <w:rFonts w:eastAsiaTheme="majorEastAsia"/>
        </w:rPr>
      </w:pPr>
    </w:p>
    <w:p w14:paraId="6ED98252" w14:textId="7AC30DD5" w:rsidR="003A5762" w:rsidRPr="003A5762" w:rsidRDefault="003A5762" w:rsidP="003A5762">
      <w:pPr>
        <w:rPr>
          <w:rFonts w:eastAsiaTheme="majorEastAsia"/>
        </w:rPr>
      </w:pPr>
      <w:r w:rsidRPr="003A5762">
        <w:rPr>
          <w:rFonts w:eastAsiaTheme="majorEastAsia"/>
        </w:rPr>
        <w:t xml:space="preserve">Zunächst müsste ein geschütztes Rechtsgut der öffentlichen Sicherheit und Ordnung im Sinne der polizeirechtlichen Generalklausel betroffen sein. Die öffentliche Sicherheit umfasst die gesamte geschriebene Rechtsordnung, Individualrechtsgüter und die Funktionsfähigkeit des Staates und seiner Einrichtungen. Vorliegend könnten zunächst Individualrechtsgüter betroffen sein. Insbesondere könnten sich Kinder und Jugendliche, die sich unbefugt und möglicherweise auch alkoholisiert auf dem Gelände aufhalten, verletzten, sodass jedenfalls die körperliche Unversehrtheit nach Art. 2 </w:t>
      </w:r>
      <w:r w:rsidR="00E91AF0">
        <w:rPr>
          <w:rFonts w:eastAsiaTheme="majorEastAsia"/>
        </w:rPr>
        <w:t>II</w:t>
      </w:r>
      <w:r w:rsidRPr="003A5762">
        <w:rPr>
          <w:rFonts w:eastAsiaTheme="majorEastAsia"/>
        </w:rPr>
        <w:t xml:space="preserve"> </w:t>
      </w:r>
      <w:r w:rsidR="00E91AF0">
        <w:rPr>
          <w:rFonts w:eastAsiaTheme="majorEastAsia"/>
        </w:rPr>
        <w:t>1</w:t>
      </w:r>
      <w:r w:rsidRPr="003A5762">
        <w:rPr>
          <w:rFonts w:eastAsiaTheme="majorEastAsia"/>
        </w:rPr>
        <w:t xml:space="preserve"> GG betroffen sein könnte. Diesbezüglich ist jedoch fraglich, inwiefern bei Selbstgefährdungen Dritter das Schutzgut der körperlichen Unversehrtheit betroffen sein kann, da schließlich die Personen </w:t>
      </w:r>
      <w:r w:rsidRPr="003A5762">
        <w:rPr>
          <w:rFonts w:eastAsiaTheme="majorEastAsia"/>
        </w:rPr>
        <w:lastRenderedPageBreak/>
        <w:t>sich beim Betreten des Grundstücks über die Gefahren bewusst sind.</w:t>
      </w:r>
      <w:r w:rsidR="00090F42">
        <w:rPr>
          <w:rStyle w:val="Funotenzeichen"/>
          <w:rFonts w:eastAsiaTheme="majorEastAsia"/>
        </w:rPr>
        <w:footnoteReference w:id="42"/>
      </w:r>
      <w:r w:rsidRPr="003A5762">
        <w:rPr>
          <w:rFonts w:eastAsiaTheme="majorEastAsia"/>
        </w:rPr>
        <w:t xml:space="preserve"> Es gilt daher grundsätzlich, dass bei ausschließlicher Selbstgefährdung die öffentliche Sicherheit nicht betroffen ist, soweit keine anderen Schutzgüter betroffen sein könnten und die Einzelnen die Gefahr für sich jeweils absehen können, d.h. einschätzen, inwiefern sie sich Verletzungen der körperlichen Unversehrtheit aussetzen.</w:t>
      </w:r>
    </w:p>
    <w:p w14:paraId="2969680B" w14:textId="20C9F1A5" w:rsidR="003A5762" w:rsidRDefault="003A5762" w:rsidP="003A5762">
      <w:pPr>
        <w:rPr>
          <w:rFonts w:eastAsiaTheme="majorEastAsia"/>
        </w:rPr>
      </w:pPr>
      <w:r w:rsidRPr="003A5762">
        <w:rPr>
          <w:rFonts w:eastAsiaTheme="majorEastAsia"/>
        </w:rPr>
        <w:t>Zwar könnte davon ausgegangen werden, dass die Jugendlichen bereits über eine ausreichende Einsichtsfähigkeit verfügen. Jedoch spricht dagegen, dass sich Jugendliche noch sehr leichtsinnig in Situationen begeben, deren Ausmaße sie nicht richtig einschätzen können. Hinzu kommt, dass auch jüngere Kinder den Zugang zu dem Grundstück nutzen, die in einem höheren Maße geschützt werden müssen. Schließlich wurden leere Flaschen alkoholischer Getränke auf dem Grundstück gefunden, was bedeuten kann, dass die Personen, die sich dort aufhalten betrunken sind und damit auch nicht mehr die Gefahren richtig einschätzen können, sodass ausnahmsweise die Selbstgefährdung Dritter dazu führt, dass das Individualrechtsgut der körperlichen Unversehrtheit der selbstgefährdenden Personen als Schutzgut betroffen ist.</w:t>
      </w:r>
    </w:p>
    <w:p w14:paraId="5EC10B69" w14:textId="7825C8FA" w:rsidR="00874649" w:rsidRPr="00874649" w:rsidRDefault="008C1818" w:rsidP="003A5762">
      <w:pPr>
        <w:rPr>
          <w:rFonts w:eastAsiaTheme="majorEastAsia"/>
          <w:i/>
        </w:rPr>
      </w:pPr>
      <w:r>
        <w:rPr>
          <w:i/>
        </w:rPr>
        <w:t>Lösungsh</w:t>
      </w:r>
      <w:r w:rsidR="00874649" w:rsidRPr="00874649">
        <w:rPr>
          <w:i/>
        </w:rPr>
        <w:t>inweis: Eine andere Ansicht ist mit entsprechende</w:t>
      </w:r>
      <w:r w:rsidR="00090F42">
        <w:rPr>
          <w:i/>
        </w:rPr>
        <w:t>r</w:t>
      </w:r>
      <w:r w:rsidR="00874649" w:rsidRPr="00874649">
        <w:rPr>
          <w:i/>
        </w:rPr>
        <w:t xml:space="preserve"> Argumentation vertretbar. Jedoch muss in dem Fall auf mögliche andere Schutzgüter eingegangen werden. So ist beispielsweise § 123 </w:t>
      </w:r>
      <w:r w:rsidR="00E91AF0">
        <w:rPr>
          <w:i/>
        </w:rPr>
        <w:t>I</w:t>
      </w:r>
      <w:r w:rsidR="00874649" w:rsidRPr="00874649">
        <w:rPr>
          <w:i/>
        </w:rPr>
        <w:t xml:space="preserve"> StGB als Bestandteil der gesamten geschriebenen Rechtsordnung aufgrund der fehlenden Einzäunung nicht einschlägig. Im Ergebnis wäre in einem Hilfsgutachten weiter zu prüfen.</w:t>
      </w:r>
    </w:p>
    <w:p w14:paraId="551137B6" w14:textId="7F7425B2" w:rsidR="003A5762" w:rsidRPr="00874649" w:rsidRDefault="003A5762" w:rsidP="00577529">
      <w:pPr>
        <w:pStyle w:val="berschrift8"/>
      </w:pPr>
      <w:bookmarkStart w:id="69" w:name="_Toc22132952"/>
      <w:r w:rsidRPr="00874649">
        <w:t>bb) Gefahr</w:t>
      </w:r>
      <w:bookmarkEnd w:id="69"/>
    </w:p>
    <w:p w14:paraId="0FB64E97" w14:textId="77777777" w:rsidR="00035229" w:rsidRDefault="00035229" w:rsidP="00035229">
      <w:pPr>
        <w:pStyle w:val="Randnummer"/>
        <w:framePr w:wrap="around"/>
        <w:rPr>
          <w:rFonts w:eastAsiaTheme="majorEastAsia"/>
        </w:rPr>
      </w:pPr>
    </w:p>
    <w:p w14:paraId="109316D7" w14:textId="77777777" w:rsidR="003A5762" w:rsidRPr="003A5762" w:rsidRDefault="003A5762" w:rsidP="003A5762">
      <w:pPr>
        <w:rPr>
          <w:rFonts w:eastAsiaTheme="majorEastAsia"/>
        </w:rPr>
      </w:pPr>
      <w:r w:rsidRPr="003A5762">
        <w:rPr>
          <w:rFonts w:eastAsiaTheme="majorEastAsia"/>
        </w:rPr>
        <w:t>Es müsste ferner für diese Schutzgüter eine Gefahr im Sinne einer konkreten Gefahr vorliegen. Eine konkrete Gefahr ist eine Sachlage, die in der konkreten Situation bei ungehindertem Ablauf in überschaubarer Zeit mit hinreichender Wahrscheinlichkeit den Eintritt eines Schadens an einem Schutzgut befürchten lässt.</w:t>
      </w:r>
    </w:p>
    <w:p w14:paraId="75DFE1C9" w14:textId="77777777" w:rsidR="003A5762" w:rsidRPr="003A5762" w:rsidRDefault="003A5762" w:rsidP="003A5762">
      <w:pPr>
        <w:rPr>
          <w:rFonts w:eastAsiaTheme="majorEastAsia"/>
        </w:rPr>
      </w:pPr>
      <w:r w:rsidRPr="003A5762">
        <w:rPr>
          <w:rFonts w:eastAsiaTheme="majorEastAsia"/>
        </w:rPr>
        <w:t>In dem Fall, dass die K die erforderlichen Absicherungsmaßnahmen nicht vornimmt, kann mit einer erheblichen Wahrscheinlichkeit nicht ausgeschlossen werden, dass Kinder und Jugendliche erneut das Gelände betreten und sich dabei in einem nicht unerheblichen Maße verletzten, da diese bereits nachweislich hierbei beobachtet wurden und ferner viele Trampelpfade auf dem Grundstück zu erkennen sind. Es liegt mithin eine Gefahr für das Schutzgut der körperlichen Unversehrtheit vor.</w:t>
      </w:r>
    </w:p>
    <w:p w14:paraId="28E5D841" w14:textId="25D71BFF" w:rsidR="003A5762" w:rsidRPr="00874649" w:rsidRDefault="003A5762" w:rsidP="00577529">
      <w:pPr>
        <w:pStyle w:val="berschrift8"/>
      </w:pPr>
      <w:bookmarkStart w:id="70" w:name="_Toc22132953"/>
      <w:r w:rsidRPr="00874649">
        <w:t>cc) Verantwortlichkeit</w:t>
      </w:r>
      <w:bookmarkEnd w:id="70"/>
    </w:p>
    <w:p w14:paraId="6C61DE1E" w14:textId="77777777" w:rsidR="00035229" w:rsidRDefault="00035229" w:rsidP="00035229">
      <w:pPr>
        <w:pStyle w:val="Randnummer"/>
        <w:framePr w:wrap="around"/>
        <w:rPr>
          <w:rFonts w:eastAsiaTheme="majorEastAsia"/>
        </w:rPr>
      </w:pPr>
    </w:p>
    <w:p w14:paraId="082952A1" w14:textId="77777777" w:rsidR="00F16318" w:rsidRDefault="003A5762" w:rsidP="003A5762">
      <w:pPr>
        <w:rPr>
          <w:rFonts w:eastAsiaTheme="majorEastAsia"/>
        </w:rPr>
      </w:pPr>
      <w:r w:rsidRPr="003A5762">
        <w:rPr>
          <w:rFonts w:eastAsiaTheme="majorEastAsia"/>
        </w:rPr>
        <w:t xml:space="preserve">K müsste schließlich auch im Sinne des ASOG verantwortlich sein. Unterschieden wird zwischen der Zustands- und Verhaltensverantwortlichkeit. </w:t>
      </w:r>
    </w:p>
    <w:p w14:paraId="558E41C9" w14:textId="34539AAB" w:rsidR="00F16318" w:rsidRPr="003A5762" w:rsidRDefault="003A5762" w:rsidP="003A5762">
      <w:pPr>
        <w:rPr>
          <w:rFonts w:eastAsiaTheme="majorEastAsia"/>
        </w:rPr>
      </w:pPr>
      <w:r w:rsidRPr="003A5762">
        <w:rPr>
          <w:rFonts w:eastAsiaTheme="majorEastAsia"/>
        </w:rPr>
        <w:lastRenderedPageBreak/>
        <w:t xml:space="preserve">Die Verhaltensverantwortlichkeit richtet sich nach § 13 </w:t>
      </w:r>
      <w:r w:rsidR="00E91AF0">
        <w:rPr>
          <w:rFonts w:eastAsiaTheme="majorEastAsia"/>
        </w:rPr>
        <w:t>I</w:t>
      </w:r>
      <w:r w:rsidRPr="003A5762">
        <w:rPr>
          <w:rFonts w:eastAsiaTheme="majorEastAsia"/>
        </w:rPr>
        <w:t xml:space="preserve"> ASOG. Danach sind Maßnahmen an die Person zu richten, die eine Gefahr verursacht hat. </w:t>
      </w:r>
      <w:r w:rsidR="00090F42">
        <w:rPr>
          <w:rFonts w:eastAsiaTheme="majorEastAsia"/>
        </w:rPr>
        <w:t xml:space="preserve">Nach </w:t>
      </w:r>
      <w:r w:rsidRPr="003A5762">
        <w:rPr>
          <w:rFonts w:eastAsiaTheme="majorEastAsia"/>
        </w:rPr>
        <w:t xml:space="preserve">der Theorie </w:t>
      </w:r>
      <w:r w:rsidR="00090F42">
        <w:rPr>
          <w:rFonts w:eastAsiaTheme="majorEastAsia"/>
        </w:rPr>
        <w:t xml:space="preserve">der unmittelbaren Verursachung </w:t>
      </w:r>
      <w:r w:rsidRPr="003A5762">
        <w:rPr>
          <w:rFonts w:eastAsiaTheme="majorEastAsia"/>
        </w:rPr>
        <w:t>ist Verhaltensstörer, wer durch sein Verhalten die Gefahrschwelle unmittelbar überschreitet und damit in der Kausalkette das entscheidende Glied darstellt.</w:t>
      </w:r>
      <w:r w:rsidR="00090F42">
        <w:rPr>
          <w:rStyle w:val="Funotenzeichen"/>
          <w:rFonts w:eastAsiaTheme="majorEastAsia"/>
        </w:rPr>
        <w:footnoteReference w:id="43"/>
      </w:r>
      <w:r w:rsidRPr="003A5762">
        <w:rPr>
          <w:rFonts w:eastAsiaTheme="majorEastAsia"/>
        </w:rPr>
        <w:t xml:space="preserve"> </w:t>
      </w:r>
      <w:r w:rsidR="00F16318">
        <w:t>Vorliegend beruht die Gefahr jedoch nicht auf einem Verhalten der K.</w:t>
      </w:r>
    </w:p>
    <w:p w14:paraId="3CDD5E2A" w14:textId="7D31FDBD" w:rsidR="003A5762" w:rsidRDefault="00874649" w:rsidP="00577529">
      <w:pPr>
        <w:pStyle w:val="berschrift9"/>
      </w:pPr>
      <w:bookmarkStart w:id="71" w:name="_Toc22132954"/>
      <w:r w:rsidRPr="00874649">
        <w:t xml:space="preserve">(1) </w:t>
      </w:r>
      <w:r w:rsidR="003A5762" w:rsidRPr="00874649">
        <w:t>Verantwortlichkeit als Eigentümerin</w:t>
      </w:r>
      <w:bookmarkEnd w:id="71"/>
    </w:p>
    <w:p w14:paraId="653B97DB" w14:textId="77777777" w:rsidR="00F006CD" w:rsidRPr="00F006CD" w:rsidRDefault="00F006CD" w:rsidP="00F006CD">
      <w:pPr>
        <w:pStyle w:val="Randnummer"/>
        <w:framePr w:wrap="around"/>
      </w:pPr>
    </w:p>
    <w:p w14:paraId="137249C0" w14:textId="57554FA1" w:rsidR="003A5762" w:rsidRPr="003A5762" w:rsidRDefault="003A5762" w:rsidP="003A5762">
      <w:pPr>
        <w:rPr>
          <w:rFonts w:eastAsiaTheme="majorEastAsia"/>
        </w:rPr>
      </w:pPr>
      <w:r w:rsidRPr="003A5762">
        <w:rPr>
          <w:rFonts w:eastAsiaTheme="majorEastAsia"/>
        </w:rPr>
        <w:t xml:space="preserve">K könnte als Eigentümerin jedoch zustandsverantwortlich sein. Die Zustandsverantwortlichkeit ist gegeben, wenn die Gefahren von einer Sache ausgehen, d.h. die Sache selbst die Gefahrenquelle bildet. Dann können die Maßnahmen nach § 14 </w:t>
      </w:r>
      <w:r w:rsidR="00E91AF0">
        <w:rPr>
          <w:rFonts w:eastAsiaTheme="majorEastAsia"/>
        </w:rPr>
        <w:t>I</w:t>
      </w:r>
      <w:r w:rsidRPr="003A5762">
        <w:rPr>
          <w:rFonts w:eastAsiaTheme="majorEastAsia"/>
        </w:rPr>
        <w:t xml:space="preserve"> ASOG einerseits an den Inhaber der tatsächlichen Gewalt gerichtet werden. Nach § 14 </w:t>
      </w:r>
      <w:r w:rsidR="00090F42">
        <w:rPr>
          <w:rFonts w:eastAsiaTheme="majorEastAsia"/>
        </w:rPr>
        <w:t>III</w:t>
      </w:r>
      <w:r w:rsidRPr="003A5762">
        <w:rPr>
          <w:rFonts w:eastAsiaTheme="majorEastAsia"/>
        </w:rPr>
        <w:t xml:space="preserve"> </w:t>
      </w:r>
      <w:r w:rsidR="00E91AF0">
        <w:rPr>
          <w:rFonts w:eastAsiaTheme="majorEastAsia"/>
        </w:rPr>
        <w:t>1</w:t>
      </w:r>
      <w:r w:rsidRPr="003A5762">
        <w:rPr>
          <w:rFonts w:eastAsiaTheme="majorEastAsia"/>
        </w:rPr>
        <w:t xml:space="preserve"> ASOG richtet sich die Verantwortlichkeit andererseits aber auch an den Eigentümer im Sinne des § 903 </w:t>
      </w:r>
      <w:r w:rsidR="00E91AF0">
        <w:rPr>
          <w:rFonts w:eastAsiaTheme="majorEastAsia"/>
        </w:rPr>
        <w:t>1</w:t>
      </w:r>
      <w:r w:rsidRPr="003A5762">
        <w:rPr>
          <w:rFonts w:eastAsiaTheme="majorEastAsia"/>
        </w:rPr>
        <w:t xml:space="preserve"> BGB. Die K ist laut Sachverhalt unstreitig Eigentümerin des betroffenen Grundstücks. Die </w:t>
      </w:r>
      <w:r w:rsidR="00090F42">
        <w:rPr>
          <w:rFonts w:eastAsiaTheme="majorEastAsia"/>
        </w:rPr>
        <w:t>Verantwortlichkeit</w:t>
      </w:r>
      <w:r w:rsidRPr="003A5762">
        <w:rPr>
          <w:rFonts w:eastAsiaTheme="majorEastAsia"/>
        </w:rPr>
        <w:t xml:space="preserve"> ist zudem nicht nach § 14 </w:t>
      </w:r>
      <w:r w:rsidR="00090F42">
        <w:rPr>
          <w:rFonts w:eastAsiaTheme="majorEastAsia"/>
        </w:rPr>
        <w:t xml:space="preserve">III 2 </w:t>
      </w:r>
      <w:r w:rsidRPr="003A5762">
        <w:rPr>
          <w:rFonts w:eastAsiaTheme="majorEastAsia"/>
        </w:rPr>
        <w:t>ASOG ausgeschlossen, da die Vermietung an den M mit dem Willen der K erfolgte. Die Verantwortlichkeit des Inhabers der tatsächlichen Gewalt steht neben der Zustandsverantwortlichkeit des Eigentümers, sodass jedenfalls auf der T</w:t>
      </w:r>
      <w:r w:rsidR="00090F42">
        <w:rPr>
          <w:rFonts w:eastAsiaTheme="majorEastAsia"/>
        </w:rPr>
        <w:t>atbestandseite die K nach § 14 III</w:t>
      </w:r>
      <w:r w:rsidRPr="003A5762">
        <w:rPr>
          <w:rFonts w:eastAsiaTheme="majorEastAsia"/>
        </w:rPr>
        <w:t xml:space="preserve"> </w:t>
      </w:r>
      <w:r w:rsidR="00E91AF0">
        <w:rPr>
          <w:rFonts w:eastAsiaTheme="majorEastAsia"/>
        </w:rPr>
        <w:t>1</w:t>
      </w:r>
      <w:r w:rsidRPr="003A5762">
        <w:rPr>
          <w:rFonts w:eastAsiaTheme="majorEastAsia"/>
        </w:rPr>
        <w:t xml:space="preserve"> ASOG verantwortlich ist.</w:t>
      </w:r>
    </w:p>
    <w:p w14:paraId="22841215" w14:textId="01E02B75" w:rsidR="003A5762" w:rsidRDefault="00874649" w:rsidP="00577529">
      <w:pPr>
        <w:pStyle w:val="berschrift9"/>
      </w:pPr>
      <w:bookmarkStart w:id="72" w:name="_Toc22132955"/>
      <w:r w:rsidRPr="00874649">
        <w:t xml:space="preserve">(2) </w:t>
      </w:r>
      <w:r w:rsidR="003A5762" w:rsidRPr="00874649">
        <w:t>Ausschluss der Verantwortlichkeit durch Handlung des Bezirksamts</w:t>
      </w:r>
      <w:bookmarkEnd w:id="72"/>
    </w:p>
    <w:p w14:paraId="3A3D8FB0" w14:textId="77777777" w:rsidR="00F006CD" w:rsidRPr="00F006CD" w:rsidRDefault="00F006CD" w:rsidP="00F006CD">
      <w:pPr>
        <w:pStyle w:val="Randnummer"/>
        <w:framePr w:wrap="around"/>
      </w:pPr>
    </w:p>
    <w:p w14:paraId="3FB68679" w14:textId="77777777" w:rsidR="003A5762" w:rsidRPr="003A5762" w:rsidRDefault="003A5762" w:rsidP="003A5762">
      <w:pPr>
        <w:rPr>
          <w:rFonts w:eastAsiaTheme="majorEastAsia"/>
        </w:rPr>
      </w:pPr>
      <w:r w:rsidRPr="003A5762">
        <w:rPr>
          <w:rFonts w:eastAsiaTheme="majorEastAsia"/>
        </w:rPr>
        <w:t>Jedoch könnte die Verantwortlichkeit ausgeschlossen sein, da die Gefahr erst aufgrund der Handlung des Bezirksamtes mit dem Fahrradweg entstanden ist. Von Seiten eines Nachbarn muss jedoch eine Einfriedung eines gefahrenlosen Grundstücks – hier des Grundstücks des Bezirks – nicht aufrechterhalten werden. Unerheblich ist, dass dies der K zugutekam. Sie darf sich nicht auf Maßnahmen Dritter stützen, sondern muss ihr Grundstück, von dem schließlich die Gefahren ausgehen, ausreichend absichern.</w:t>
      </w:r>
    </w:p>
    <w:p w14:paraId="58519770" w14:textId="0FEFDB48" w:rsidR="003A5762" w:rsidRDefault="00874649" w:rsidP="00577529">
      <w:pPr>
        <w:pStyle w:val="berschrift9"/>
      </w:pPr>
      <w:bookmarkStart w:id="73" w:name="_Toc22132956"/>
      <w:r w:rsidRPr="00874649">
        <w:t xml:space="preserve">(3) </w:t>
      </w:r>
      <w:r w:rsidR="003A5762" w:rsidRPr="00874649">
        <w:t>Ausschluss der Verantwortlichkeit durch Verhalten Dritter</w:t>
      </w:r>
      <w:bookmarkEnd w:id="73"/>
    </w:p>
    <w:p w14:paraId="66BE38B0" w14:textId="77777777" w:rsidR="00F006CD" w:rsidRPr="00F006CD" w:rsidRDefault="00F006CD" w:rsidP="00F006CD">
      <w:pPr>
        <w:pStyle w:val="Randnummer"/>
        <w:framePr w:wrap="around"/>
      </w:pPr>
    </w:p>
    <w:p w14:paraId="4D2B8877" w14:textId="77777777" w:rsidR="003A5762" w:rsidRPr="003A5762" w:rsidRDefault="003A5762" w:rsidP="003A5762">
      <w:pPr>
        <w:rPr>
          <w:rFonts w:eastAsiaTheme="majorEastAsia"/>
        </w:rPr>
      </w:pPr>
      <w:r w:rsidRPr="003A5762">
        <w:rPr>
          <w:rFonts w:eastAsiaTheme="majorEastAsia"/>
        </w:rPr>
        <w:t>Zuletzt ist fraglich, ob die Verantwortlichkeit der K aufgrund Verhaltens Dritter, die ihr Grundstück betreten, ausgeschlossen ist.</w:t>
      </w:r>
    </w:p>
    <w:p w14:paraId="1A1F22D6" w14:textId="419F9A2C" w:rsidR="003A5762" w:rsidRPr="003A5762" w:rsidRDefault="003A5762" w:rsidP="003A5762">
      <w:pPr>
        <w:rPr>
          <w:rFonts w:eastAsiaTheme="majorEastAsia"/>
        </w:rPr>
      </w:pPr>
      <w:r w:rsidRPr="003A5762">
        <w:rPr>
          <w:rFonts w:eastAsiaTheme="majorEastAsia"/>
        </w:rPr>
        <w:t xml:space="preserve">Zum einem könnte angenommen werden, dass es einem Eigentümer nicht zugemutet werden kann, jegliches rechtswidrige und unbefugte Betreten seines Grundstücks abzuwehren. Schließlich entsteht die Gefahr erst unmittelbar durch das </w:t>
      </w:r>
      <w:r w:rsidR="00090F42">
        <w:rPr>
          <w:rFonts w:eastAsiaTheme="majorEastAsia"/>
        </w:rPr>
        <w:t>Betreten</w:t>
      </w:r>
      <w:r w:rsidRPr="003A5762">
        <w:rPr>
          <w:rFonts w:eastAsiaTheme="majorEastAsia"/>
        </w:rPr>
        <w:t xml:space="preserve"> Dritter. Bei einer extensiven Auslegung müsste jeder Eigentümer Sicherungsmaßnahmen treffen und die Polizei würde überflüssig werden. Der Schutz der Allgemeinheit obliegt schließlich nicht dem Einzelnen, sondern besonderen staatlichen Organen. Dagegen spricht zum einen jedoch, dass wie bereits geprüft, die betroffenen Personen nicht über die erforderliche Einsichtsfähigkeit verfügen. </w:t>
      </w:r>
      <w:r w:rsidR="00090F42" w:rsidRPr="003A5762">
        <w:rPr>
          <w:rFonts w:eastAsiaTheme="majorEastAsia"/>
        </w:rPr>
        <w:t xml:space="preserve">Zum anderen kann von dem Eigentümer eine angemessene Absicherung seines Grundstücks, von dem die Gefahren bei Betreten ausgehen, im Sinne einer Pflicht zur </w:t>
      </w:r>
      <w:r w:rsidR="00090F42">
        <w:rPr>
          <w:rFonts w:eastAsiaTheme="majorEastAsia"/>
        </w:rPr>
        <w:t>S</w:t>
      </w:r>
      <w:r w:rsidR="00090F42" w:rsidRPr="003A5762">
        <w:rPr>
          <w:rFonts w:eastAsiaTheme="majorEastAsia"/>
        </w:rPr>
        <w:t xml:space="preserve">icherung </w:t>
      </w:r>
      <w:r w:rsidR="00090F42">
        <w:rPr>
          <w:rFonts w:eastAsiaTheme="majorEastAsia"/>
        </w:rPr>
        <w:t xml:space="preserve">des Grundstückes </w:t>
      </w:r>
      <w:r w:rsidR="00090F42" w:rsidRPr="003A5762">
        <w:rPr>
          <w:rFonts w:eastAsiaTheme="majorEastAsia"/>
        </w:rPr>
        <w:t>zugemutet werden. Aufgrund der Öffnung des Grundstücks ist eine bestimmungswidrige Nutzung nicht ganz fernliegend</w:t>
      </w:r>
      <w:r w:rsidR="00090F42">
        <w:rPr>
          <w:rFonts w:eastAsiaTheme="majorEastAsia"/>
        </w:rPr>
        <w:t xml:space="preserve">, insbesondere da </w:t>
      </w:r>
      <w:r w:rsidR="00090F42">
        <w:rPr>
          <w:rFonts w:eastAsiaTheme="majorEastAsia"/>
        </w:rPr>
        <w:lastRenderedPageBreak/>
        <w:t>der Verlauf der Grenzen des öffentlichen Grundstücks zum privaten Grundstück nicht erkennbar ist</w:t>
      </w:r>
      <w:r w:rsidR="00090F42" w:rsidRPr="003A5762">
        <w:rPr>
          <w:rFonts w:eastAsiaTheme="majorEastAsia"/>
        </w:rPr>
        <w:t>. Der Eigentümer kann folglich mit einem unbefugten Betreten rechnen</w:t>
      </w:r>
      <w:r w:rsidR="00090F42">
        <w:rPr>
          <w:rFonts w:eastAsiaTheme="majorEastAsia"/>
        </w:rPr>
        <w:t xml:space="preserve"> und durch hinreichende Sicherungsmaßnahmen dieses verhindern</w:t>
      </w:r>
      <w:r w:rsidR="00090F42" w:rsidRPr="003A5762">
        <w:rPr>
          <w:rFonts w:eastAsiaTheme="majorEastAsia"/>
        </w:rPr>
        <w:t xml:space="preserve">. Ein Mindestmaß an Sicherung </w:t>
      </w:r>
      <w:r w:rsidR="00A8236D">
        <w:rPr>
          <w:rFonts w:eastAsiaTheme="majorEastAsia"/>
        </w:rPr>
        <w:t>gegen unb</w:t>
      </w:r>
      <w:r w:rsidR="002D4AF3">
        <w:rPr>
          <w:rFonts w:eastAsiaTheme="majorEastAsia"/>
        </w:rPr>
        <w:t xml:space="preserve">efugtes Betreten </w:t>
      </w:r>
      <w:r w:rsidR="00090F42" w:rsidRPr="003A5762">
        <w:rPr>
          <w:rFonts w:eastAsiaTheme="majorEastAsia"/>
        </w:rPr>
        <w:t xml:space="preserve">ist jedem Eigentümer </w:t>
      </w:r>
      <w:r w:rsidR="00090F42">
        <w:rPr>
          <w:rFonts w:eastAsiaTheme="majorEastAsia"/>
        </w:rPr>
        <w:t xml:space="preserve">und damit auch der K </w:t>
      </w:r>
      <w:r w:rsidR="00090F42" w:rsidRPr="003A5762">
        <w:rPr>
          <w:rFonts w:eastAsiaTheme="majorEastAsia"/>
        </w:rPr>
        <w:t xml:space="preserve">zuzumuten, insbesondere, wenn </w:t>
      </w:r>
      <w:r w:rsidR="00090F42">
        <w:rPr>
          <w:rFonts w:eastAsiaTheme="majorEastAsia"/>
        </w:rPr>
        <w:t xml:space="preserve">ihr </w:t>
      </w:r>
      <w:r w:rsidR="00090F42" w:rsidRPr="003A5762">
        <w:rPr>
          <w:rFonts w:eastAsiaTheme="majorEastAsia"/>
        </w:rPr>
        <w:t xml:space="preserve">bereits eine Vielzahl an Fällen des Betretens </w:t>
      </w:r>
      <w:r w:rsidR="00090F42">
        <w:rPr>
          <w:rFonts w:eastAsiaTheme="majorEastAsia"/>
        </w:rPr>
        <w:t xml:space="preserve">ihres Grundstücks </w:t>
      </w:r>
      <w:r w:rsidR="00090F42" w:rsidRPr="003A5762">
        <w:rPr>
          <w:rFonts w:eastAsiaTheme="majorEastAsia"/>
        </w:rPr>
        <w:t>bekannt ist.</w:t>
      </w:r>
      <w:r w:rsidR="00090F42">
        <w:rPr>
          <w:rStyle w:val="Funotenzeichen"/>
          <w:rFonts w:eastAsiaTheme="majorEastAsia"/>
        </w:rPr>
        <w:footnoteReference w:id="44"/>
      </w:r>
    </w:p>
    <w:p w14:paraId="37882AE8" w14:textId="77777777" w:rsidR="003A5762" w:rsidRDefault="003A5762" w:rsidP="003A5762">
      <w:pPr>
        <w:rPr>
          <w:rFonts w:eastAsiaTheme="majorEastAsia"/>
        </w:rPr>
      </w:pPr>
      <w:r w:rsidRPr="003A5762">
        <w:rPr>
          <w:rFonts w:eastAsiaTheme="majorEastAsia"/>
        </w:rPr>
        <w:t>Mithin schließt das Verhalten Dritter die Zustandsverantwortlichkeit der K nicht aus.</w:t>
      </w:r>
    </w:p>
    <w:p w14:paraId="62156C99" w14:textId="3095F5E1" w:rsidR="00874649" w:rsidRPr="00874649" w:rsidRDefault="008C1818" w:rsidP="003A5762">
      <w:pPr>
        <w:rPr>
          <w:rFonts w:eastAsiaTheme="majorEastAsia"/>
          <w:i/>
        </w:rPr>
      </w:pPr>
      <w:r>
        <w:rPr>
          <w:rFonts w:eastAsiaTheme="majorEastAsia"/>
          <w:i/>
        </w:rPr>
        <w:t>Lösungsh</w:t>
      </w:r>
      <w:r w:rsidR="00874649" w:rsidRPr="00874649">
        <w:rPr>
          <w:rFonts w:eastAsiaTheme="majorEastAsia"/>
          <w:i/>
        </w:rPr>
        <w:t>inweis: Hier kann mit guten Argumenten ein anderes Ergebnis vertreten werden, wobei in der Folge die materielle Rechtmäßigkeit der Anordnung zu verneinen und in einem Hilfsgutachten weiter zu prüfen wäre. Es muss insbesondere auf eine konsistente Lösung geachtet werden, die sich nicht den Ausführungen zur Selbstgefährdung Dritter im Rahmen der Prüfung der öffentlichen Sicherheit und Ordnung widerspricht</w:t>
      </w:r>
      <w:r w:rsidR="00874649">
        <w:rPr>
          <w:rFonts w:eastAsiaTheme="majorEastAsia"/>
          <w:i/>
        </w:rPr>
        <w:t>.</w:t>
      </w:r>
    </w:p>
    <w:p w14:paraId="21E27767" w14:textId="23092FD6" w:rsidR="003A5762" w:rsidRPr="00874649" w:rsidRDefault="0059368E" w:rsidP="00577529">
      <w:pPr>
        <w:pStyle w:val="berschrift7"/>
      </w:pPr>
      <w:bookmarkStart w:id="74" w:name="_Toc22132957"/>
      <w:r w:rsidRPr="00874649">
        <w:t xml:space="preserve">b) </w:t>
      </w:r>
      <w:r w:rsidR="003A5762" w:rsidRPr="00874649">
        <w:t>Rechtsfolge</w:t>
      </w:r>
      <w:bookmarkEnd w:id="74"/>
    </w:p>
    <w:p w14:paraId="01932302" w14:textId="77777777" w:rsidR="00035229" w:rsidRDefault="00035229" w:rsidP="00035229">
      <w:pPr>
        <w:pStyle w:val="Randnummer"/>
        <w:framePr w:wrap="around"/>
        <w:rPr>
          <w:rFonts w:eastAsiaTheme="majorEastAsia"/>
        </w:rPr>
      </w:pPr>
    </w:p>
    <w:p w14:paraId="080B70DB" w14:textId="4AE93000" w:rsidR="003A5762" w:rsidRPr="003A5762" w:rsidRDefault="003A5762" w:rsidP="003A5762">
      <w:pPr>
        <w:rPr>
          <w:rFonts w:eastAsiaTheme="majorEastAsia"/>
        </w:rPr>
      </w:pPr>
      <w:r w:rsidRPr="003A5762">
        <w:rPr>
          <w:rFonts w:eastAsiaTheme="majorEastAsia"/>
        </w:rPr>
        <w:t xml:space="preserve">§ 17 </w:t>
      </w:r>
      <w:r w:rsidR="003D5545">
        <w:rPr>
          <w:rFonts w:eastAsiaTheme="majorEastAsia"/>
        </w:rPr>
        <w:t xml:space="preserve">I </w:t>
      </w:r>
      <w:r w:rsidRPr="003A5762">
        <w:rPr>
          <w:rFonts w:eastAsiaTheme="majorEastAsia"/>
        </w:rPr>
        <w:t xml:space="preserve">ASOG ist eine Ermessensvorschrift, sodass sowohl das Entschließungs- als auch das Auswahlermessen ordnungsgemäß ausgeübt worden sein müsste. Das Ermessen ist dafür auf Ermessensfehler zu untersuchen, § 114 </w:t>
      </w:r>
      <w:r w:rsidR="003D5545">
        <w:rPr>
          <w:rFonts w:eastAsiaTheme="majorEastAsia"/>
        </w:rPr>
        <w:t xml:space="preserve">S. 1 </w:t>
      </w:r>
      <w:r w:rsidRPr="003A5762">
        <w:rPr>
          <w:rFonts w:eastAsiaTheme="majorEastAsia"/>
        </w:rPr>
        <w:t>VwGO.</w:t>
      </w:r>
    </w:p>
    <w:p w14:paraId="39F52B25" w14:textId="327CDE10" w:rsidR="003A5762" w:rsidRPr="00874649" w:rsidRDefault="0059368E" w:rsidP="00577529">
      <w:pPr>
        <w:pStyle w:val="berschrift8"/>
      </w:pPr>
      <w:bookmarkStart w:id="75" w:name="_Toc22132958"/>
      <w:r w:rsidRPr="00874649">
        <w:t xml:space="preserve">aa) </w:t>
      </w:r>
      <w:r w:rsidR="003A5762" w:rsidRPr="00874649">
        <w:t>Entschließungsermessen</w:t>
      </w:r>
      <w:bookmarkEnd w:id="75"/>
    </w:p>
    <w:p w14:paraId="04B2ABD1" w14:textId="77777777" w:rsidR="00035229" w:rsidRDefault="00035229" w:rsidP="00035229">
      <w:pPr>
        <w:pStyle w:val="Randnummer"/>
        <w:framePr w:wrap="around"/>
        <w:rPr>
          <w:rFonts w:eastAsiaTheme="majorEastAsia"/>
        </w:rPr>
      </w:pPr>
    </w:p>
    <w:p w14:paraId="0D84FD04" w14:textId="77777777" w:rsidR="003A5762" w:rsidRPr="003A5762" w:rsidRDefault="003A5762" w:rsidP="003A5762">
      <w:pPr>
        <w:rPr>
          <w:rFonts w:eastAsiaTheme="majorEastAsia"/>
        </w:rPr>
      </w:pPr>
      <w:r w:rsidRPr="003A5762">
        <w:rPr>
          <w:rFonts w:eastAsiaTheme="majorEastAsia"/>
        </w:rPr>
        <w:t>Das Entschließungsermessen betrifft die Entscheidung darüber, ob überhaupt und wann eine Maßnahme vorgenommen werden sollte. Die Behörde hat Erwägungen der Gefahr für die körperliche Unversehrtheit herangezogen, die ein Einschreiten aufgrund der gesteigerten verfassungsrechtlichen Bedeutung rechtfertigen können. Ein Ermessensnichtgebrauch ist nicht ersichtlich. Zudem sind weder ein Ermessensfehlgebrauch noch ein -überschreiten in Bezug auf das Entschließungsermessen nicht erkennbar.</w:t>
      </w:r>
    </w:p>
    <w:p w14:paraId="41EB3C5F" w14:textId="77777777" w:rsidR="003A5762" w:rsidRPr="003A5762" w:rsidRDefault="003A5762" w:rsidP="003A5762">
      <w:pPr>
        <w:rPr>
          <w:rFonts w:eastAsiaTheme="majorEastAsia"/>
        </w:rPr>
      </w:pPr>
      <w:r w:rsidRPr="003A5762">
        <w:rPr>
          <w:rFonts w:eastAsiaTheme="majorEastAsia"/>
        </w:rPr>
        <w:t>Das Entschließungsermessen wurde ordnungsgemäß ausgeübt.</w:t>
      </w:r>
    </w:p>
    <w:p w14:paraId="7877F202" w14:textId="7B5FE3ED" w:rsidR="003A5762" w:rsidRPr="00874649" w:rsidRDefault="0059368E" w:rsidP="00577529">
      <w:pPr>
        <w:pStyle w:val="berschrift8"/>
      </w:pPr>
      <w:bookmarkStart w:id="76" w:name="_Toc22132959"/>
      <w:r w:rsidRPr="00874649">
        <w:t xml:space="preserve">bb) </w:t>
      </w:r>
      <w:r w:rsidR="003A5762" w:rsidRPr="00874649">
        <w:t>Auswahlermessen</w:t>
      </w:r>
      <w:bookmarkEnd w:id="76"/>
    </w:p>
    <w:p w14:paraId="55762B38" w14:textId="77777777" w:rsidR="00035229" w:rsidRDefault="00035229" w:rsidP="00035229">
      <w:pPr>
        <w:pStyle w:val="Randnummer"/>
        <w:framePr w:wrap="around"/>
        <w:rPr>
          <w:rFonts w:eastAsiaTheme="majorEastAsia"/>
        </w:rPr>
      </w:pPr>
    </w:p>
    <w:p w14:paraId="2C8C2D57" w14:textId="77777777" w:rsidR="003A5762" w:rsidRPr="003A5762" w:rsidRDefault="003A5762" w:rsidP="003A5762">
      <w:pPr>
        <w:rPr>
          <w:rFonts w:eastAsiaTheme="majorEastAsia"/>
        </w:rPr>
      </w:pPr>
      <w:r w:rsidRPr="003A5762">
        <w:rPr>
          <w:rFonts w:eastAsiaTheme="majorEastAsia"/>
        </w:rPr>
        <w:t>Jedoch könnten innerhalb des Auswahlermessens Ermessensfehler vorliegen. Diesbezüglich wird weiter unterschieden zwischen Auswahlermessen in Bezug auf den Störer und in Bezug auf das Mittel. Das Auswahlermessen betrifft nicht das Ob, sondern das Wie des Einschreitens.</w:t>
      </w:r>
    </w:p>
    <w:p w14:paraId="18B42AC4" w14:textId="2EF2C6B0" w:rsidR="003A5762" w:rsidRDefault="00874649" w:rsidP="00577529">
      <w:pPr>
        <w:pStyle w:val="berschrift9"/>
      </w:pPr>
      <w:bookmarkStart w:id="77" w:name="_Toc22132960"/>
      <w:r w:rsidRPr="00874649">
        <w:t xml:space="preserve">(1) </w:t>
      </w:r>
      <w:r w:rsidR="003A5762" w:rsidRPr="00874649">
        <w:t>Bezüglich des Störers</w:t>
      </w:r>
      <w:bookmarkEnd w:id="77"/>
    </w:p>
    <w:p w14:paraId="2A91AB67" w14:textId="77777777" w:rsidR="00F006CD" w:rsidRPr="00F006CD" w:rsidRDefault="00F006CD" w:rsidP="00F006CD">
      <w:pPr>
        <w:pStyle w:val="Randnummer"/>
        <w:framePr w:wrap="around"/>
      </w:pPr>
    </w:p>
    <w:p w14:paraId="52D9519B" w14:textId="77777777" w:rsidR="003A5762" w:rsidRPr="003A5762" w:rsidRDefault="003A5762" w:rsidP="003A5762">
      <w:pPr>
        <w:rPr>
          <w:rFonts w:eastAsiaTheme="majorEastAsia"/>
        </w:rPr>
      </w:pPr>
      <w:r w:rsidRPr="003A5762">
        <w:rPr>
          <w:rFonts w:eastAsiaTheme="majorEastAsia"/>
        </w:rPr>
        <w:t xml:space="preserve">Fraglich ist, ob der Mieter des Grundstücks als verantwortlicher Störer anstelle der Eigentümerin K heranzuziehen ist. Die Auswahl unter mehreren in Betracht kommenden </w:t>
      </w:r>
      <w:r w:rsidRPr="003A5762">
        <w:rPr>
          <w:rFonts w:eastAsiaTheme="majorEastAsia"/>
        </w:rPr>
        <w:lastRenderedPageBreak/>
        <w:t>verantwortlichen Störern liegt grundsätzlich im pflichtgemäßen Ermessen der Behörde. Dann müsste der Mieter ein Störer im Sinne des ASOG sein.</w:t>
      </w:r>
    </w:p>
    <w:p w14:paraId="761C8E2F" w14:textId="5DBE81FE" w:rsidR="003A5762" w:rsidRPr="003A5762" w:rsidRDefault="003A5762" w:rsidP="003A5762">
      <w:pPr>
        <w:rPr>
          <w:rFonts w:eastAsiaTheme="majorEastAsia"/>
        </w:rPr>
      </w:pPr>
      <w:r w:rsidRPr="003A5762">
        <w:rPr>
          <w:rFonts w:eastAsiaTheme="majorEastAsia"/>
        </w:rPr>
        <w:t xml:space="preserve">Nach § 14 </w:t>
      </w:r>
      <w:r w:rsidR="00E91AF0">
        <w:rPr>
          <w:rFonts w:eastAsiaTheme="majorEastAsia"/>
        </w:rPr>
        <w:t>I</w:t>
      </w:r>
      <w:r w:rsidRPr="003A5762">
        <w:rPr>
          <w:rFonts w:eastAsiaTheme="majorEastAsia"/>
        </w:rPr>
        <w:t xml:space="preserve"> ASOG sind im Rahmen der Zustandsverantwortlichkeit die Maßnahmen gegen den Inhaber der tatsächlichen Gewalt zu richten. Dies geht über den Begriff des Eigentümers hinaus, da diese Verantwortlichkeit explizit nach § 14 Abs. 3 </w:t>
      </w:r>
      <w:r w:rsidR="00E91AF0">
        <w:rPr>
          <w:rFonts w:eastAsiaTheme="majorEastAsia"/>
        </w:rPr>
        <w:t>1</w:t>
      </w:r>
      <w:r w:rsidRPr="003A5762">
        <w:rPr>
          <w:rFonts w:eastAsiaTheme="majorEastAsia"/>
        </w:rPr>
        <w:t xml:space="preserve"> ASOG geregelt ist. Mitumfasst ist daher auch, wer unmittelbaren Besitz im Sinne des BGB innehat. Die Regelung entspricht dem Sinn und Zweck des Polizei- und Ordnungsrechts, dass bei Gefahren für die öffentliche Sicherheit und Ordnung ein schnelles und effektives Einschreiten unabhängig von den rechtlichen Eigentumsverhältnissen ermöglicht werden muss. Der Mieter ist Besitzer im Sinne des BGB und kann daher auch grundsätzlich als Zustandsstörer herangezogen werden.</w:t>
      </w:r>
    </w:p>
    <w:p w14:paraId="408789F9" w14:textId="77777777" w:rsidR="003A5762" w:rsidRPr="003A5762" w:rsidRDefault="003A5762" w:rsidP="003A5762">
      <w:pPr>
        <w:rPr>
          <w:rFonts w:eastAsiaTheme="majorEastAsia"/>
        </w:rPr>
      </w:pPr>
      <w:r w:rsidRPr="003A5762">
        <w:rPr>
          <w:rFonts w:eastAsiaTheme="majorEastAsia"/>
        </w:rPr>
        <w:t>Eine Ausnahme davon liegt vor, wenn der Eigentümer nicht willentlich die tatsächliche Gewalt über die Sache abgegeben hat. In diesem Fall ist nach § 14 Abs. 3 S. 2 ASOG allein gegen den Inhaber der tatsächlichen Sachherrschaft vorzugehen. Dies ist jedoch vorliegend nicht der Fall.</w:t>
      </w:r>
    </w:p>
    <w:p w14:paraId="2AC4FAB0" w14:textId="3B5BEB96" w:rsidR="003A5762" w:rsidRPr="003A5762" w:rsidRDefault="003A5762" w:rsidP="003A5762">
      <w:pPr>
        <w:rPr>
          <w:rFonts w:eastAsiaTheme="majorEastAsia"/>
        </w:rPr>
      </w:pPr>
      <w:r w:rsidRPr="003A5762">
        <w:rPr>
          <w:rFonts w:eastAsiaTheme="majorEastAsia"/>
        </w:rPr>
        <w:t>Es ist nach dem Grundsatz der unmittelbaren Verursachung sowie der Effektivität des polizeirechtlichen Einschreitens danach abzuwägen, von wem die Gefahr ausging und von wem diese am schnellsten und effektivsten beseitigt werden kann. Zudem ist ein weiterer heranzuziehender Aspekt, welcher Störer erreichbar ist. K hat</w:t>
      </w:r>
      <w:r w:rsidR="003D5545">
        <w:rPr>
          <w:rFonts w:eastAsiaTheme="majorEastAsia"/>
        </w:rPr>
        <w:t xml:space="preserve"> zunächst</w:t>
      </w:r>
      <w:r w:rsidRPr="003A5762">
        <w:rPr>
          <w:rFonts w:eastAsiaTheme="majorEastAsia"/>
        </w:rPr>
        <w:t xml:space="preserve"> ihr Grundstück nicht ausreichend abgesichert. Hinzukommt, dass sie das Grundstück erst im Laufe des Verwaltungsverfahrens vermietet hat. Durch die Vermietung wird die Verantwortlichkeit der K nicht aufgehoben. Wenn ein Mieter mit Beginn der Mieter Inhaber der tatsächlichen Gewalt wird, ist zu prüfen, ob die dem Grundstück ausgehende Gefahr erst durch seine Nutzung entstand. Zudem ist zu berücksichtigen, dass die Verantwortlichkeit dadurch eingeschränkt wird, dass sie nur zu Handlungen verpflichtet werden dürfen, zu denen sie tatsächlich in der Lage und rechtlich befugt sind. Es ist daher davon auszugehen, dass K aufgrund Ihrer Eigentümerrechte vielmehr in der Lage ist, das Grundstück ausreichend zu sichern, als der Mieter, der das Grundstück über den Mietvertrag lediglich besitzt und nicht über dieselbe tatsächliche Gewalt wie der Eigentümer verfügt.</w:t>
      </w:r>
    </w:p>
    <w:p w14:paraId="61D1F49F" w14:textId="5069B9D9" w:rsidR="003A5762" w:rsidRPr="003A5762" w:rsidRDefault="003A5762" w:rsidP="003A5762">
      <w:pPr>
        <w:rPr>
          <w:rFonts w:eastAsiaTheme="majorEastAsia"/>
        </w:rPr>
      </w:pPr>
      <w:r w:rsidRPr="003A5762">
        <w:rPr>
          <w:rFonts w:eastAsiaTheme="majorEastAsia"/>
        </w:rPr>
        <w:t>Es spricht damit eine Vielzahl von Ermessenserwägungen dafür, dass K die richtige Adressatin der Sicherungsanordnung ist. Auswahlermessensfehler sind insoweit nicht ersichtlich.</w:t>
      </w:r>
    </w:p>
    <w:p w14:paraId="4EA26AED" w14:textId="32BD1FC3" w:rsidR="003A5762" w:rsidRDefault="00874649" w:rsidP="00577529">
      <w:pPr>
        <w:pStyle w:val="berschrift9"/>
      </w:pPr>
      <w:bookmarkStart w:id="78" w:name="_Toc22132961"/>
      <w:r w:rsidRPr="00874649">
        <w:t xml:space="preserve">(2) </w:t>
      </w:r>
      <w:r w:rsidR="003A5762" w:rsidRPr="00874649">
        <w:t>Bezüglich des Mittels</w:t>
      </w:r>
      <w:bookmarkEnd w:id="78"/>
    </w:p>
    <w:p w14:paraId="316964BD" w14:textId="77777777" w:rsidR="00F006CD" w:rsidRPr="00F006CD" w:rsidRDefault="00F006CD" w:rsidP="00F006CD">
      <w:pPr>
        <w:pStyle w:val="Randnummer"/>
        <w:framePr w:wrap="around"/>
      </w:pPr>
    </w:p>
    <w:p w14:paraId="47ECE6E8" w14:textId="667024FD" w:rsidR="003A5762" w:rsidRPr="003A5762" w:rsidRDefault="003A5762" w:rsidP="003A5762">
      <w:pPr>
        <w:rPr>
          <w:rFonts w:eastAsiaTheme="majorEastAsia"/>
        </w:rPr>
      </w:pPr>
      <w:r w:rsidRPr="003A5762">
        <w:rPr>
          <w:rFonts w:eastAsiaTheme="majorEastAsia"/>
        </w:rPr>
        <w:t xml:space="preserve">Letztlich ist fraglich, ob das Auswahlermessen bezüglich des Mittels pflichtgemäß ausgeübt wurde. Es könnte eine Ermessensüberschreitung vorliegen. Das ist der Fall, wenn die ausgewählte Maßnahme gegen den Grundsatz der Verhältnismäßigkeit verstößt, an den die Ordnungsbehörden gemäß § 11 </w:t>
      </w:r>
      <w:r w:rsidR="00E91AF0">
        <w:rPr>
          <w:rFonts w:eastAsiaTheme="majorEastAsia"/>
        </w:rPr>
        <w:t>I</w:t>
      </w:r>
      <w:r w:rsidRPr="003A5762">
        <w:rPr>
          <w:rFonts w:eastAsiaTheme="majorEastAsia"/>
        </w:rPr>
        <w:t xml:space="preserve"> und 2 ASOG gebunden sind.</w:t>
      </w:r>
    </w:p>
    <w:p w14:paraId="66631FD4" w14:textId="4BC170D2" w:rsidR="003A5762" w:rsidRDefault="00874649" w:rsidP="001B5EC5">
      <w:pPr>
        <w:rPr>
          <w:rFonts w:eastAsiaTheme="majorEastAsia"/>
          <w:b/>
          <w:iCs/>
        </w:rPr>
      </w:pPr>
      <w:r>
        <w:rPr>
          <w:rFonts w:eastAsiaTheme="majorEastAsia"/>
          <w:b/>
          <w:iCs/>
        </w:rPr>
        <w:t xml:space="preserve">(a) </w:t>
      </w:r>
      <w:r w:rsidR="003A5762" w:rsidRPr="00874649">
        <w:rPr>
          <w:rFonts w:eastAsiaTheme="majorEastAsia"/>
          <w:b/>
          <w:iCs/>
        </w:rPr>
        <w:t>Legitimer Zweck</w:t>
      </w:r>
    </w:p>
    <w:p w14:paraId="334A63BA" w14:textId="77777777" w:rsidR="00F006CD" w:rsidRPr="00874649" w:rsidRDefault="00F006CD" w:rsidP="00F006CD">
      <w:pPr>
        <w:pStyle w:val="Randnummer"/>
        <w:framePr w:wrap="around"/>
        <w:rPr>
          <w:rFonts w:eastAsiaTheme="majorEastAsia"/>
        </w:rPr>
      </w:pPr>
    </w:p>
    <w:p w14:paraId="03C90826" w14:textId="0A2234F4" w:rsidR="003A5762" w:rsidRPr="003A5762" w:rsidRDefault="003A5762" w:rsidP="003A5762">
      <w:pPr>
        <w:rPr>
          <w:rFonts w:eastAsiaTheme="majorEastAsia"/>
        </w:rPr>
      </w:pPr>
      <w:r w:rsidRPr="003A5762">
        <w:rPr>
          <w:rFonts w:eastAsiaTheme="majorEastAsia"/>
        </w:rPr>
        <w:t xml:space="preserve">Es müsste zunächst ein legitimer Zweck vorliegen. Vorliegend entscheidet sich das Bezirksamt für die Anordnung, da sie die körperliche Unversehrtheit der Personen schützen möchte, die das Grundstück betreten. Bei der körperlichen Unversehrtheit gemäß Art. 2 </w:t>
      </w:r>
      <w:r w:rsidR="00E91AF0">
        <w:rPr>
          <w:rFonts w:eastAsiaTheme="majorEastAsia"/>
        </w:rPr>
        <w:t>II</w:t>
      </w:r>
      <w:r w:rsidRPr="003A5762">
        <w:rPr>
          <w:rFonts w:eastAsiaTheme="majorEastAsia"/>
        </w:rPr>
        <w:t xml:space="preserve"> </w:t>
      </w:r>
      <w:r w:rsidR="00E91AF0">
        <w:rPr>
          <w:rFonts w:eastAsiaTheme="majorEastAsia"/>
        </w:rPr>
        <w:t>1</w:t>
      </w:r>
      <w:r w:rsidRPr="003A5762">
        <w:rPr>
          <w:rFonts w:eastAsiaTheme="majorEastAsia"/>
        </w:rPr>
        <w:t xml:space="preserve"> GG handelt es sich um einen legitimen Zweck.</w:t>
      </w:r>
    </w:p>
    <w:p w14:paraId="524A3E25" w14:textId="5711F4CA" w:rsidR="003A5762" w:rsidRDefault="00874649" w:rsidP="003A5762">
      <w:pPr>
        <w:rPr>
          <w:rFonts w:eastAsiaTheme="majorEastAsia"/>
          <w:b/>
          <w:iCs/>
        </w:rPr>
      </w:pPr>
      <w:r>
        <w:rPr>
          <w:rFonts w:eastAsiaTheme="majorEastAsia"/>
          <w:b/>
          <w:iCs/>
        </w:rPr>
        <w:t xml:space="preserve">(b) </w:t>
      </w:r>
      <w:r w:rsidR="003A5762" w:rsidRPr="00874649">
        <w:rPr>
          <w:rFonts w:eastAsiaTheme="majorEastAsia"/>
          <w:b/>
          <w:iCs/>
        </w:rPr>
        <w:t>Geeignetheit</w:t>
      </w:r>
    </w:p>
    <w:p w14:paraId="47E0B1D5" w14:textId="77777777" w:rsidR="00F006CD" w:rsidRPr="00874649" w:rsidRDefault="00F006CD" w:rsidP="00F006CD">
      <w:pPr>
        <w:pStyle w:val="Randnummer"/>
        <w:framePr w:wrap="around"/>
        <w:rPr>
          <w:rFonts w:eastAsiaTheme="majorEastAsia"/>
        </w:rPr>
      </w:pPr>
    </w:p>
    <w:p w14:paraId="053EEEF5" w14:textId="77777777" w:rsidR="003A5762" w:rsidRPr="003A5762" w:rsidRDefault="003A5762" w:rsidP="003A5762">
      <w:pPr>
        <w:rPr>
          <w:rFonts w:eastAsiaTheme="majorEastAsia"/>
        </w:rPr>
      </w:pPr>
      <w:r w:rsidRPr="003A5762">
        <w:rPr>
          <w:rFonts w:eastAsiaTheme="majorEastAsia"/>
        </w:rPr>
        <w:t>Die Anordnung müsste ferner geeignet sein. Eine Maßnahme ist geeignet, wenn sie den legitimen Zweck fördert. Durch die Verpflichtung, die Grundstücksgrenzen durch eine Einfriedung zu sichern, wird der legitime Zweck gefördert und ist mithin auch geeignet.</w:t>
      </w:r>
    </w:p>
    <w:p w14:paraId="5A61D47D" w14:textId="0B9804E4" w:rsidR="003A5762" w:rsidRDefault="00874649" w:rsidP="003A5762">
      <w:pPr>
        <w:rPr>
          <w:rFonts w:eastAsiaTheme="majorEastAsia"/>
          <w:b/>
          <w:iCs/>
        </w:rPr>
      </w:pPr>
      <w:r>
        <w:rPr>
          <w:rFonts w:eastAsiaTheme="majorEastAsia"/>
          <w:b/>
          <w:iCs/>
        </w:rPr>
        <w:t xml:space="preserve">(c) </w:t>
      </w:r>
      <w:r w:rsidR="003A5762" w:rsidRPr="00874649">
        <w:rPr>
          <w:rFonts w:eastAsiaTheme="majorEastAsia"/>
          <w:b/>
          <w:iCs/>
        </w:rPr>
        <w:t>Erforderlichkeit</w:t>
      </w:r>
    </w:p>
    <w:p w14:paraId="12131B5D" w14:textId="77777777" w:rsidR="00F006CD" w:rsidRPr="00874649" w:rsidRDefault="00F006CD" w:rsidP="00F006CD">
      <w:pPr>
        <w:pStyle w:val="Randnummer"/>
        <w:framePr w:wrap="around"/>
        <w:rPr>
          <w:rFonts w:eastAsiaTheme="majorEastAsia"/>
        </w:rPr>
      </w:pPr>
    </w:p>
    <w:p w14:paraId="7621B50B" w14:textId="77777777" w:rsidR="003A5762" w:rsidRPr="003A5762" w:rsidRDefault="003A5762" w:rsidP="003A5762">
      <w:pPr>
        <w:rPr>
          <w:rFonts w:eastAsiaTheme="majorEastAsia"/>
        </w:rPr>
      </w:pPr>
      <w:r w:rsidRPr="003A5762">
        <w:rPr>
          <w:rFonts w:eastAsiaTheme="majorEastAsia"/>
        </w:rPr>
        <w:t>Zudem müsste die Anordnung erforderlich sein. Eine Maßnahme ist erforderlich, wenn sie das mildeste unter gleich geeigneten Mitteln ist. Fraglich ist daher, ob andere gleich geeignete mildere Mittel in Betracht kommen, um die Gefahr für die körperliche Unversehrtheit abzuwenden.</w:t>
      </w:r>
    </w:p>
    <w:p w14:paraId="062B6DF2" w14:textId="77777777" w:rsidR="003A5762" w:rsidRPr="003A5762" w:rsidRDefault="003A5762" w:rsidP="003A5762">
      <w:pPr>
        <w:rPr>
          <w:rFonts w:eastAsiaTheme="majorEastAsia"/>
        </w:rPr>
      </w:pPr>
      <w:r w:rsidRPr="003A5762">
        <w:rPr>
          <w:rFonts w:eastAsiaTheme="majorEastAsia"/>
        </w:rPr>
        <w:t>In Betracht käme als erstes eine mögliche Sanierungspflicht der Gebäude. Dies ist jedoch ein erheblicherer Eingriff in die Eigentumsrechte der K und zudem eine kostenintensivere Maßnahme. Für den Schutz der Personen ist eine Sicherung des Grundstücks ausreichend. Andere Maßnahmen sind nicht erkennbar.</w:t>
      </w:r>
    </w:p>
    <w:p w14:paraId="4B2595A2" w14:textId="77777777" w:rsidR="003A5762" w:rsidRPr="003A5762" w:rsidRDefault="003A5762" w:rsidP="003A5762">
      <w:pPr>
        <w:rPr>
          <w:rFonts w:eastAsiaTheme="majorEastAsia"/>
        </w:rPr>
      </w:pPr>
      <w:r w:rsidRPr="003A5762">
        <w:rPr>
          <w:rFonts w:eastAsiaTheme="majorEastAsia"/>
        </w:rPr>
        <w:t>Mithin ist die Anordnung auch erforderlich.</w:t>
      </w:r>
    </w:p>
    <w:p w14:paraId="7BEA54F2" w14:textId="620057C6" w:rsidR="003A5762" w:rsidRDefault="00874649" w:rsidP="003A5762">
      <w:pPr>
        <w:rPr>
          <w:rFonts w:eastAsiaTheme="majorEastAsia"/>
          <w:b/>
          <w:iCs/>
        </w:rPr>
      </w:pPr>
      <w:r>
        <w:rPr>
          <w:rFonts w:eastAsiaTheme="majorEastAsia"/>
          <w:b/>
          <w:iCs/>
        </w:rPr>
        <w:t xml:space="preserve">(d) </w:t>
      </w:r>
      <w:r w:rsidR="003A5762" w:rsidRPr="00874649">
        <w:rPr>
          <w:rFonts w:eastAsiaTheme="majorEastAsia"/>
          <w:b/>
          <w:iCs/>
        </w:rPr>
        <w:t>Angemessenheit</w:t>
      </w:r>
    </w:p>
    <w:p w14:paraId="020D703E" w14:textId="77777777" w:rsidR="00F006CD" w:rsidRPr="00874649" w:rsidRDefault="00F006CD" w:rsidP="00F006CD">
      <w:pPr>
        <w:pStyle w:val="Randnummer"/>
        <w:framePr w:wrap="around"/>
        <w:rPr>
          <w:rFonts w:eastAsiaTheme="majorEastAsia"/>
        </w:rPr>
      </w:pPr>
    </w:p>
    <w:p w14:paraId="67C9B3BC" w14:textId="77777777" w:rsidR="003A5762" w:rsidRPr="003A5762" w:rsidRDefault="003A5762" w:rsidP="003A5762">
      <w:pPr>
        <w:rPr>
          <w:rFonts w:eastAsiaTheme="majorEastAsia"/>
        </w:rPr>
      </w:pPr>
      <w:r w:rsidRPr="003A5762">
        <w:rPr>
          <w:rFonts w:eastAsiaTheme="majorEastAsia"/>
        </w:rPr>
        <w:t>Zuletzt müsste die Anordnung auch angemessen sein. Eine Maßnahme ist angemessen, wenn der legitime Zweck mit dem jeweiligen Eingriff in einem angemessenen Verhältnis steht.</w:t>
      </w:r>
    </w:p>
    <w:p w14:paraId="40011BD2" w14:textId="77777777" w:rsidR="003A5762" w:rsidRPr="003A5762" w:rsidRDefault="003A5762" w:rsidP="003A5762">
      <w:pPr>
        <w:rPr>
          <w:rFonts w:eastAsiaTheme="majorEastAsia"/>
        </w:rPr>
      </w:pPr>
      <w:r w:rsidRPr="003A5762">
        <w:rPr>
          <w:rFonts w:eastAsiaTheme="majorEastAsia"/>
        </w:rPr>
        <w:t>Die Verpflichtung eine Absicherung des Grundstücks vorzunehmen ist sowohl finanziell als auch von praktischen Aufwand her ein geringer Eingriff, um die bestehende Gefahr für die körperliche Unversehrtheit von Personen abzuwenden und dem unbefugten Betreten vorzubeugen. Die Maßnahme ist letztlich auch angemessen und damit insgesamt verhältnismäßig, sodass die Behörde im Rahmen ihres pflichtgemäßen Ermessens gehandelt hat.</w:t>
      </w:r>
    </w:p>
    <w:p w14:paraId="0595300B" w14:textId="28B7EC51" w:rsidR="003A5762" w:rsidRPr="00874649" w:rsidRDefault="0059368E" w:rsidP="001B5EC5">
      <w:pPr>
        <w:pStyle w:val="berschrift5"/>
      </w:pPr>
      <w:bookmarkStart w:id="79" w:name="_Toc22132962"/>
      <w:r w:rsidRPr="00874649">
        <w:t xml:space="preserve">II. </w:t>
      </w:r>
      <w:r w:rsidR="003A5762" w:rsidRPr="00874649">
        <w:t>Rechtsverletzung</w:t>
      </w:r>
      <w:bookmarkEnd w:id="79"/>
    </w:p>
    <w:p w14:paraId="3164F4D2" w14:textId="77777777" w:rsidR="00035229" w:rsidRDefault="00035229" w:rsidP="00035229">
      <w:pPr>
        <w:pStyle w:val="Randnummer"/>
        <w:framePr w:wrap="around"/>
        <w:rPr>
          <w:rFonts w:eastAsiaTheme="majorEastAsia"/>
        </w:rPr>
      </w:pPr>
    </w:p>
    <w:p w14:paraId="4760C6ED" w14:textId="77777777" w:rsidR="003A5762" w:rsidRDefault="003A5762" w:rsidP="003A5762">
      <w:pPr>
        <w:rPr>
          <w:rFonts w:eastAsiaTheme="majorEastAsia"/>
        </w:rPr>
      </w:pPr>
      <w:r w:rsidRPr="003A5762">
        <w:rPr>
          <w:rFonts w:eastAsiaTheme="majorEastAsia"/>
        </w:rPr>
        <w:t>Der Verwaltungsakt ist rechtmäßig. Eine Rechtsverletzung liegt mithin nicht vor.</w:t>
      </w:r>
    </w:p>
    <w:p w14:paraId="7B6C482D" w14:textId="77777777" w:rsidR="000434BF" w:rsidRPr="003A5762" w:rsidRDefault="000434BF" w:rsidP="003A5762">
      <w:pPr>
        <w:rPr>
          <w:rFonts w:eastAsiaTheme="majorEastAsia"/>
        </w:rPr>
      </w:pPr>
    </w:p>
    <w:p w14:paraId="66BC3D06" w14:textId="32F1A496" w:rsidR="003A5762" w:rsidRPr="00874649" w:rsidRDefault="0059368E" w:rsidP="001B5EC5">
      <w:pPr>
        <w:pStyle w:val="berschrift4"/>
      </w:pPr>
      <w:bookmarkStart w:id="80" w:name="_Toc22132963"/>
      <w:r w:rsidRPr="00874649">
        <w:t xml:space="preserve">C. </w:t>
      </w:r>
      <w:r w:rsidR="003A5762" w:rsidRPr="00874649">
        <w:t>Ergebnis</w:t>
      </w:r>
      <w:bookmarkEnd w:id="80"/>
    </w:p>
    <w:p w14:paraId="19B907BA" w14:textId="77777777" w:rsidR="00035229" w:rsidRDefault="00035229" w:rsidP="00035229">
      <w:pPr>
        <w:pStyle w:val="Randnummer"/>
        <w:framePr w:wrap="around"/>
        <w:rPr>
          <w:rFonts w:eastAsiaTheme="majorEastAsia"/>
        </w:rPr>
      </w:pPr>
    </w:p>
    <w:p w14:paraId="061D8C5E" w14:textId="0419DF23" w:rsidR="00035229" w:rsidRPr="000434BF" w:rsidRDefault="003A5762" w:rsidP="000434BF">
      <w:pPr>
        <w:rPr>
          <w:rFonts w:eastAsiaTheme="majorEastAsia"/>
        </w:rPr>
      </w:pPr>
      <w:r w:rsidRPr="003A5762">
        <w:rPr>
          <w:rFonts w:eastAsiaTheme="majorEastAsia"/>
        </w:rPr>
        <w:t>Die Klage ist zulässig, jedoch unbegründet.</w:t>
      </w:r>
      <w:r w:rsidR="003D5545">
        <w:rPr>
          <w:rFonts w:eastAsiaTheme="majorEastAsia"/>
        </w:rPr>
        <w:t xml:space="preserve"> Sie hat daher keine Aussicht auf Erfolg.</w:t>
      </w:r>
    </w:p>
    <w:p w14:paraId="2D24FF13" w14:textId="77777777" w:rsidR="0001383E" w:rsidRDefault="0001383E">
      <w:pPr>
        <w:jc w:val="left"/>
        <w:rPr>
          <w:rFonts w:asciiTheme="majorHAnsi" w:eastAsiaTheme="majorEastAsia" w:hAnsiTheme="majorHAnsi" w:cstheme="majorBidi"/>
          <w:color w:val="2E74B5" w:themeColor="accent1" w:themeShade="BF"/>
          <w:sz w:val="28"/>
          <w:szCs w:val="28"/>
        </w:rPr>
      </w:pPr>
      <w:bookmarkStart w:id="81" w:name="_Toc10463905"/>
      <w:bookmarkStart w:id="82" w:name="_Toc13833323"/>
      <w:bookmarkEnd w:id="36"/>
      <w:r>
        <w:br w:type="page"/>
      </w:r>
    </w:p>
    <w:p w14:paraId="72093BC7" w14:textId="6C38FC21" w:rsidR="00035229" w:rsidRDefault="0059368E" w:rsidP="008779DD">
      <w:pPr>
        <w:pStyle w:val="berschrift2"/>
      </w:pPr>
      <w:bookmarkStart w:id="83" w:name="_Toc22132768"/>
      <w:r>
        <w:lastRenderedPageBreak/>
        <w:t>Fall 2: Anfechtung</w:t>
      </w:r>
      <w:r w:rsidR="004D7C04">
        <w:t>sklage bei</w:t>
      </w:r>
      <w:r>
        <w:t xml:space="preserve"> Nebenbestimmungen</w:t>
      </w:r>
      <w:r w:rsidR="00035229">
        <w:t xml:space="preserve"> (Isabel Leinenbach)</w:t>
      </w:r>
      <w:bookmarkEnd w:id="81"/>
      <w:bookmarkEnd w:id="82"/>
      <w:bookmarkEnd w:id="83"/>
    </w:p>
    <w:p w14:paraId="4B2B7A84" w14:textId="5E07EEC5" w:rsidR="00E04D99" w:rsidRPr="00E04D99" w:rsidRDefault="00E04D99" w:rsidP="00E04D99">
      <w:pPr>
        <w:pStyle w:val="Autorin"/>
      </w:pPr>
      <w:r>
        <w:t>Isabel Leinenbach</w:t>
      </w:r>
    </w:p>
    <w:p w14:paraId="22D7E7F3" w14:textId="77777777" w:rsidR="009E471F" w:rsidRDefault="009E471F" w:rsidP="009E471F">
      <w:pPr>
        <w:pStyle w:val="Randnummer"/>
        <w:framePr w:wrap="around"/>
      </w:pPr>
    </w:p>
    <w:p w14:paraId="66667B95" w14:textId="7B0BD462" w:rsidR="00035229" w:rsidRDefault="009E471F" w:rsidP="00035229">
      <w:r w:rsidRPr="00CC7995">
        <w:t>Lernziele/Schwerpunkte:</w:t>
      </w:r>
      <w:r w:rsidR="00467554">
        <w:t xml:space="preserve"> Anfechtungsklage, Nebenbestimmungen, Auflage, Baugenehmigung, Ermessen, Verhältnismäßigkeit</w:t>
      </w:r>
    </w:p>
    <w:p w14:paraId="761E04D0" w14:textId="77777777" w:rsidR="0001383E" w:rsidRDefault="0001383E" w:rsidP="00035229"/>
    <w:p w14:paraId="3914D9FB" w14:textId="6314761B" w:rsidR="00035229" w:rsidRPr="0033651E" w:rsidRDefault="00035229" w:rsidP="0001383E">
      <w:pPr>
        <w:pStyle w:val="berschrift3"/>
      </w:pPr>
      <w:r w:rsidRPr="0033651E">
        <w:t>Sachverhalt</w:t>
      </w:r>
    </w:p>
    <w:p w14:paraId="2C715DF8" w14:textId="77777777" w:rsidR="00505892" w:rsidRPr="00505892" w:rsidRDefault="00505892" w:rsidP="00505892">
      <w:pPr>
        <w:pStyle w:val="Randnummer"/>
        <w:framePr w:wrap="around"/>
      </w:pPr>
    </w:p>
    <w:p w14:paraId="513C9960" w14:textId="77777777" w:rsidR="00035229" w:rsidRPr="00035229" w:rsidRDefault="00035229" w:rsidP="00035229">
      <w:r w:rsidRPr="00035229">
        <w:t xml:space="preserve">Der Parkettverleger Herbert Holzmann (H) betreibt seit einigen Jahren einen im Saarland allseits bekannten, gut laufenden Handwerksbetrieb. Nachdem er bereits eine Niederlassung im saarländischen Saardorf unterhält, möchte er aufgrund des florierenden Geschäfts expandieren. Zu diesem Zweck erwirbt er ein unbebautes Grundstück in einem Saarbrücker Industriegebiet, auf dem er eine Lagerhalle sowie einen kleinen Verkaufsraum errichten will. Auf dem angrenzenden Nachbargrundstück des Martin Murano (M) befindet sich eine Glasmanufaktur, in der in circa 1500 Grad heißen Öfen die tollsten Glaskunstwerke hergestellt werden. </w:t>
      </w:r>
    </w:p>
    <w:p w14:paraId="1CD4D2FE" w14:textId="77777777" w:rsidR="00035229" w:rsidRPr="00035229" w:rsidRDefault="00035229" w:rsidP="00035229">
      <w:r w:rsidRPr="00035229">
        <w:t>Die zuständige untere Bauaufsichtsbehörde der Stadt Saarbrücken erteilt H antragsgemäß die Baugenehmigung für die Halle samt Verkaufsraum, die jedoch mit folgendem „Zusatz“ versehen ist:</w:t>
      </w:r>
    </w:p>
    <w:p w14:paraId="4E272CAC" w14:textId="77777777" w:rsidR="00035229" w:rsidRDefault="00035229" w:rsidP="00035229">
      <w:pPr>
        <w:rPr>
          <w:i/>
        </w:rPr>
      </w:pPr>
      <w:r w:rsidRPr="00035229">
        <w:rPr>
          <w:i/>
        </w:rPr>
        <w:t>„An der Grenze zum Grundstück Flur Nr. [… Grundstück des M] ist eine gradlinige Feuerwehrzufahrt zur Rückseite des Gebäudes zu schaffen. Diese muss gepflastert oder geteert, als solche gekennzeichnet sein und ständig freigehalten werden.“</w:t>
      </w:r>
    </w:p>
    <w:p w14:paraId="50129F9F" w14:textId="4ED73C91" w:rsidR="00035229" w:rsidRPr="00035229" w:rsidRDefault="00035229" w:rsidP="00035229">
      <w:r w:rsidRPr="00035229">
        <w:t>In der zuvor durchgeführten Anhörung führte die Bauaufsichtsbehörde aus, dass die Nutzung des Nachbargrundstücks durch M rechtmäßig sei und die von ihm getroffenen Brandschutzmaßnahmen für den derzeitigen Stand der Bebauung auch ausreichend seien. Durch die Bebauung des bislang brach liegenden Grundstücks erhöhe sich jedoch nun die Gefahr der Brandausbreitung auf benachbarte Gebäude. Ohne eine entsprechende Feuerwehrzufahrt könnte ein Brand in der Glasmanufaktur nicht effektiv eingedämmt und damit ein Übergreifen des Brandes auf das Holzlager des H nicht verhindert werden. Daher sei es erforderlich, die Errichtung und Freihaltung der Feuerwehzufahrt auch zwangsweise durchsetzen zu können.</w:t>
      </w:r>
    </w:p>
    <w:p w14:paraId="2893D0B4" w14:textId="77777777" w:rsidR="00035229" w:rsidRPr="00035229" w:rsidRDefault="00035229" w:rsidP="00035229">
      <w:r w:rsidRPr="00035229">
        <w:t>H ist über diese Ausführungen der unteren Bauaufsichtsbehörde empört. Er möchte die Fläche, die er als Feuerwehrzufahrt freihalten soll, lieber als Parkplatz für Kunden und Transportfahrzeuge nutzen. Nach ordnungsgemäß durchgeführtem, aber erfolglosem Widerspruchsverfahren möchte H nun vor dem zuständigen Verwaltungsgericht gegen den „Zusatz“ vorgehen.</w:t>
      </w:r>
    </w:p>
    <w:p w14:paraId="57402A72" w14:textId="0274D9E8" w:rsidR="00035229" w:rsidRPr="00817B65" w:rsidRDefault="00035229" w:rsidP="00035229">
      <w:pPr>
        <w:rPr>
          <w:b/>
        </w:rPr>
      </w:pPr>
      <w:r w:rsidRPr="00817B65">
        <w:rPr>
          <w:b/>
        </w:rPr>
        <w:t>Hat die gegen die untere Bauaufsichtsbehörde als richtige Klagegegnerin gerichtete Klage des M Erfolg?</w:t>
      </w:r>
    </w:p>
    <w:p w14:paraId="53A93A05" w14:textId="77533220" w:rsidR="00035229" w:rsidRPr="00035229" w:rsidRDefault="003C7CAE" w:rsidP="00035229">
      <w:pPr>
        <w:rPr>
          <w:i/>
        </w:rPr>
      </w:pPr>
      <w:r>
        <w:rPr>
          <w:i/>
        </w:rPr>
        <w:lastRenderedPageBreak/>
        <w:t>H</w:t>
      </w:r>
      <w:r w:rsidR="008C1818">
        <w:rPr>
          <w:i/>
        </w:rPr>
        <w:t>i</w:t>
      </w:r>
      <w:r w:rsidR="00035229" w:rsidRPr="008C1818">
        <w:rPr>
          <w:i/>
        </w:rPr>
        <w:t>nweis:</w:t>
      </w:r>
      <w:r w:rsidR="00035229" w:rsidRPr="00035229">
        <w:rPr>
          <w:i/>
        </w:rPr>
        <w:t xml:space="preserve"> Die Lösung orientiert sich an der saarländischen Landesbauordnung. Es wird jedoch in den Fußnoten auf die entsprechenden</w:t>
      </w:r>
      <w:r w:rsidR="00035229" w:rsidRPr="00035229" w:rsidDel="008F0E93">
        <w:rPr>
          <w:i/>
        </w:rPr>
        <w:t xml:space="preserve"> </w:t>
      </w:r>
      <w:r w:rsidR="00035229" w:rsidRPr="00035229">
        <w:rPr>
          <w:i/>
        </w:rPr>
        <w:t>Normen der übrigen Bundesländer hingewiesen.</w:t>
      </w:r>
    </w:p>
    <w:p w14:paraId="59B69B1E" w14:textId="77777777" w:rsidR="00035229" w:rsidRPr="00035229" w:rsidRDefault="00035229" w:rsidP="00035229">
      <w:r w:rsidRPr="00035229">
        <w:t>Der (fiktive) § 6 I LBO lautet:</w:t>
      </w:r>
    </w:p>
    <w:p w14:paraId="4D69A198" w14:textId="4748AFCB" w:rsidR="00035229" w:rsidRDefault="00035229" w:rsidP="00035229">
      <w:r w:rsidRPr="00035229">
        <w:t>„Von öffentlichen Flächen ist eine gradlinige Zu- oder Durchfahrt zur Rückseite des Gebäudes zu schaffen, die für Feuerwehrfahrzeuge ausreichend befestigt und tragfähig ist. Sie ist als solche zu kennzeichnen und ständig freizuhalten.“</w:t>
      </w:r>
    </w:p>
    <w:p w14:paraId="42CBBB25" w14:textId="77777777" w:rsidR="0001383E" w:rsidRDefault="0001383E">
      <w:pPr>
        <w:jc w:val="left"/>
        <w:rPr>
          <w:rFonts w:ascii="Calibri" w:eastAsiaTheme="majorEastAsia" w:hAnsi="Calibri" w:cstheme="majorBidi"/>
          <w:sz w:val="24"/>
          <w:szCs w:val="24"/>
        </w:rPr>
      </w:pPr>
      <w:r>
        <w:br w:type="page"/>
      </w:r>
    </w:p>
    <w:p w14:paraId="4A8CD85C" w14:textId="042CB942" w:rsidR="0033651E" w:rsidRDefault="0033651E" w:rsidP="0001383E">
      <w:pPr>
        <w:pStyle w:val="berschrift3"/>
      </w:pPr>
      <w:r w:rsidRPr="0033651E">
        <w:lastRenderedPageBreak/>
        <w:t>Lösungsgliederung</w:t>
      </w:r>
    </w:p>
    <w:p w14:paraId="1FF6054D" w14:textId="77777777" w:rsidR="00817B65" w:rsidRDefault="00817B65" w:rsidP="00817B65">
      <w:pPr>
        <w:pStyle w:val="Randnummer"/>
        <w:framePr w:wrap="around"/>
      </w:pPr>
    </w:p>
    <w:p w14:paraId="6C5B3506" w14:textId="65602911" w:rsidR="007537A8" w:rsidRDefault="007F5EA3">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"Fall2" </w:instrText>
      </w:r>
      <w:r>
        <w:rPr>
          <w:rFonts w:eastAsiaTheme="majorEastAsia"/>
        </w:rPr>
        <w:fldChar w:fldCharType="separate"/>
      </w:r>
      <w:hyperlink w:anchor="_Toc22132964" w:history="1">
        <w:r w:rsidR="007537A8" w:rsidRPr="00EF76A4">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_Toc22132964 \h </w:instrText>
        </w:r>
        <w:r w:rsidR="007537A8">
          <w:rPr>
            <w:noProof/>
            <w:webHidden/>
          </w:rPr>
        </w:r>
        <w:r w:rsidR="007537A8">
          <w:rPr>
            <w:noProof/>
            <w:webHidden/>
          </w:rPr>
          <w:fldChar w:fldCharType="separate"/>
        </w:r>
        <w:r w:rsidR="007537A8">
          <w:rPr>
            <w:noProof/>
            <w:webHidden/>
          </w:rPr>
          <w:t>23</w:t>
        </w:r>
        <w:r w:rsidR="007537A8">
          <w:rPr>
            <w:noProof/>
            <w:webHidden/>
          </w:rPr>
          <w:fldChar w:fldCharType="end"/>
        </w:r>
      </w:hyperlink>
    </w:p>
    <w:p w14:paraId="020E139B" w14:textId="1E5FB04E" w:rsidR="007537A8" w:rsidRDefault="00091FED">
      <w:pPr>
        <w:pStyle w:val="Verzeichnis4"/>
        <w:tabs>
          <w:tab w:val="right" w:leader="dot" w:pos="7361"/>
        </w:tabs>
        <w:rPr>
          <w:rFonts w:eastAsiaTheme="minorEastAsia"/>
          <w:noProof/>
          <w:sz w:val="22"/>
          <w:szCs w:val="22"/>
          <w:lang w:eastAsia="de-DE"/>
        </w:rPr>
      </w:pPr>
      <w:hyperlink w:anchor="_Toc22132965" w:history="1">
        <w:r w:rsidR="007537A8" w:rsidRPr="00EF76A4">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_Toc22132965 \h </w:instrText>
        </w:r>
        <w:r w:rsidR="007537A8">
          <w:rPr>
            <w:noProof/>
            <w:webHidden/>
          </w:rPr>
        </w:r>
        <w:r w:rsidR="007537A8">
          <w:rPr>
            <w:noProof/>
            <w:webHidden/>
          </w:rPr>
          <w:fldChar w:fldCharType="separate"/>
        </w:r>
        <w:r w:rsidR="007537A8">
          <w:rPr>
            <w:noProof/>
            <w:webHidden/>
          </w:rPr>
          <w:t>23</w:t>
        </w:r>
        <w:r w:rsidR="007537A8">
          <w:rPr>
            <w:noProof/>
            <w:webHidden/>
          </w:rPr>
          <w:fldChar w:fldCharType="end"/>
        </w:r>
      </w:hyperlink>
    </w:p>
    <w:p w14:paraId="7112CE7D" w14:textId="10C554D0" w:rsidR="007537A8" w:rsidRDefault="00091FED">
      <w:pPr>
        <w:pStyle w:val="Verzeichnis5"/>
        <w:tabs>
          <w:tab w:val="right" w:leader="dot" w:pos="7361"/>
        </w:tabs>
        <w:rPr>
          <w:rFonts w:eastAsiaTheme="minorEastAsia"/>
          <w:noProof/>
          <w:sz w:val="22"/>
          <w:szCs w:val="22"/>
          <w:lang w:eastAsia="de-DE"/>
        </w:rPr>
      </w:pPr>
      <w:hyperlink w:anchor="_Toc22132966" w:history="1">
        <w:r w:rsidR="007537A8" w:rsidRPr="00EF76A4">
          <w:rPr>
            <w:rStyle w:val="Hyperlink"/>
            <w:noProof/>
          </w:rPr>
          <w:t>I. Verwaltungsrechtsweg</w:t>
        </w:r>
        <w:r w:rsidR="007537A8">
          <w:rPr>
            <w:noProof/>
            <w:webHidden/>
          </w:rPr>
          <w:tab/>
        </w:r>
        <w:r w:rsidR="007537A8">
          <w:rPr>
            <w:noProof/>
            <w:webHidden/>
          </w:rPr>
          <w:fldChar w:fldCharType="begin"/>
        </w:r>
        <w:r w:rsidR="007537A8">
          <w:rPr>
            <w:noProof/>
            <w:webHidden/>
          </w:rPr>
          <w:instrText xml:space="preserve"> PAGEREF _Toc22132966 \h </w:instrText>
        </w:r>
        <w:r w:rsidR="007537A8">
          <w:rPr>
            <w:noProof/>
            <w:webHidden/>
          </w:rPr>
        </w:r>
        <w:r w:rsidR="007537A8">
          <w:rPr>
            <w:noProof/>
            <w:webHidden/>
          </w:rPr>
          <w:fldChar w:fldCharType="separate"/>
        </w:r>
        <w:r w:rsidR="007537A8">
          <w:rPr>
            <w:noProof/>
            <w:webHidden/>
          </w:rPr>
          <w:t>23</w:t>
        </w:r>
        <w:r w:rsidR="007537A8">
          <w:rPr>
            <w:noProof/>
            <w:webHidden/>
          </w:rPr>
          <w:fldChar w:fldCharType="end"/>
        </w:r>
      </w:hyperlink>
    </w:p>
    <w:p w14:paraId="79887F8E" w14:textId="176C3CF9" w:rsidR="007537A8" w:rsidRDefault="00091FED">
      <w:pPr>
        <w:pStyle w:val="Verzeichnis5"/>
        <w:tabs>
          <w:tab w:val="right" w:leader="dot" w:pos="7361"/>
        </w:tabs>
        <w:rPr>
          <w:rFonts w:eastAsiaTheme="minorEastAsia"/>
          <w:noProof/>
          <w:sz w:val="22"/>
          <w:szCs w:val="22"/>
          <w:lang w:eastAsia="de-DE"/>
        </w:rPr>
      </w:pPr>
      <w:hyperlink w:anchor="_Toc22132967" w:history="1">
        <w:r w:rsidR="007537A8" w:rsidRPr="00EF76A4">
          <w:rPr>
            <w:rStyle w:val="Hyperlink"/>
            <w:noProof/>
          </w:rPr>
          <w:t>II. Statthafte Klageart</w:t>
        </w:r>
        <w:r w:rsidR="007537A8">
          <w:rPr>
            <w:noProof/>
            <w:webHidden/>
          </w:rPr>
          <w:tab/>
        </w:r>
        <w:r w:rsidR="007537A8">
          <w:rPr>
            <w:noProof/>
            <w:webHidden/>
          </w:rPr>
          <w:fldChar w:fldCharType="begin"/>
        </w:r>
        <w:r w:rsidR="007537A8">
          <w:rPr>
            <w:noProof/>
            <w:webHidden/>
          </w:rPr>
          <w:instrText xml:space="preserve"> PAGEREF _Toc22132967 \h </w:instrText>
        </w:r>
        <w:r w:rsidR="007537A8">
          <w:rPr>
            <w:noProof/>
            <w:webHidden/>
          </w:rPr>
        </w:r>
        <w:r w:rsidR="007537A8">
          <w:rPr>
            <w:noProof/>
            <w:webHidden/>
          </w:rPr>
          <w:fldChar w:fldCharType="separate"/>
        </w:r>
        <w:r w:rsidR="007537A8">
          <w:rPr>
            <w:noProof/>
            <w:webHidden/>
          </w:rPr>
          <w:t>23</w:t>
        </w:r>
        <w:r w:rsidR="007537A8">
          <w:rPr>
            <w:noProof/>
            <w:webHidden/>
          </w:rPr>
          <w:fldChar w:fldCharType="end"/>
        </w:r>
      </w:hyperlink>
    </w:p>
    <w:p w14:paraId="04925BF5" w14:textId="727E26E3" w:rsidR="007537A8" w:rsidRDefault="00091FED">
      <w:pPr>
        <w:pStyle w:val="Verzeichnis6"/>
        <w:tabs>
          <w:tab w:val="right" w:leader="dot" w:pos="7361"/>
        </w:tabs>
        <w:rPr>
          <w:noProof/>
          <w:sz w:val="22"/>
          <w:szCs w:val="22"/>
          <w:lang w:eastAsia="de-DE"/>
        </w:rPr>
      </w:pPr>
      <w:hyperlink w:anchor="_Toc22132968" w:history="1">
        <w:r w:rsidR="007537A8" w:rsidRPr="00EF76A4">
          <w:rPr>
            <w:rStyle w:val="Hyperlink"/>
            <w:noProof/>
          </w:rPr>
          <w:t>1. Qualifikation des „Zusatzes“ als Nebenbestimmung</w:t>
        </w:r>
        <w:r w:rsidR="007537A8">
          <w:rPr>
            <w:noProof/>
            <w:webHidden/>
          </w:rPr>
          <w:tab/>
        </w:r>
        <w:r w:rsidR="007537A8">
          <w:rPr>
            <w:noProof/>
            <w:webHidden/>
          </w:rPr>
          <w:fldChar w:fldCharType="begin"/>
        </w:r>
        <w:r w:rsidR="007537A8">
          <w:rPr>
            <w:noProof/>
            <w:webHidden/>
          </w:rPr>
          <w:instrText xml:space="preserve"> PAGEREF _Toc22132968 \h </w:instrText>
        </w:r>
        <w:r w:rsidR="007537A8">
          <w:rPr>
            <w:noProof/>
            <w:webHidden/>
          </w:rPr>
        </w:r>
        <w:r w:rsidR="007537A8">
          <w:rPr>
            <w:noProof/>
            <w:webHidden/>
          </w:rPr>
          <w:fldChar w:fldCharType="separate"/>
        </w:r>
        <w:r w:rsidR="007537A8">
          <w:rPr>
            <w:noProof/>
            <w:webHidden/>
          </w:rPr>
          <w:t>23</w:t>
        </w:r>
        <w:r w:rsidR="007537A8">
          <w:rPr>
            <w:noProof/>
            <w:webHidden/>
          </w:rPr>
          <w:fldChar w:fldCharType="end"/>
        </w:r>
      </w:hyperlink>
    </w:p>
    <w:p w14:paraId="7DDE72BC" w14:textId="05E95148" w:rsidR="007537A8" w:rsidRDefault="00091FED">
      <w:pPr>
        <w:pStyle w:val="Verzeichnis6"/>
        <w:tabs>
          <w:tab w:val="right" w:leader="dot" w:pos="7361"/>
        </w:tabs>
        <w:rPr>
          <w:noProof/>
          <w:sz w:val="22"/>
          <w:szCs w:val="22"/>
          <w:lang w:eastAsia="de-DE"/>
        </w:rPr>
      </w:pPr>
      <w:hyperlink w:anchor="_Toc22132969" w:history="1">
        <w:r w:rsidR="007537A8" w:rsidRPr="00EF76A4">
          <w:rPr>
            <w:rStyle w:val="Hyperlink"/>
            <w:noProof/>
          </w:rPr>
          <w:t>2. Einordnung in die Art der Nebenbestimmung</w:t>
        </w:r>
        <w:r w:rsidR="007537A8">
          <w:rPr>
            <w:noProof/>
            <w:webHidden/>
          </w:rPr>
          <w:tab/>
        </w:r>
        <w:r w:rsidR="007537A8">
          <w:rPr>
            <w:noProof/>
            <w:webHidden/>
          </w:rPr>
          <w:fldChar w:fldCharType="begin"/>
        </w:r>
        <w:r w:rsidR="007537A8">
          <w:rPr>
            <w:noProof/>
            <w:webHidden/>
          </w:rPr>
          <w:instrText xml:space="preserve"> PAGEREF _Toc22132969 \h </w:instrText>
        </w:r>
        <w:r w:rsidR="007537A8">
          <w:rPr>
            <w:noProof/>
            <w:webHidden/>
          </w:rPr>
        </w:r>
        <w:r w:rsidR="007537A8">
          <w:rPr>
            <w:noProof/>
            <w:webHidden/>
          </w:rPr>
          <w:fldChar w:fldCharType="separate"/>
        </w:r>
        <w:r w:rsidR="007537A8">
          <w:rPr>
            <w:noProof/>
            <w:webHidden/>
          </w:rPr>
          <w:t>24</w:t>
        </w:r>
        <w:r w:rsidR="007537A8">
          <w:rPr>
            <w:noProof/>
            <w:webHidden/>
          </w:rPr>
          <w:fldChar w:fldCharType="end"/>
        </w:r>
      </w:hyperlink>
    </w:p>
    <w:p w14:paraId="59E480FE" w14:textId="37CABA6F" w:rsidR="007537A8" w:rsidRDefault="00091FED">
      <w:pPr>
        <w:pStyle w:val="Verzeichnis6"/>
        <w:tabs>
          <w:tab w:val="right" w:leader="dot" w:pos="7361"/>
        </w:tabs>
        <w:rPr>
          <w:noProof/>
          <w:sz w:val="22"/>
          <w:szCs w:val="22"/>
          <w:lang w:eastAsia="de-DE"/>
        </w:rPr>
      </w:pPr>
      <w:hyperlink w:anchor="_Toc22132970" w:history="1">
        <w:r w:rsidR="007537A8" w:rsidRPr="00EF76A4">
          <w:rPr>
            <w:rStyle w:val="Hyperlink"/>
            <w:noProof/>
          </w:rPr>
          <w:t>3. Isolierte Anfechtbarkeit der Auflage</w:t>
        </w:r>
        <w:r w:rsidR="007537A8">
          <w:rPr>
            <w:noProof/>
            <w:webHidden/>
          </w:rPr>
          <w:tab/>
        </w:r>
        <w:r w:rsidR="007537A8">
          <w:rPr>
            <w:noProof/>
            <w:webHidden/>
          </w:rPr>
          <w:fldChar w:fldCharType="begin"/>
        </w:r>
        <w:r w:rsidR="007537A8">
          <w:rPr>
            <w:noProof/>
            <w:webHidden/>
          </w:rPr>
          <w:instrText xml:space="preserve"> PAGEREF _Toc22132970 \h </w:instrText>
        </w:r>
        <w:r w:rsidR="007537A8">
          <w:rPr>
            <w:noProof/>
            <w:webHidden/>
          </w:rPr>
        </w:r>
        <w:r w:rsidR="007537A8">
          <w:rPr>
            <w:noProof/>
            <w:webHidden/>
          </w:rPr>
          <w:fldChar w:fldCharType="separate"/>
        </w:r>
        <w:r w:rsidR="007537A8">
          <w:rPr>
            <w:noProof/>
            <w:webHidden/>
          </w:rPr>
          <w:t>24</w:t>
        </w:r>
        <w:r w:rsidR="007537A8">
          <w:rPr>
            <w:noProof/>
            <w:webHidden/>
          </w:rPr>
          <w:fldChar w:fldCharType="end"/>
        </w:r>
      </w:hyperlink>
    </w:p>
    <w:p w14:paraId="2E35834A" w14:textId="4A37A495" w:rsidR="007537A8" w:rsidRDefault="00091FED">
      <w:pPr>
        <w:pStyle w:val="Verzeichnis5"/>
        <w:tabs>
          <w:tab w:val="right" w:leader="dot" w:pos="7361"/>
        </w:tabs>
        <w:rPr>
          <w:rFonts w:eastAsiaTheme="minorEastAsia"/>
          <w:noProof/>
          <w:sz w:val="22"/>
          <w:szCs w:val="22"/>
          <w:lang w:eastAsia="de-DE"/>
        </w:rPr>
      </w:pPr>
      <w:hyperlink w:anchor="_Toc22132971" w:history="1">
        <w:r w:rsidR="007537A8" w:rsidRPr="00EF76A4">
          <w:rPr>
            <w:rStyle w:val="Hyperlink"/>
            <w:noProof/>
          </w:rPr>
          <w:t>III. Klagebefugnis</w:t>
        </w:r>
        <w:r w:rsidR="007537A8">
          <w:rPr>
            <w:noProof/>
            <w:webHidden/>
          </w:rPr>
          <w:tab/>
        </w:r>
        <w:r w:rsidR="007537A8">
          <w:rPr>
            <w:noProof/>
            <w:webHidden/>
          </w:rPr>
          <w:fldChar w:fldCharType="begin"/>
        </w:r>
        <w:r w:rsidR="007537A8">
          <w:rPr>
            <w:noProof/>
            <w:webHidden/>
          </w:rPr>
          <w:instrText xml:space="preserve"> PAGEREF _Toc22132971 \h </w:instrText>
        </w:r>
        <w:r w:rsidR="007537A8">
          <w:rPr>
            <w:noProof/>
            <w:webHidden/>
          </w:rPr>
        </w:r>
        <w:r w:rsidR="007537A8">
          <w:rPr>
            <w:noProof/>
            <w:webHidden/>
          </w:rPr>
          <w:fldChar w:fldCharType="separate"/>
        </w:r>
        <w:r w:rsidR="007537A8">
          <w:rPr>
            <w:noProof/>
            <w:webHidden/>
          </w:rPr>
          <w:t>25</w:t>
        </w:r>
        <w:r w:rsidR="007537A8">
          <w:rPr>
            <w:noProof/>
            <w:webHidden/>
          </w:rPr>
          <w:fldChar w:fldCharType="end"/>
        </w:r>
      </w:hyperlink>
    </w:p>
    <w:p w14:paraId="55FA80C1" w14:textId="2191F38C" w:rsidR="007537A8" w:rsidRDefault="00091FED">
      <w:pPr>
        <w:pStyle w:val="Verzeichnis5"/>
        <w:tabs>
          <w:tab w:val="right" w:leader="dot" w:pos="7361"/>
        </w:tabs>
        <w:rPr>
          <w:rFonts w:eastAsiaTheme="minorEastAsia"/>
          <w:noProof/>
          <w:sz w:val="22"/>
          <w:szCs w:val="22"/>
          <w:lang w:eastAsia="de-DE"/>
        </w:rPr>
      </w:pPr>
      <w:hyperlink w:anchor="_Toc22132972" w:history="1">
        <w:r w:rsidR="007537A8" w:rsidRPr="00EF76A4">
          <w:rPr>
            <w:rStyle w:val="Hyperlink"/>
            <w:noProof/>
          </w:rPr>
          <w:t>IV. Vorverfahren</w:t>
        </w:r>
        <w:r w:rsidR="007537A8">
          <w:rPr>
            <w:noProof/>
            <w:webHidden/>
          </w:rPr>
          <w:tab/>
        </w:r>
        <w:r w:rsidR="007537A8">
          <w:rPr>
            <w:noProof/>
            <w:webHidden/>
          </w:rPr>
          <w:fldChar w:fldCharType="begin"/>
        </w:r>
        <w:r w:rsidR="007537A8">
          <w:rPr>
            <w:noProof/>
            <w:webHidden/>
          </w:rPr>
          <w:instrText xml:space="preserve"> PAGEREF _Toc22132972 \h </w:instrText>
        </w:r>
        <w:r w:rsidR="007537A8">
          <w:rPr>
            <w:noProof/>
            <w:webHidden/>
          </w:rPr>
        </w:r>
        <w:r w:rsidR="007537A8">
          <w:rPr>
            <w:noProof/>
            <w:webHidden/>
          </w:rPr>
          <w:fldChar w:fldCharType="separate"/>
        </w:r>
        <w:r w:rsidR="007537A8">
          <w:rPr>
            <w:noProof/>
            <w:webHidden/>
          </w:rPr>
          <w:t>26</w:t>
        </w:r>
        <w:r w:rsidR="007537A8">
          <w:rPr>
            <w:noProof/>
            <w:webHidden/>
          </w:rPr>
          <w:fldChar w:fldCharType="end"/>
        </w:r>
      </w:hyperlink>
    </w:p>
    <w:p w14:paraId="062A41E9" w14:textId="16E7BB29" w:rsidR="007537A8" w:rsidRDefault="00091FED">
      <w:pPr>
        <w:pStyle w:val="Verzeichnis5"/>
        <w:tabs>
          <w:tab w:val="right" w:leader="dot" w:pos="7361"/>
        </w:tabs>
        <w:rPr>
          <w:rFonts w:eastAsiaTheme="minorEastAsia"/>
          <w:noProof/>
          <w:sz w:val="22"/>
          <w:szCs w:val="22"/>
          <w:lang w:eastAsia="de-DE"/>
        </w:rPr>
      </w:pPr>
      <w:hyperlink w:anchor="_Toc22132973" w:history="1">
        <w:r w:rsidR="007537A8" w:rsidRPr="00EF76A4">
          <w:rPr>
            <w:rStyle w:val="Hyperlink"/>
            <w:noProof/>
          </w:rPr>
          <w:t>V. Form und Frist</w:t>
        </w:r>
        <w:r w:rsidR="007537A8">
          <w:rPr>
            <w:noProof/>
            <w:webHidden/>
          </w:rPr>
          <w:tab/>
        </w:r>
        <w:r w:rsidR="007537A8">
          <w:rPr>
            <w:noProof/>
            <w:webHidden/>
          </w:rPr>
          <w:fldChar w:fldCharType="begin"/>
        </w:r>
        <w:r w:rsidR="007537A8">
          <w:rPr>
            <w:noProof/>
            <w:webHidden/>
          </w:rPr>
          <w:instrText xml:space="preserve"> PAGEREF _Toc22132973 \h </w:instrText>
        </w:r>
        <w:r w:rsidR="007537A8">
          <w:rPr>
            <w:noProof/>
            <w:webHidden/>
          </w:rPr>
        </w:r>
        <w:r w:rsidR="007537A8">
          <w:rPr>
            <w:noProof/>
            <w:webHidden/>
          </w:rPr>
          <w:fldChar w:fldCharType="separate"/>
        </w:r>
        <w:r w:rsidR="007537A8">
          <w:rPr>
            <w:noProof/>
            <w:webHidden/>
          </w:rPr>
          <w:t>26</w:t>
        </w:r>
        <w:r w:rsidR="007537A8">
          <w:rPr>
            <w:noProof/>
            <w:webHidden/>
          </w:rPr>
          <w:fldChar w:fldCharType="end"/>
        </w:r>
      </w:hyperlink>
    </w:p>
    <w:p w14:paraId="1E2F3A4C" w14:textId="1597EB4A" w:rsidR="007537A8" w:rsidRDefault="00091FED">
      <w:pPr>
        <w:pStyle w:val="Verzeichnis5"/>
        <w:tabs>
          <w:tab w:val="right" w:leader="dot" w:pos="7361"/>
        </w:tabs>
        <w:rPr>
          <w:rFonts w:eastAsiaTheme="minorEastAsia"/>
          <w:noProof/>
          <w:sz w:val="22"/>
          <w:szCs w:val="22"/>
          <w:lang w:eastAsia="de-DE"/>
        </w:rPr>
      </w:pPr>
      <w:hyperlink w:anchor="_Toc22132974" w:history="1">
        <w:r w:rsidR="007537A8" w:rsidRPr="00EF76A4">
          <w:rPr>
            <w:rStyle w:val="Hyperlink"/>
            <w:noProof/>
          </w:rPr>
          <w:t>VI. Zwischenergebnis</w:t>
        </w:r>
        <w:r w:rsidR="007537A8">
          <w:rPr>
            <w:noProof/>
            <w:webHidden/>
          </w:rPr>
          <w:tab/>
        </w:r>
        <w:r w:rsidR="007537A8">
          <w:rPr>
            <w:noProof/>
            <w:webHidden/>
          </w:rPr>
          <w:fldChar w:fldCharType="begin"/>
        </w:r>
        <w:r w:rsidR="007537A8">
          <w:rPr>
            <w:noProof/>
            <w:webHidden/>
          </w:rPr>
          <w:instrText xml:space="preserve"> PAGEREF _Toc22132974 \h </w:instrText>
        </w:r>
        <w:r w:rsidR="007537A8">
          <w:rPr>
            <w:noProof/>
            <w:webHidden/>
          </w:rPr>
        </w:r>
        <w:r w:rsidR="007537A8">
          <w:rPr>
            <w:noProof/>
            <w:webHidden/>
          </w:rPr>
          <w:fldChar w:fldCharType="separate"/>
        </w:r>
        <w:r w:rsidR="007537A8">
          <w:rPr>
            <w:noProof/>
            <w:webHidden/>
          </w:rPr>
          <w:t>26</w:t>
        </w:r>
        <w:r w:rsidR="007537A8">
          <w:rPr>
            <w:noProof/>
            <w:webHidden/>
          </w:rPr>
          <w:fldChar w:fldCharType="end"/>
        </w:r>
      </w:hyperlink>
    </w:p>
    <w:p w14:paraId="14DC475C" w14:textId="312A0332" w:rsidR="007537A8" w:rsidRDefault="00091FED">
      <w:pPr>
        <w:pStyle w:val="Verzeichnis4"/>
        <w:tabs>
          <w:tab w:val="right" w:leader="dot" w:pos="7361"/>
        </w:tabs>
        <w:rPr>
          <w:rFonts w:eastAsiaTheme="minorEastAsia"/>
          <w:noProof/>
          <w:sz w:val="22"/>
          <w:szCs w:val="22"/>
          <w:lang w:eastAsia="de-DE"/>
        </w:rPr>
      </w:pPr>
      <w:hyperlink w:anchor="_Toc22132975" w:history="1">
        <w:r w:rsidR="007537A8" w:rsidRPr="00EF76A4">
          <w:rPr>
            <w:rStyle w:val="Hyperlink"/>
            <w:noProof/>
          </w:rPr>
          <w:t>B. Begründetheit</w:t>
        </w:r>
        <w:r w:rsidR="007537A8">
          <w:rPr>
            <w:noProof/>
            <w:webHidden/>
          </w:rPr>
          <w:tab/>
        </w:r>
        <w:r w:rsidR="007537A8">
          <w:rPr>
            <w:noProof/>
            <w:webHidden/>
          </w:rPr>
          <w:fldChar w:fldCharType="begin"/>
        </w:r>
        <w:r w:rsidR="007537A8">
          <w:rPr>
            <w:noProof/>
            <w:webHidden/>
          </w:rPr>
          <w:instrText xml:space="preserve"> PAGEREF _Toc22132975 \h </w:instrText>
        </w:r>
        <w:r w:rsidR="007537A8">
          <w:rPr>
            <w:noProof/>
            <w:webHidden/>
          </w:rPr>
        </w:r>
        <w:r w:rsidR="007537A8">
          <w:rPr>
            <w:noProof/>
            <w:webHidden/>
          </w:rPr>
          <w:fldChar w:fldCharType="separate"/>
        </w:r>
        <w:r w:rsidR="007537A8">
          <w:rPr>
            <w:noProof/>
            <w:webHidden/>
          </w:rPr>
          <w:t>26</w:t>
        </w:r>
        <w:r w:rsidR="007537A8">
          <w:rPr>
            <w:noProof/>
            <w:webHidden/>
          </w:rPr>
          <w:fldChar w:fldCharType="end"/>
        </w:r>
      </w:hyperlink>
    </w:p>
    <w:p w14:paraId="61AA4E6A" w14:textId="7DE3D7A1" w:rsidR="007537A8" w:rsidRDefault="00091FED">
      <w:pPr>
        <w:pStyle w:val="Verzeichnis5"/>
        <w:tabs>
          <w:tab w:val="right" w:leader="dot" w:pos="7361"/>
        </w:tabs>
        <w:rPr>
          <w:rFonts w:eastAsiaTheme="minorEastAsia"/>
          <w:noProof/>
          <w:sz w:val="22"/>
          <w:szCs w:val="22"/>
          <w:lang w:eastAsia="de-DE"/>
        </w:rPr>
      </w:pPr>
      <w:hyperlink w:anchor="_Toc22132976" w:history="1">
        <w:r w:rsidR="007537A8" w:rsidRPr="00EF76A4">
          <w:rPr>
            <w:rStyle w:val="Hyperlink"/>
            <w:noProof/>
          </w:rPr>
          <w:t>I. Rechtmäßigkeit der Auflage</w:t>
        </w:r>
        <w:r w:rsidR="007537A8">
          <w:rPr>
            <w:noProof/>
            <w:webHidden/>
          </w:rPr>
          <w:tab/>
        </w:r>
        <w:r w:rsidR="007537A8">
          <w:rPr>
            <w:noProof/>
            <w:webHidden/>
          </w:rPr>
          <w:fldChar w:fldCharType="begin"/>
        </w:r>
        <w:r w:rsidR="007537A8">
          <w:rPr>
            <w:noProof/>
            <w:webHidden/>
          </w:rPr>
          <w:instrText xml:space="preserve"> PAGEREF _Toc22132976 \h </w:instrText>
        </w:r>
        <w:r w:rsidR="007537A8">
          <w:rPr>
            <w:noProof/>
            <w:webHidden/>
          </w:rPr>
        </w:r>
        <w:r w:rsidR="007537A8">
          <w:rPr>
            <w:noProof/>
            <w:webHidden/>
          </w:rPr>
          <w:fldChar w:fldCharType="separate"/>
        </w:r>
        <w:r w:rsidR="007537A8">
          <w:rPr>
            <w:noProof/>
            <w:webHidden/>
          </w:rPr>
          <w:t>26</w:t>
        </w:r>
        <w:r w:rsidR="007537A8">
          <w:rPr>
            <w:noProof/>
            <w:webHidden/>
          </w:rPr>
          <w:fldChar w:fldCharType="end"/>
        </w:r>
      </w:hyperlink>
    </w:p>
    <w:p w14:paraId="5D8F28F9" w14:textId="6516725D" w:rsidR="007537A8" w:rsidRDefault="00091FED">
      <w:pPr>
        <w:pStyle w:val="Verzeichnis6"/>
        <w:tabs>
          <w:tab w:val="right" w:leader="dot" w:pos="7361"/>
        </w:tabs>
        <w:rPr>
          <w:noProof/>
          <w:sz w:val="22"/>
          <w:szCs w:val="22"/>
          <w:lang w:eastAsia="de-DE"/>
        </w:rPr>
      </w:pPr>
      <w:hyperlink w:anchor="_Toc22132977" w:history="1">
        <w:r w:rsidR="007537A8" w:rsidRPr="00EF76A4">
          <w:rPr>
            <w:rStyle w:val="Hyperlink"/>
            <w:noProof/>
          </w:rPr>
          <w:t>1. Ermächtigungsgrundlage</w:t>
        </w:r>
        <w:r w:rsidR="007537A8">
          <w:rPr>
            <w:noProof/>
            <w:webHidden/>
          </w:rPr>
          <w:tab/>
        </w:r>
        <w:r w:rsidR="007537A8">
          <w:rPr>
            <w:noProof/>
            <w:webHidden/>
          </w:rPr>
          <w:fldChar w:fldCharType="begin"/>
        </w:r>
        <w:r w:rsidR="007537A8">
          <w:rPr>
            <w:noProof/>
            <w:webHidden/>
          </w:rPr>
          <w:instrText xml:space="preserve"> PAGEREF _Toc22132977 \h </w:instrText>
        </w:r>
        <w:r w:rsidR="007537A8">
          <w:rPr>
            <w:noProof/>
            <w:webHidden/>
          </w:rPr>
        </w:r>
        <w:r w:rsidR="007537A8">
          <w:rPr>
            <w:noProof/>
            <w:webHidden/>
          </w:rPr>
          <w:fldChar w:fldCharType="separate"/>
        </w:r>
        <w:r w:rsidR="007537A8">
          <w:rPr>
            <w:noProof/>
            <w:webHidden/>
          </w:rPr>
          <w:t>26</w:t>
        </w:r>
        <w:r w:rsidR="007537A8">
          <w:rPr>
            <w:noProof/>
            <w:webHidden/>
          </w:rPr>
          <w:fldChar w:fldCharType="end"/>
        </w:r>
      </w:hyperlink>
    </w:p>
    <w:p w14:paraId="5823CAF2" w14:textId="16964306" w:rsidR="007537A8" w:rsidRDefault="00091FED">
      <w:pPr>
        <w:pStyle w:val="Verzeichnis6"/>
        <w:tabs>
          <w:tab w:val="right" w:leader="dot" w:pos="7361"/>
        </w:tabs>
        <w:rPr>
          <w:noProof/>
          <w:sz w:val="22"/>
          <w:szCs w:val="22"/>
          <w:lang w:eastAsia="de-DE"/>
        </w:rPr>
      </w:pPr>
      <w:hyperlink w:anchor="_Toc22132978" w:history="1">
        <w:r w:rsidR="007537A8" w:rsidRPr="00EF76A4">
          <w:rPr>
            <w:rStyle w:val="Hyperlink"/>
            <w:noProof/>
          </w:rPr>
          <w:t>2. Formelle Rechtmäßigkeit</w:t>
        </w:r>
        <w:r w:rsidR="007537A8">
          <w:rPr>
            <w:noProof/>
            <w:webHidden/>
          </w:rPr>
          <w:tab/>
        </w:r>
        <w:r w:rsidR="007537A8">
          <w:rPr>
            <w:noProof/>
            <w:webHidden/>
          </w:rPr>
          <w:fldChar w:fldCharType="begin"/>
        </w:r>
        <w:r w:rsidR="007537A8">
          <w:rPr>
            <w:noProof/>
            <w:webHidden/>
          </w:rPr>
          <w:instrText xml:space="preserve"> PAGEREF _Toc22132978 \h </w:instrText>
        </w:r>
        <w:r w:rsidR="007537A8">
          <w:rPr>
            <w:noProof/>
            <w:webHidden/>
          </w:rPr>
        </w:r>
        <w:r w:rsidR="007537A8">
          <w:rPr>
            <w:noProof/>
            <w:webHidden/>
          </w:rPr>
          <w:fldChar w:fldCharType="separate"/>
        </w:r>
        <w:r w:rsidR="007537A8">
          <w:rPr>
            <w:noProof/>
            <w:webHidden/>
          </w:rPr>
          <w:t>26</w:t>
        </w:r>
        <w:r w:rsidR="007537A8">
          <w:rPr>
            <w:noProof/>
            <w:webHidden/>
          </w:rPr>
          <w:fldChar w:fldCharType="end"/>
        </w:r>
      </w:hyperlink>
    </w:p>
    <w:p w14:paraId="702D94BB" w14:textId="55824B2B" w:rsidR="007537A8" w:rsidRDefault="00091FED">
      <w:pPr>
        <w:pStyle w:val="Verzeichnis6"/>
        <w:tabs>
          <w:tab w:val="right" w:leader="dot" w:pos="7361"/>
        </w:tabs>
        <w:rPr>
          <w:noProof/>
          <w:sz w:val="22"/>
          <w:szCs w:val="22"/>
          <w:lang w:eastAsia="de-DE"/>
        </w:rPr>
      </w:pPr>
      <w:hyperlink w:anchor="_Toc22132979" w:history="1">
        <w:r w:rsidR="007537A8" w:rsidRPr="00EF76A4">
          <w:rPr>
            <w:rStyle w:val="Hyperlink"/>
            <w:noProof/>
          </w:rPr>
          <w:t>3. Materielle Rechtmäßigkeit</w:t>
        </w:r>
        <w:r w:rsidR="007537A8">
          <w:rPr>
            <w:noProof/>
            <w:webHidden/>
          </w:rPr>
          <w:tab/>
        </w:r>
        <w:r w:rsidR="007537A8">
          <w:rPr>
            <w:noProof/>
            <w:webHidden/>
          </w:rPr>
          <w:fldChar w:fldCharType="begin"/>
        </w:r>
        <w:r w:rsidR="007537A8">
          <w:rPr>
            <w:noProof/>
            <w:webHidden/>
          </w:rPr>
          <w:instrText xml:space="preserve"> PAGEREF _Toc22132979 \h </w:instrText>
        </w:r>
        <w:r w:rsidR="007537A8">
          <w:rPr>
            <w:noProof/>
            <w:webHidden/>
          </w:rPr>
        </w:r>
        <w:r w:rsidR="007537A8">
          <w:rPr>
            <w:noProof/>
            <w:webHidden/>
          </w:rPr>
          <w:fldChar w:fldCharType="separate"/>
        </w:r>
        <w:r w:rsidR="007537A8">
          <w:rPr>
            <w:noProof/>
            <w:webHidden/>
          </w:rPr>
          <w:t>27</w:t>
        </w:r>
        <w:r w:rsidR="007537A8">
          <w:rPr>
            <w:noProof/>
            <w:webHidden/>
          </w:rPr>
          <w:fldChar w:fldCharType="end"/>
        </w:r>
      </w:hyperlink>
    </w:p>
    <w:p w14:paraId="1FAFBC94" w14:textId="3D2DFA51" w:rsidR="007537A8" w:rsidRDefault="00091FED">
      <w:pPr>
        <w:pStyle w:val="Verzeichnis7"/>
        <w:tabs>
          <w:tab w:val="right" w:leader="dot" w:pos="7361"/>
        </w:tabs>
        <w:rPr>
          <w:noProof/>
          <w:sz w:val="22"/>
          <w:szCs w:val="22"/>
          <w:lang w:eastAsia="de-DE"/>
        </w:rPr>
      </w:pPr>
      <w:hyperlink w:anchor="_Toc22132980" w:history="1">
        <w:r w:rsidR="007537A8" w:rsidRPr="00EF76A4">
          <w:rPr>
            <w:rStyle w:val="Hyperlink"/>
            <w:noProof/>
          </w:rPr>
          <w:t>a) Tatbestandsmerkmale der Ermächtigungsgrundlage</w:t>
        </w:r>
        <w:r w:rsidR="007537A8">
          <w:rPr>
            <w:noProof/>
            <w:webHidden/>
          </w:rPr>
          <w:tab/>
        </w:r>
        <w:r w:rsidR="007537A8">
          <w:rPr>
            <w:noProof/>
            <w:webHidden/>
          </w:rPr>
          <w:fldChar w:fldCharType="begin"/>
        </w:r>
        <w:r w:rsidR="007537A8">
          <w:rPr>
            <w:noProof/>
            <w:webHidden/>
          </w:rPr>
          <w:instrText xml:space="preserve"> PAGEREF _Toc22132980 \h </w:instrText>
        </w:r>
        <w:r w:rsidR="007537A8">
          <w:rPr>
            <w:noProof/>
            <w:webHidden/>
          </w:rPr>
        </w:r>
        <w:r w:rsidR="007537A8">
          <w:rPr>
            <w:noProof/>
            <w:webHidden/>
          </w:rPr>
          <w:fldChar w:fldCharType="separate"/>
        </w:r>
        <w:r w:rsidR="007537A8">
          <w:rPr>
            <w:noProof/>
            <w:webHidden/>
          </w:rPr>
          <w:t>27</w:t>
        </w:r>
        <w:r w:rsidR="007537A8">
          <w:rPr>
            <w:noProof/>
            <w:webHidden/>
          </w:rPr>
          <w:fldChar w:fldCharType="end"/>
        </w:r>
      </w:hyperlink>
    </w:p>
    <w:p w14:paraId="33E229F2" w14:textId="743D5AAF" w:rsidR="007537A8" w:rsidRDefault="00091FED">
      <w:pPr>
        <w:pStyle w:val="Verzeichnis7"/>
        <w:tabs>
          <w:tab w:val="right" w:leader="dot" w:pos="7361"/>
        </w:tabs>
        <w:rPr>
          <w:noProof/>
          <w:sz w:val="22"/>
          <w:szCs w:val="22"/>
          <w:lang w:eastAsia="de-DE"/>
        </w:rPr>
      </w:pPr>
      <w:hyperlink w:anchor="_Toc22132981" w:history="1">
        <w:r w:rsidR="007537A8" w:rsidRPr="00EF76A4">
          <w:rPr>
            <w:rStyle w:val="Hyperlink"/>
            <w:noProof/>
          </w:rPr>
          <w:t>b) Rechtsfolge: Ermessen</w:t>
        </w:r>
        <w:r w:rsidR="007537A8">
          <w:rPr>
            <w:noProof/>
            <w:webHidden/>
          </w:rPr>
          <w:tab/>
        </w:r>
        <w:r w:rsidR="007537A8">
          <w:rPr>
            <w:noProof/>
            <w:webHidden/>
          </w:rPr>
          <w:fldChar w:fldCharType="begin"/>
        </w:r>
        <w:r w:rsidR="007537A8">
          <w:rPr>
            <w:noProof/>
            <w:webHidden/>
          </w:rPr>
          <w:instrText xml:space="preserve"> PAGEREF _Toc22132981 \h </w:instrText>
        </w:r>
        <w:r w:rsidR="007537A8">
          <w:rPr>
            <w:noProof/>
            <w:webHidden/>
          </w:rPr>
        </w:r>
        <w:r w:rsidR="007537A8">
          <w:rPr>
            <w:noProof/>
            <w:webHidden/>
          </w:rPr>
          <w:fldChar w:fldCharType="separate"/>
        </w:r>
        <w:r w:rsidR="007537A8">
          <w:rPr>
            <w:noProof/>
            <w:webHidden/>
          </w:rPr>
          <w:t>28</w:t>
        </w:r>
        <w:r w:rsidR="007537A8">
          <w:rPr>
            <w:noProof/>
            <w:webHidden/>
          </w:rPr>
          <w:fldChar w:fldCharType="end"/>
        </w:r>
      </w:hyperlink>
    </w:p>
    <w:p w14:paraId="066FFAE4" w14:textId="104B3842" w:rsidR="007537A8" w:rsidRDefault="00091FED">
      <w:pPr>
        <w:pStyle w:val="Verzeichnis5"/>
        <w:tabs>
          <w:tab w:val="right" w:leader="dot" w:pos="7361"/>
        </w:tabs>
        <w:rPr>
          <w:rFonts w:eastAsiaTheme="minorEastAsia"/>
          <w:noProof/>
          <w:sz w:val="22"/>
          <w:szCs w:val="22"/>
          <w:lang w:eastAsia="de-DE"/>
        </w:rPr>
      </w:pPr>
      <w:hyperlink w:anchor="_Toc22132982" w:history="1">
        <w:r w:rsidR="007537A8" w:rsidRPr="00EF76A4">
          <w:rPr>
            <w:rStyle w:val="Hyperlink"/>
            <w:noProof/>
          </w:rPr>
          <w:t>II. Zwischenergebnis</w:t>
        </w:r>
        <w:r w:rsidR="007537A8">
          <w:rPr>
            <w:noProof/>
            <w:webHidden/>
          </w:rPr>
          <w:tab/>
        </w:r>
        <w:r w:rsidR="007537A8">
          <w:rPr>
            <w:noProof/>
            <w:webHidden/>
          </w:rPr>
          <w:fldChar w:fldCharType="begin"/>
        </w:r>
        <w:r w:rsidR="007537A8">
          <w:rPr>
            <w:noProof/>
            <w:webHidden/>
          </w:rPr>
          <w:instrText xml:space="preserve"> PAGEREF _Toc22132982 \h </w:instrText>
        </w:r>
        <w:r w:rsidR="007537A8">
          <w:rPr>
            <w:noProof/>
            <w:webHidden/>
          </w:rPr>
        </w:r>
        <w:r w:rsidR="007537A8">
          <w:rPr>
            <w:noProof/>
            <w:webHidden/>
          </w:rPr>
          <w:fldChar w:fldCharType="separate"/>
        </w:r>
        <w:r w:rsidR="007537A8">
          <w:rPr>
            <w:noProof/>
            <w:webHidden/>
          </w:rPr>
          <w:t>28</w:t>
        </w:r>
        <w:r w:rsidR="007537A8">
          <w:rPr>
            <w:noProof/>
            <w:webHidden/>
          </w:rPr>
          <w:fldChar w:fldCharType="end"/>
        </w:r>
      </w:hyperlink>
    </w:p>
    <w:p w14:paraId="10F8A55E" w14:textId="509C8D55" w:rsidR="007537A8" w:rsidRDefault="00091FED">
      <w:pPr>
        <w:pStyle w:val="Verzeichnis4"/>
        <w:tabs>
          <w:tab w:val="right" w:leader="dot" w:pos="7361"/>
        </w:tabs>
        <w:rPr>
          <w:rFonts w:eastAsiaTheme="minorEastAsia"/>
          <w:noProof/>
          <w:sz w:val="22"/>
          <w:szCs w:val="22"/>
          <w:lang w:eastAsia="de-DE"/>
        </w:rPr>
      </w:pPr>
      <w:hyperlink w:anchor="_Toc22132983" w:history="1">
        <w:r w:rsidR="007537A8" w:rsidRPr="00EF76A4">
          <w:rPr>
            <w:rStyle w:val="Hyperlink"/>
            <w:noProof/>
          </w:rPr>
          <w:t>C. Ergebnis</w:t>
        </w:r>
        <w:r w:rsidR="007537A8">
          <w:rPr>
            <w:noProof/>
            <w:webHidden/>
          </w:rPr>
          <w:tab/>
        </w:r>
        <w:r w:rsidR="007537A8">
          <w:rPr>
            <w:noProof/>
            <w:webHidden/>
          </w:rPr>
          <w:fldChar w:fldCharType="begin"/>
        </w:r>
        <w:r w:rsidR="007537A8">
          <w:rPr>
            <w:noProof/>
            <w:webHidden/>
          </w:rPr>
          <w:instrText xml:space="preserve"> PAGEREF _Toc22132983 \h </w:instrText>
        </w:r>
        <w:r w:rsidR="007537A8">
          <w:rPr>
            <w:noProof/>
            <w:webHidden/>
          </w:rPr>
        </w:r>
        <w:r w:rsidR="007537A8">
          <w:rPr>
            <w:noProof/>
            <w:webHidden/>
          </w:rPr>
          <w:fldChar w:fldCharType="separate"/>
        </w:r>
        <w:r w:rsidR="007537A8">
          <w:rPr>
            <w:noProof/>
            <w:webHidden/>
          </w:rPr>
          <w:t>29</w:t>
        </w:r>
        <w:r w:rsidR="007537A8">
          <w:rPr>
            <w:noProof/>
            <w:webHidden/>
          </w:rPr>
          <w:fldChar w:fldCharType="end"/>
        </w:r>
      </w:hyperlink>
    </w:p>
    <w:p w14:paraId="2CDF0522" w14:textId="2DECC4E4" w:rsidR="007F5EA3" w:rsidRDefault="007F5EA3" w:rsidP="00261442">
      <w:pPr>
        <w:rPr>
          <w:rFonts w:ascii="Calibri" w:eastAsiaTheme="majorEastAsia" w:hAnsi="Calibri" w:cstheme="majorBidi"/>
          <w:b/>
          <w:sz w:val="22"/>
          <w:szCs w:val="26"/>
        </w:rPr>
      </w:pPr>
      <w:r>
        <w:rPr>
          <w:rFonts w:eastAsiaTheme="majorEastAsia"/>
        </w:rPr>
        <w:fldChar w:fldCharType="end"/>
      </w:r>
      <w:r>
        <w:br w:type="page"/>
      </w:r>
    </w:p>
    <w:p w14:paraId="686919EF" w14:textId="32C0E35C" w:rsidR="00035229" w:rsidRPr="0033651E" w:rsidRDefault="00035229" w:rsidP="0001383E">
      <w:pPr>
        <w:pStyle w:val="berschrift3"/>
      </w:pPr>
      <w:bookmarkStart w:id="84" w:name="_Toc22132964"/>
      <w:bookmarkStart w:id="85" w:name="Fall2"/>
      <w:r w:rsidRPr="0033651E">
        <w:lastRenderedPageBreak/>
        <w:t>Lösung</w:t>
      </w:r>
      <w:r w:rsidR="0033651E" w:rsidRPr="0033651E">
        <w:t>svorschlag</w:t>
      </w:r>
      <w:bookmarkEnd w:id="84"/>
    </w:p>
    <w:p w14:paraId="142EC55E" w14:textId="77777777" w:rsidR="00505892" w:rsidRDefault="00505892" w:rsidP="00505892">
      <w:pPr>
        <w:pStyle w:val="Randnummer"/>
        <w:framePr w:wrap="around"/>
      </w:pPr>
    </w:p>
    <w:p w14:paraId="729E79A9" w14:textId="77777777" w:rsidR="00035229" w:rsidRPr="00035229" w:rsidRDefault="00035229" w:rsidP="00035229">
      <w:r w:rsidRPr="00035229">
        <w:t>Die Klage hat Erfolg, soweit sie zulässig und begründet ist.</w:t>
      </w:r>
    </w:p>
    <w:p w14:paraId="6E0F9CB9" w14:textId="323B6982" w:rsidR="00035229" w:rsidRDefault="00035229" w:rsidP="001B5EC5">
      <w:pPr>
        <w:pStyle w:val="berschrift4"/>
      </w:pPr>
      <w:bookmarkStart w:id="86" w:name="_Toc22132965"/>
      <w:r w:rsidRPr="0033651E">
        <w:t>A. Zulässigkeit</w:t>
      </w:r>
      <w:bookmarkEnd w:id="86"/>
    </w:p>
    <w:p w14:paraId="05754AB8" w14:textId="77777777" w:rsidR="00467554" w:rsidRDefault="00467554" w:rsidP="00467554">
      <w:pPr>
        <w:pStyle w:val="Randnummer"/>
        <w:framePr w:wrap="around"/>
      </w:pPr>
    </w:p>
    <w:p w14:paraId="0FDFB023" w14:textId="1374DDFF" w:rsidR="00467554" w:rsidRPr="00467554" w:rsidRDefault="00467554" w:rsidP="0033651E">
      <w:r w:rsidRPr="00467554">
        <w:t>Die Klage müsste zulässig sein.</w:t>
      </w:r>
    </w:p>
    <w:p w14:paraId="67FC4CE8" w14:textId="77777777" w:rsidR="00035229" w:rsidRPr="0033651E" w:rsidRDefault="00035229" w:rsidP="001B5EC5">
      <w:pPr>
        <w:pStyle w:val="berschrift5"/>
      </w:pPr>
      <w:bookmarkStart w:id="87" w:name="_Toc22132966"/>
      <w:r w:rsidRPr="0033651E">
        <w:t>I. Verwaltungsrechtsweg</w:t>
      </w:r>
      <w:bookmarkEnd w:id="87"/>
    </w:p>
    <w:p w14:paraId="61566B8E" w14:textId="77777777" w:rsidR="00505892" w:rsidRDefault="00505892" w:rsidP="00505892">
      <w:pPr>
        <w:pStyle w:val="Randnummer"/>
        <w:framePr w:wrap="around"/>
      </w:pPr>
    </w:p>
    <w:p w14:paraId="551F491B" w14:textId="6353C534" w:rsidR="00035229" w:rsidRPr="00A167DA" w:rsidRDefault="00035229" w:rsidP="00035229">
      <w:r w:rsidRPr="00035229">
        <w:t>In Ermangelung einer aufdrängenden Sonderzuweisung richtet sich die Eröffnung des V</w:t>
      </w:r>
      <w:r w:rsidRPr="00A167DA">
        <w:t xml:space="preserve">erwaltungsrechtswegs nach </w:t>
      </w:r>
      <w:r w:rsidRPr="00A167DA">
        <w:rPr>
          <w:rStyle w:val="Hyperlink"/>
        </w:rPr>
        <w:t>§ 40 I 1 VwGO</w:t>
      </w:r>
      <w:r w:rsidRPr="00A167DA">
        <w:t>. Hiernach ist der Verwaltungsrechtsweg gegeben, wenn es sich um eine öffentlich-rechtliche Streitigkeit nichtverfassungsrechtlicher Art handelt und keine abdrängende Sonderzuweisung einschlägig ist. Im vorliegenden Fall handelt es sich um eine Streitigkeit, für die die Normen des öffentlichen Baurechts streitentscheidend sind (modifizierte Subjekttheorie). Danach läge eine öffentlich-rechtliche Streitigkeit vor. Dieses Ergebnis bestätigt auch die Subordinationstheorie, da die Behörde einseitig im Über-Unterordnungsverhältnis gehandelt hat. Die Streitigkeit ist auch nichtverfassungsrechtlicher Art, da es an der hierfür erforderlichen doppelten Verfassungsunmittelbarkeit fehlt. Eine abdrängende Sonderzuweisung ist nicht ersichtlich. Damit ist der Verwaltungsrechtsweg eröffnet.</w:t>
      </w:r>
    </w:p>
    <w:p w14:paraId="5865CC58" w14:textId="77777777" w:rsidR="00035229" w:rsidRPr="00A167DA" w:rsidRDefault="00035229" w:rsidP="001B5EC5">
      <w:pPr>
        <w:pStyle w:val="berschrift5"/>
      </w:pPr>
      <w:bookmarkStart w:id="88" w:name="_Toc22132967"/>
      <w:r w:rsidRPr="00A167DA">
        <w:t>II. Statthafte Klageart</w:t>
      </w:r>
      <w:bookmarkEnd w:id="88"/>
    </w:p>
    <w:p w14:paraId="4B692092" w14:textId="77777777" w:rsidR="00505892" w:rsidRPr="00A167DA" w:rsidRDefault="00505892" w:rsidP="00505892">
      <w:pPr>
        <w:pStyle w:val="Randnummer"/>
        <w:framePr w:wrap="around"/>
      </w:pPr>
    </w:p>
    <w:p w14:paraId="545D3EC2" w14:textId="5453AE0A" w:rsidR="00035229" w:rsidRPr="00A167DA" w:rsidRDefault="00035229" w:rsidP="00035229">
      <w:r w:rsidRPr="00A167DA">
        <w:t xml:space="preserve">Die statthafte Klageart richtet sich nach dem Klägerbegehren unter verständiger richterlicher Würdigung, </w:t>
      </w:r>
      <w:r w:rsidRPr="00A167DA">
        <w:rPr>
          <w:rStyle w:val="Hyperlink"/>
        </w:rPr>
        <w:t>§§ 88</w:t>
      </w:r>
      <w:r w:rsidRPr="00A167DA">
        <w:t xml:space="preserve">, </w:t>
      </w:r>
      <w:r w:rsidRPr="00A167DA">
        <w:rPr>
          <w:rStyle w:val="Hyperlink"/>
        </w:rPr>
        <w:t>86 III VwGO</w:t>
      </w:r>
      <w:r w:rsidRPr="00A167DA">
        <w:t xml:space="preserve">. </w:t>
      </w:r>
    </w:p>
    <w:p w14:paraId="178DDF63" w14:textId="1F4E2DA5" w:rsidR="00035229" w:rsidRPr="00A167DA" w:rsidRDefault="00035229" w:rsidP="00035229">
      <w:r w:rsidRPr="00A167DA">
        <w:t>H möchte vorliegend nicht die Baugenehmigung als solche angreifen; vielmehr kommt es ihm darauf an, sich nur gegen die als „</w:t>
      </w:r>
      <w:r w:rsidR="003C7CAE">
        <w:t>Zusatz</w:t>
      </w:r>
      <w:r w:rsidRPr="00A167DA">
        <w:t>“ bezeichnete Nebenbestimmung zu wehren. Fraglich ist, wie ein derartiges Begehren vor dem Verwaltungsgericht erreicht werden kann. Hierfür kommen grundsätzlich zwei Möglichkeiten in Betracht: Eine Verpflichtungsklage auf Erlass der Baugenehmigung ohne Nebenbestimmung oder eine isolierte Anfechtung der Nebenbestimmung. Letztere hätte für H den Vorteil, dass die Voraussetzungen für den Erlass der Baugenehmigung nicht erneut geprüft werden müssten.</w:t>
      </w:r>
      <w:r w:rsidR="00467554" w:rsidRPr="00A167DA">
        <w:rPr>
          <w:rStyle w:val="Funotenzeichen"/>
        </w:rPr>
        <w:footnoteReference w:id="45"/>
      </w:r>
    </w:p>
    <w:p w14:paraId="06DC9C0F" w14:textId="77777777" w:rsidR="00035229" w:rsidRPr="00A167DA" w:rsidRDefault="00035229" w:rsidP="001B5EC5">
      <w:pPr>
        <w:pStyle w:val="berschrift6"/>
      </w:pPr>
      <w:bookmarkStart w:id="89" w:name="_Toc22132968"/>
      <w:r w:rsidRPr="00A167DA">
        <w:t>1. Qualifikation des „Zusatzes“ als Nebenbestimmung</w:t>
      </w:r>
      <w:bookmarkEnd w:id="89"/>
    </w:p>
    <w:p w14:paraId="1B134FCB" w14:textId="77777777" w:rsidR="00505892" w:rsidRPr="00A167DA" w:rsidRDefault="00505892" w:rsidP="00505892">
      <w:pPr>
        <w:pStyle w:val="Randnummer"/>
        <w:framePr w:wrap="around"/>
      </w:pPr>
    </w:p>
    <w:p w14:paraId="09E9CCFF" w14:textId="61F3CCC3" w:rsidR="00035229" w:rsidRDefault="00035229" w:rsidP="00035229">
      <w:r w:rsidRPr="00A167DA">
        <w:t xml:space="preserve">Eine isolierte Anfechtung des „Zusatzes“ kommt von vorneherein nur dann in Betracht, wenn es sich dabei um eine Nebenbestimmung zur Baugenehmigung i.S.v. </w:t>
      </w:r>
      <w:r w:rsidRPr="00A167DA">
        <w:rPr>
          <w:rStyle w:val="Hyperlink"/>
        </w:rPr>
        <w:t>§ 36 VwVfG</w:t>
      </w:r>
      <w:r w:rsidRPr="00A167DA">
        <w:t xml:space="preserve"> ha</w:t>
      </w:r>
      <w:r w:rsidRPr="00035229">
        <w:t>ndelt.</w:t>
      </w:r>
      <w:r w:rsidRPr="00035229">
        <w:br/>
        <w:t>Voraussetzung dafür ist, dass sie eine vom Haupt-</w:t>
      </w:r>
      <w:r w:rsidR="006D7E4D">
        <w:t>Verwaltungsakt</w:t>
      </w:r>
      <w:r w:rsidRPr="00035229">
        <w:t xml:space="preserve"> abgrenzbare Regelung beinhaltet, es sich nicht um einen bloßen Hinweis auf die Rechtslage handelt und keine modifizierende Genehmigung vorliegt.</w:t>
      </w:r>
      <w:r w:rsidR="00467554">
        <w:rPr>
          <w:rStyle w:val="Funotenzeichen"/>
        </w:rPr>
        <w:footnoteReference w:id="46"/>
      </w:r>
      <w:r w:rsidRPr="00035229">
        <w:t xml:space="preserve"> Der „Zusatz“ geht übe</w:t>
      </w:r>
      <w:r w:rsidR="00467554">
        <w:t>r den Regelungsgehalt des Hauptv</w:t>
      </w:r>
      <w:r w:rsidR="006D7E4D">
        <w:t>erwaltungsakt</w:t>
      </w:r>
      <w:r w:rsidR="00467554">
        <w:t>s</w:t>
      </w:r>
      <w:r w:rsidRPr="00035229">
        <w:t xml:space="preserve"> hinaus, da er weitergehende Pflichten als diejenigen, die mit einer Baugenehmigung verbunden sind, nämlich die Einrichtung einer Feuerwehrzufahrt, statuiert. Auch handelt es sich nicht um einen bloßen Hinweis auf die Rechtslage, da dem H </w:t>
      </w:r>
      <w:r w:rsidRPr="00035229">
        <w:lastRenderedPageBreak/>
        <w:t xml:space="preserve">eine konkrete, vollstreckungsfähige Verpflichtung auferlegt wird. Auch wird dem H durch die Behörde kein Aliud zugesprochen („modifizierende </w:t>
      </w:r>
      <w:r w:rsidR="003218E8">
        <w:t>Aufl</w:t>
      </w:r>
      <w:r w:rsidR="00467554">
        <w:t>age</w:t>
      </w:r>
      <w:r w:rsidRPr="00035229">
        <w:t>“), da dem ursprünglichen Antrag entsprochen wurde. Es wurde lediglich ein weiterer Teil mit eigenständigem Regelungsgehalt hinzugefügt. Es liegt somit eine echte Nebenbestimmung vor.</w:t>
      </w:r>
    </w:p>
    <w:p w14:paraId="030A0802" w14:textId="77777777" w:rsidR="00035229" w:rsidRPr="0033651E" w:rsidRDefault="00035229" w:rsidP="001B5EC5">
      <w:pPr>
        <w:pStyle w:val="berschrift6"/>
      </w:pPr>
      <w:bookmarkStart w:id="90" w:name="_Toc22132969"/>
      <w:r w:rsidRPr="0033651E">
        <w:t>2. Einordnung in die Art der Nebenbestimmung</w:t>
      </w:r>
      <w:bookmarkEnd w:id="90"/>
    </w:p>
    <w:p w14:paraId="4EE8CE8D" w14:textId="77777777" w:rsidR="00505892" w:rsidRDefault="00505892" w:rsidP="00505892">
      <w:pPr>
        <w:pStyle w:val="Randnummer"/>
        <w:framePr w:wrap="around"/>
      </w:pPr>
    </w:p>
    <w:p w14:paraId="54A018D8" w14:textId="55083984" w:rsidR="00467554" w:rsidRPr="00A167DA" w:rsidRDefault="00035229" w:rsidP="00467554">
      <w:r w:rsidRPr="00035229">
        <w:t>Fraglich ist weiterhin, welche Art der Nebenbestimmung der „Zusatz“ in der Baugenehmigung des H darstellt. Von d</w:t>
      </w:r>
      <w:r w:rsidRPr="00A167DA">
        <w:t xml:space="preserve">en in </w:t>
      </w:r>
      <w:r w:rsidRPr="00A167DA">
        <w:rPr>
          <w:rStyle w:val="Hyperlink"/>
        </w:rPr>
        <w:t>§ 36 II VwVfG</w:t>
      </w:r>
      <w:r w:rsidRPr="00A167DA">
        <w:t xml:space="preserve"> genannten Nebenbestimmungen kommen einzig die </w:t>
      </w:r>
      <w:r w:rsidR="00467554" w:rsidRPr="00A167DA">
        <w:t>Auflage</w:t>
      </w:r>
      <w:r w:rsidRPr="00A167DA">
        <w:t xml:space="preserve"> und die Bedingung in Betracht. Die </w:t>
      </w:r>
      <w:r w:rsidR="00467554" w:rsidRPr="00A167DA">
        <w:t>Auflage</w:t>
      </w:r>
      <w:r w:rsidRPr="00A167DA">
        <w:t xml:space="preserve"> ist gemäß § 36 II Nr. 4 VwVfG eine Bestimmung, durch die dem Begünstigten ein Tun, Dulden oder Unterlassen vorgeschrieben wird.</w:t>
      </w:r>
      <w:r w:rsidRPr="00A167DA">
        <w:br/>
        <w:t>Eine Bedingung ist dagegen nach § 36 II Nr. 2 VwVfG eine Bestimmung, nach der der Eintritt oder der Wegfall einer Vergünstigung oder Belastung von dem ungewissen Eintritt eines zukünftigen Ereignisses abhängt.</w:t>
      </w:r>
    </w:p>
    <w:p w14:paraId="6FB9AD3A" w14:textId="3E1F61F7" w:rsidR="00467554" w:rsidRPr="00A167DA" w:rsidRDefault="00035229" w:rsidP="00467554">
      <w:r w:rsidRPr="00A167DA">
        <w:t xml:space="preserve">Für die Unterscheidung kommt es zunächst auf die Bezeichnung der Bestimmung der Behörde an. Die Bezeichnung als „Zusatz“ ist jedoch für den objektiven Betrachter neutral und lässt weder auf den Willen der Behörde zum Erlass einer </w:t>
      </w:r>
      <w:r w:rsidR="00467554" w:rsidRPr="00A167DA">
        <w:t>Auflage</w:t>
      </w:r>
      <w:r w:rsidRPr="00A167DA">
        <w:t xml:space="preserve"> </w:t>
      </w:r>
      <w:r w:rsidR="00467554" w:rsidRPr="00A167DA">
        <w:t>noch einer Bedingung schließen.</w:t>
      </w:r>
      <w:r w:rsidR="00467554" w:rsidRPr="00A167DA">
        <w:rPr>
          <w:rStyle w:val="Funotenzeichen"/>
        </w:rPr>
        <w:footnoteReference w:id="47"/>
      </w:r>
    </w:p>
    <w:p w14:paraId="046C0BE6" w14:textId="2C07E950" w:rsidR="00467554" w:rsidRDefault="00035229" w:rsidP="00467554">
      <w:r w:rsidRPr="00A167DA">
        <w:t xml:space="preserve">Ergänzend erfolgt die Auslegung nach dem objektiven Empfängerhorizont gemäß </w:t>
      </w:r>
      <w:r w:rsidRPr="00A167DA">
        <w:rPr>
          <w:rStyle w:val="Hyperlink"/>
        </w:rPr>
        <w:t>§ 133 BGB</w:t>
      </w:r>
      <w:r w:rsidRPr="00A167DA">
        <w:t xml:space="preserve"> ana</w:t>
      </w:r>
      <w:r w:rsidRPr="00035229">
        <w:t xml:space="preserve">log. Um den Willen der Behörde eindeutig zu bestimmen, kann die sogenannte Savigny-Formel herangezogen werden. Danach suspendiert die Bedingung, zwingt aber nicht, wohingegen die </w:t>
      </w:r>
      <w:r w:rsidR="00467554">
        <w:t>Auflage</w:t>
      </w:r>
      <w:r w:rsidRPr="00035229">
        <w:t xml:space="preserve"> zwingt, aber nicht suspendiert.</w:t>
      </w:r>
    </w:p>
    <w:p w14:paraId="696A042A" w14:textId="401138B7" w:rsidR="00035229" w:rsidRDefault="00035229" w:rsidP="00467554">
      <w:r w:rsidRPr="00035229">
        <w:t xml:space="preserve">Dies bedeutet, dass die </w:t>
      </w:r>
      <w:r w:rsidR="00467554">
        <w:t>Auflage</w:t>
      </w:r>
      <w:r w:rsidRPr="00035229">
        <w:t xml:space="preserve"> selbstständig vollstreckbar ist, ihre Nichterfüllung die Wirksamkeit des Grund</w:t>
      </w:r>
      <w:r w:rsidR="00467554">
        <w:t>v</w:t>
      </w:r>
      <w:r w:rsidR="006D7E4D">
        <w:t>erwaltungsakt</w:t>
      </w:r>
      <w:r w:rsidR="00467554">
        <w:t>s</w:t>
      </w:r>
      <w:r w:rsidRPr="00035229">
        <w:t xml:space="preserve"> jedoch unberührt lässt. Bei Nichtvorliegen der Bedingung hingegen wird die Baugenehmigung gar nicht wirksam. Die untere Bauaufsichtsbehörde hat sich vorliegend dahingehend geäußert, dass es ihr darauf ankommt, die Einrichtung und Freihaltung der Feuerwehrzufahrt auch zwangsweise durchsetzen zu können. Es kommt ihr nicht darauf an, dass diese zwingend vor der Errichtung des Holzlagers eingerichtet wird. Vielmehr soll diese dazu dienen, das Übergreifen von Flammen auf das schon errichtete Gebäude zu verhindern. Daher stellt sich der „Zusatz“ als </w:t>
      </w:r>
      <w:r w:rsidR="00467554">
        <w:t>Auflage</w:t>
      </w:r>
      <w:r w:rsidRPr="00035229">
        <w:t xml:space="preserve"> i.S.v. § 36 II Nr. 4 VwVfG dar. (Auch wenn man die Argumentation der Bauaufsicht nicht für zwingend hält, ist dennoch von einer </w:t>
      </w:r>
      <w:r w:rsidR="00467554">
        <w:t>Auflage</w:t>
      </w:r>
      <w:r w:rsidRPr="00035229">
        <w:t xml:space="preserve"> auszugehen, da diese für den Bürger das weniger einschneidende Mittel darstellt.)</w:t>
      </w:r>
    </w:p>
    <w:p w14:paraId="57D84902" w14:textId="77777777" w:rsidR="00772351" w:rsidRDefault="00772351" w:rsidP="00467554"/>
    <w:p w14:paraId="43CF198C" w14:textId="77777777" w:rsidR="00772351" w:rsidRDefault="00772351" w:rsidP="008C1818"/>
    <w:p w14:paraId="33796BCC" w14:textId="5A7B90D4" w:rsidR="00035229" w:rsidRPr="0033651E" w:rsidRDefault="00035229" w:rsidP="001B5EC5">
      <w:pPr>
        <w:pStyle w:val="berschrift6"/>
      </w:pPr>
      <w:bookmarkStart w:id="91" w:name="_Toc22132970"/>
      <w:r w:rsidRPr="0033651E">
        <w:t xml:space="preserve">3. Isolierte Anfechtbarkeit der </w:t>
      </w:r>
      <w:r w:rsidR="00467554">
        <w:t>Auflage</w:t>
      </w:r>
      <w:bookmarkEnd w:id="91"/>
    </w:p>
    <w:p w14:paraId="5448CCB7" w14:textId="77777777" w:rsidR="00505892" w:rsidRDefault="00505892" w:rsidP="00505892">
      <w:pPr>
        <w:pStyle w:val="Randnummer"/>
        <w:framePr w:wrap="around"/>
      </w:pPr>
    </w:p>
    <w:p w14:paraId="232E9B92" w14:textId="1324E87B" w:rsidR="00035229" w:rsidRPr="00035229" w:rsidRDefault="00035229" w:rsidP="00035229">
      <w:r w:rsidRPr="00035229">
        <w:t xml:space="preserve">Zuletzt verbleibt die Frage, wann eine </w:t>
      </w:r>
      <w:r w:rsidR="00467554">
        <w:t>Auflage</w:t>
      </w:r>
      <w:r w:rsidRPr="00035229">
        <w:t xml:space="preserve"> isoliert angefochten werden kann. Zu dieser Problematik haben sich in Rechtsprechung und Literatur drei maßgebliche Ansichten</w:t>
      </w:r>
      <w:r w:rsidR="00467554">
        <w:rPr>
          <w:rStyle w:val="Funotenzeichen"/>
        </w:rPr>
        <w:footnoteReference w:id="48"/>
      </w:r>
      <w:r w:rsidRPr="00035229">
        <w:t xml:space="preserve"> ausgeprägt:</w:t>
      </w:r>
    </w:p>
    <w:p w14:paraId="4E13017C" w14:textId="312C2458" w:rsidR="00035229" w:rsidRPr="00035229" w:rsidRDefault="00035229" w:rsidP="00817B65">
      <w:r w:rsidRPr="00035229">
        <w:t xml:space="preserve">Nach der sog. typologischen Betrachtungsweise kann eine isolierte Anfechtung einer Nebenbestimmung immer dann erfolgen, wenn es sich um eine </w:t>
      </w:r>
      <w:r w:rsidR="00467554">
        <w:t>Auflage</w:t>
      </w:r>
      <w:r w:rsidRPr="00035229">
        <w:t xml:space="preserve"> oder einen </w:t>
      </w:r>
      <w:r w:rsidR="00467554">
        <w:t>Auflage</w:t>
      </w:r>
      <w:r w:rsidRPr="00035229">
        <w:t>nvorbehalt handelt.</w:t>
      </w:r>
      <w:r w:rsidR="00467554">
        <w:rPr>
          <w:rStyle w:val="Funotenzeichen"/>
        </w:rPr>
        <w:footnoteReference w:id="49"/>
      </w:r>
      <w:r w:rsidRPr="00035229">
        <w:t xml:space="preserve"> Danach wäre vorliegend eine isolierte Anfechtung des “Zusatzes“ möglich.</w:t>
      </w:r>
    </w:p>
    <w:p w14:paraId="4A2CDCE5" w14:textId="1DCECF82" w:rsidR="00035229" w:rsidRPr="00035229" w:rsidRDefault="00035229" w:rsidP="00817B65">
      <w:r w:rsidRPr="00035229">
        <w:t>Teilweise wird auch zwischen Ermessens- und gebundenen Verwaltungsakten unterschieden. Danach ist eine Teilanfechtung nur bei gebundenen Verwaltungsakten möglich.</w:t>
      </w:r>
      <w:r w:rsidR="00467554">
        <w:rPr>
          <w:rStyle w:val="Funotenzeichen"/>
        </w:rPr>
        <w:footnoteReference w:id="50"/>
      </w:r>
      <w:r w:rsidRPr="00035229">
        <w:t xml:space="preserve"> Aufgrund des Wortlauts des § 73 I 1 LBO</w:t>
      </w:r>
      <w:r w:rsidRPr="00035229">
        <w:rPr>
          <w:vertAlign w:val="superscript"/>
        </w:rPr>
        <w:footnoteReference w:id="51"/>
      </w:r>
      <w:r w:rsidRPr="00035229">
        <w:t xml:space="preserve"> („Die Baugenehmigung </w:t>
      </w:r>
      <w:r w:rsidRPr="00035229">
        <w:rPr>
          <w:i/>
        </w:rPr>
        <w:t>ist</w:t>
      </w:r>
      <w:r w:rsidRPr="00035229">
        <w:t xml:space="preserve"> zu erteilen, wenn …“) handelt es sich bei der Erteilung einer Baugenehmigung um eine gebundene Entscheidung, sodass auch nach dieser Ansicht eine isolierte Anfechtung der </w:t>
      </w:r>
      <w:r w:rsidR="00467554">
        <w:t>Auflage</w:t>
      </w:r>
      <w:r w:rsidRPr="00035229">
        <w:t xml:space="preserve"> erfolgen kann.</w:t>
      </w:r>
    </w:p>
    <w:p w14:paraId="362317C8" w14:textId="7D9B6026" w:rsidR="00035229" w:rsidRPr="00035229" w:rsidRDefault="00035229" w:rsidP="00817B65">
      <w:r w:rsidRPr="00035229">
        <w:t>Nach der neueren Rechtsprechung ist eine isolierte Anfechtung immer möglich, es sei denn, der nach der Anfechtung übrig bleibende Rest-Verwaltungsakt kann offensichtlich ohne Nebenbestimmung nicht in rechtmäßiger Weise fortbestehen. Die Teilbarkeit des Grund-</w:t>
      </w:r>
      <w:r w:rsidR="006D7E4D">
        <w:t>Verwaltungsakt</w:t>
      </w:r>
      <w:r w:rsidR="00E91AF0">
        <w:t>s</w:t>
      </w:r>
      <w:r w:rsidRPr="00035229">
        <w:t xml:space="preserve"> von der angefochtenen Nebenbestimmung ist jedoch eine Frage der Begründetheit der Klage, sodass eine isolierte Anfechtung auch nach dieser Ansicht zunächst als zulässig anzusehen ist.</w:t>
      </w:r>
      <w:r w:rsidR="00467554">
        <w:rPr>
          <w:rStyle w:val="Funotenzeichen"/>
        </w:rPr>
        <w:footnoteReference w:id="52"/>
      </w:r>
    </w:p>
    <w:p w14:paraId="70F8C831" w14:textId="5B4D9377" w:rsidR="00467554" w:rsidRPr="00035229" w:rsidRDefault="00467554" w:rsidP="00467554">
      <w:r>
        <w:t>Für die letztgenannte Ansicht spricht, dass ein Verwalt</w:t>
      </w:r>
      <w:r w:rsidRPr="00A167DA">
        <w:t xml:space="preserve">ungsakt gemäß </w:t>
      </w:r>
      <w:r w:rsidRPr="00A167DA">
        <w:rPr>
          <w:rStyle w:val="Hyperlink"/>
        </w:rPr>
        <w:t>§ 113 I 1 VwGO</w:t>
      </w:r>
      <w:r w:rsidRPr="00A167DA">
        <w:t xml:space="preserve"> au</w:t>
      </w:r>
      <w:r>
        <w:t>ch teilweise aufgehoben werden kann. Dem Gericht ist es daher möglich, die Nebenbestimmung als Teil eines Verwaltungsakts aufzuheben und den Verwaltungsakt im Übrigen bestehen zu lassen.</w:t>
      </w:r>
      <w:r w:rsidR="003C7CAE">
        <w:rPr>
          <w:rStyle w:val="Funotenzeichen"/>
        </w:rPr>
        <w:footnoteReference w:id="53"/>
      </w:r>
      <w:r>
        <w:t xml:space="preserve"> Dieser Ansicht folgend ist von einer isolierten Anfechtbarkeit des „Zusatzes“ auszugehen und die Teilbarkeit im Rahmen der Begründetheit zu prüfen. (Im vorliegenden Fall wäre es auch möglich, den Streiten</w:t>
      </w:r>
      <w:r w:rsidR="00A8236D">
        <w:t>t</w:t>
      </w:r>
      <w:r>
        <w:t>scheid dahinstehen zu lassen, da nach allen drei genannten Ansichten eine isolierte Anfechtbarkeit möglich ist.)</w:t>
      </w:r>
    </w:p>
    <w:p w14:paraId="4B6E10DC" w14:textId="77777777" w:rsidR="00035229" w:rsidRPr="0033651E" w:rsidRDefault="00035229" w:rsidP="001B5EC5">
      <w:pPr>
        <w:pStyle w:val="berschrift5"/>
      </w:pPr>
      <w:bookmarkStart w:id="92" w:name="_Toc22132971"/>
      <w:r w:rsidRPr="0033651E">
        <w:t>III. Klagebefugnis</w:t>
      </w:r>
      <w:bookmarkEnd w:id="92"/>
    </w:p>
    <w:p w14:paraId="07E26BFD" w14:textId="77777777" w:rsidR="00505892" w:rsidRDefault="00505892" w:rsidP="00505892">
      <w:pPr>
        <w:pStyle w:val="Randnummer"/>
        <w:framePr w:wrap="around"/>
      </w:pPr>
    </w:p>
    <w:p w14:paraId="58899DCA" w14:textId="161AD859" w:rsidR="00035229" w:rsidRPr="00086513" w:rsidRDefault="00035229" w:rsidP="00035229">
      <w:r w:rsidRPr="00035229">
        <w:t xml:space="preserve">H ist </w:t>
      </w:r>
      <w:r w:rsidRPr="00086513">
        <w:t xml:space="preserve">gemäß </w:t>
      </w:r>
      <w:r w:rsidRPr="00086513">
        <w:rPr>
          <w:rStyle w:val="Hyperlink"/>
        </w:rPr>
        <w:t>§ 42 II VwGO</w:t>
      </w:r>
      <w:r w:rsidRPr="00086513">
        <w:t xml:space="preserve"> klagebefugt, da er möglicherweise in seinem Recht auf Erteilung einer unbeschränkten Baugenehmigung nach § 73 I 1 LBO verletzt ist. Da die </w:t>
      </w:r>
      <w:r w:rsidR="00467554" w:rsidRPr="00086513">
        <w:t>Auflage</w:t>
      </w:r>
      <w:r w:rsidRPr="00086513">
        <w:t xml:space="preserve"> einen von der Baugenehmigung abgrenzbaren, selbstständigen Verwaltungsakt darstellt, ist er zudem Adressat eines belastenden </w:t>
      </w:r>
      <w:r w:rsidR="00DA1B70">
        <w:t>Verwaltungsakts</w:t>
      </w:r>
      <w:r w:rsidRPr="00086513">
        <w:t>, sodass sich hieraus eine Verletzung seiner allgemeinen Handlungsfreiheit nach Art. 2 I GG ergeben kann.</w:t>
      </w:r>
    </w:p>
    <w:p w14:paraId="213A99C7" w14:textId="77777777" w:rsidR="00035229" w:rsidRPr="00086513" w:rsidRDefault="00035229" w:rsidP="001B5EC5">
      <w:pPr>
        <w:pStyle w:val="berschrift5"/>
      </w:pPr>
      <w:bookmarkStart w:id="93" w:name="_Toc22132972"/>
      <w:r w:rsidRPr="00086513">
        <w:t>IV. Vorverfahren</w:t>
      </w:r>
      <w:bookmarkEnd w:id="93"/>
    </w:p>
    <w:p w14:paraId="145584C8" w14:textId="77777777" w:rsidR="00505892" w:rsidRPr="00086513" w:rsidRDefault="00505892" w:rsidP="00505892">
      <w:pPr>
        <w:pStyle w:val="Randnummer"/>
        <w:framePr w:wrap="around"/>
      </w:pPr>
    </w:p>
    <w:p w14:paraId="602A21A9" w14:textId="1B6B9DED" w:rsidR="00035229" w:rsidRPr="00086513" w:rsidRDefault="00035229" w:rsidP="00035229">
      <w:r w:rsidRPr="00086513">
        <w:t xml:space="preserve">Das Vorverfahren nach </w:t>
      </w:r>
      <w:r w:rsidRPr="00086513">
        <w:rPr>
          <w:rStyle w:val="Hyperlink"/>
        </w:rPr>
        <w:t>§§ 68 ff. VwGO</w:t>
      </w:r>
      <w:r w:rsidRPr="00086513">
        <w:t xml:space="preserve"> wurde ordnungsgemäß, aber erfolglos durchgeführt.</w:t>
      </w:r>
    </w:p>
    <w:p w14:paraId="5FF0107D" w14:textId="77777777" w:rsidR="00035229" w:rsidRPr="00086513" w:rsidRDefault="00035229" w:rsidP="001B5EC5">
      <w:pPr>
        <w:pStyle w:val="berschrift5"/>
      </w:pPr>
      <w:bookmarkStart w:id="94" w:name="_Toc22132973"/>
      <w:r w:rsidRPr="00086513">
        <w:t>V. Form und Frist</w:t>
      </w:r>
      <w:bookmarkEnd w:id="94"/>
    </w:p>
    <w:p w14:paraId="2FD3A527" w14:textId="77777777" w:rsidR="00505892" w:rsidRPr="00086513" w:rsidRDefault="00505892" w:rsidP="00505892">
      <w:pPr>
        <w:pStyle w:val="Randnummer"/>
        <w:framePr w:wrap="around"/>
      </w:pPr>
    </w:p>
    <w:p w14:paraId="17B57C1B" w14:textId="71957109" w:rsidR="00035229" w:rsidRPr="00086513" w:rsidRDefault="00035229" w:rsidP="00035229">
      <w:r w:rsidRPr="00086513">
        <w:t xml:space="preserve">Von der Einhaltung der Monatsfrist des </w:t>
      </w:r>
      <w:r w:rsidRPr="00086513">
        <w:rPr>
          <w:rStyle w:val="Hyperlink"/>
        </w:rPr>
        <w:t>§ 74 I 1 VwGO</w:t>
      </w:r>
      <w:r w:rsidRPr="00086513">
        <w:t xml:space="preserve"> und der ordnungsgemäßen Klageerhebung gemäß </w:t>
      </w:r>
      <w:r w:rsidRPr="00086513">
        <w:rPr>
          <w:rStyle w:val="Hyperlink"/>
        </w:rPr>
        <w:t>§ 81 I VwGO</w:t>
      </w:r>
      <w:r w:rsidRPr="00086513">
        <w:t xml:space="preserve"> ist auszugehen.</w:t>
      </w:r>
    </w:p>
    <w:p w14:paraId="0BA574C8" w14:textId="77777777" w:rsidR="00035229" w:rsidRPr="00086513" w:rsidRDefault="00035229" w:rsidP="001B5EC5">
      <w:pPr>
        <w:pStyle w:val="berschrift5"/>
      </w:pPr>
      <w:bookmarkStart w:id="95" w:name="_Toc22132974"/>
      <w:r w:rsidRPr="00086513">
        <w:t>VI. Zwischenergebnis</w:t>
      </w:r>
      <w:bookmarkEnd w:id="95"/>
    </w:p>
    <w:p w14:paraId="6573A15B" w14:textId="77777777" w:rsidR="00505892" w:rsidRPr="00086513" w:rsidRDefault="00505892" w:rsidP="00505892">
      <w:pPr>
        <w:pStyle w:val="Randnummer"/>
        <w:framePr w:wrap="around"/>
      </w:pPr>
    </w:p>
    <w:p w14:paraId="657DC3B1" w14:textId="77777777" w:rsidR="00035229" w:rsidRPr="00086513" w:rsidRDefault="00035229" w:rsidP="00035229">
      <w:r w:rsidRPr="00086513">
        <w:t>Die isolierte Anfechtungsklage des H gegen den „Zusatz“ ist zulässig.</w:t>
      </w:r>
    </w:p>
    <w:p w14:paraId="24C94F7E" w14:textId="77777777" w:rsidR="00035229" w:rsidRPr="00086513" w:rsidRDefault="00035229" w:rsidP="00035229"/>
    <w:p w14:paraId="59FB67B8" w14:textId="369A3445" w:rsidR="00035229" w:rsidRPr="00086513" w:rsidRDefault="00035229" w:rsidP="001B5EC5">
      <w:pPr>
        <w:pStyle w:val="berschrift4"/>
      </w:pPr>
      <w:bookmarkStart w:id="96" w:name="_Toc22132975"/>
      <w:r w:rsidRPr="00086513">
        <w:t>B. Begründetheit</w:t>
      </w:r>
      <w:bookmarkEnd w:id="96"/>
    </w:p>
    <w:p w14:paraId="2002183F" w14:textId="77777777" w:rsidR="00505892" w:rsidRPr="00086513" w:rsidRDefault="00505892" w:rsidP="00505892">
      <w:pPr>
        <w:pStyle w:val="Randnummer"/>
        <w:framePr w:wrap="around"/>
      </w:pPr>
    </w:p>
    <w:p w14:paraId="6F14E52F" w14:textId="5E09B2D9" w:rsidR="00035229" w:rsidRPr="00086513" w:rsidRDefault="00035229" w:rsidP="00035229">
      <w:r w:rsidRPr="00086513">
        <w:t xml:space="preserve">Die Klage des H ist begründet, soweit die </w:t>
      </w:r>
      <w:r w:rsidR="00467554" w:rsidRPr="00086513">
        <w:t>Auflage</w:t>
      </w:r>
      <w:r w:rsidRPr="00086513">
        <w:t xml:space="preserve"> zur Baugenehmigung rechtswidrig ist und dadurch den Kläger in seinen subjektiven Rechten verletzt, </w:t>
      </w:r>
      <w:r w:rsidRPr="00086513">
        <w:rPr>
          <w:rStyle w:val="Hyperlink"/>
        </w:rPr>
        <w:t>§ 113 I 1 VwGO</w:t>
      </w:r>
      <w:r w:rsidRPr="00086513">
        <w:t>. Darüber hinaus ist es erforderlich, dass nach erfolgreicher Anfechtung der Nebenbestimmung ein rechtmäßiger Grund-</w:t>
      </w:r>
      <w:r w:rsidR="006D7E4D" w:rsidRPr="00086513">
        <w:t>Verwaltungsakt</w:t>
      </w:r>
      <w:r w:rsidRPr="00086513">
        <w:t xml:space="preserve"> verbleibt.</w:t>
      </w:r>
    </w:p>
    <w:p w14:paraId="1CC6DA9C" w14:textId="41DAA355" w:rsidR="00035229" w:rsidRPr="00086513" w:rsidRDefault="00035229" w:rsidP="001B5EC5">
      <w:pPr>
        <w:pStyle w:val="berschrift5"/>
      </w:pPr>
      <w:bookmarkStart w:id="97" w:name="_Toc22132976"/>
      <w:r w:rsidRPr="00086513">
        <w:t xml:space="preserve">I. Rechtmäßigkeit der </w:t>
      </w:r>
      <w:r w:rsidR="00467554" w:rsidRPr="00086513">
        <w:t>Auflage</w:t>
      </w:r>
      <w:bookmarkEnd w:id="97"/>
    </w:p>
    <w:p w14:paraId="0B68E9DA" w14:textId="77777777" w:rsidR="00505892" w:rsidRPr="00086513" w:rsidRDefault="00505892" w:rsidP="00505892">
      <w:pPr>
        <w:pStyle w:val="Randnummer"/>
        <w:framePr w:wrap="around"/>
      </w:pPr>
    </w:p>
    <w:p w14:paraId="39016862" w14:textId="169B7EEB" w:rsidR="00035229" w:rsidRPr="00086513" w:rsidRDefault="00035229" w:rsidP="00035229">
      <w:r w:rsidRPr="00086513">
        <w:t xml:space="preserve">Die </w:t>
      </w:r>
      <w:r w:rsidR="00467554" w:rsidRPr="00086513">
        <w:t>Auflage</w:t>
      </w:r>
      <w:r w:rsidRPr="00086513">
        <w:t xml:space="preserve"> ist rechtmäßig, wenn sie aufgrund einer Ermächtigungsgrundlage formell und materiell rechtmäßig ergangen ist.</w:t>
      </w:r>
    </w:p>
    <w:p w14:paraId="386D61ED" w14:textId="20DE0056" w:rsidR="00035229" w:rsidRPr="00086513" w:rsidRDefault="00035229" w:rsidP="001B5EC5">
      <w:pPr>
        <w:pStyle w:val="berschrift6"/>
      </w:pPr>
      <w:bookmarkStart w:id="98" w:name="_Toc22132977"/>
      <w:r w:rsidRPr="00086513">
        <w:t>1. Ermächtigungsgrundlage</w:t>
      </w:r>
      <w:bookmarkEnd w:id="98"/>
    </w:p>
    <w:p w14:paraId="52E0162D" w14:textId="77777777" w:rsidR="00505892" w:rsidRPr="00086513" w:rsidRDefault="00505892" w:rsidP="00505892">
      <w:pPr>
        <w:pStyle w:val="Randnummer"/>
        <w:framePr w:wrap="around"/>
      </w:pPr>
    </w:p>
    <w:p w14:paraId="57529CF5" w14:textId="028E20CF" w:rsidR="00035229" w:rsidRPr="00086513" w:rsidRDefault="00035229" w:rsidP="00035229">
      <w:r w:rsidRPr="00086513">
        <w:t xml:space="preserve">Da es sich bei dem Erlass einer </w:t>
      </w:r>
      <w:r w:rsidR="00467554" w:rsidRPr="00086513">
        <w:t>Auflage</w:t>
      </w:r>
      <w:r w:rsidRPr="00086513">
        <w:t xml:space="preserve"> zur Baugenehmigung um eine für den Bürger belastende Maßnahme handelt, bedarf es nach dem Vorbehalt des Gesetzes einer Ermächtigungsgrundlage für das Handeln der Verwaltung. In Ermangelung einer spezialgesetzlichen Ermächtigungsgrundlage kommt hierfür nur </w:t>
      </w:r>
      <w:r w:rsidRPr="00086513">
        <w:rPr>
          <w:rStyle w:val="Hyperlink"/>
        </w:rPr>
        <w:t>§ 36 des VwVfG des Saarlandes</w:t>
      </w:r>
      <w:r w:rsidRPr="00086513">
        <w:t xml:space="preserve"> (im Folgenden SVwVfG, inhaltlich gleichlautend mit dem VwVfG des Bundes) in Betracht. Die Zulässigkeit einer Nebenbestimmung zur Baugenehmigung richtet sich nach § 36 I SVwVfG, da es sich bei der Erteilung einer Baugenehmigung nach § 73 I 1 LBO, wie bereits erläutert, um eine gebundene Entscheidung handelt.</w:t>
      </w:r>
    </w:p>
    <w:p w14:paraId="4C908E5C" w14:textId="1AD48855" w:rsidR="00035229" w:rsidRPr="00086513" w:rsidRDefault="00035229" w:rsidP="001B5EC5">
      <w:pPr>
        <w:pStyle w:val="berschrift6"/>
      </w:pPr>
      <w:bookmarkStart w:id="99" w:name="_Toc22132978"/>
      <w:r w:rsidRPr="00086513">
        <w:t>2. Formelle Rechtmäßigkeit</w:t>
      </w:r>
      <w:bookmarkEnd w:id="99"/>
    </w:p>
    <w:p w14:paraId="79BFAF36" w14:textId="77777777" w:rsidR="00505892" w:rsidRPr="00086513" w:rsidRDefault="00505892" w:rsidP="00505892">
      <w:pPr>
        <w:pStyle w:val="Randnummer"/>
        <w:framePr w:wrap="around"/>
      </w:pPr>
    </w:p>
    <w:p w14:paraId="60B237C3" w14:textId="2499DE59" w:rsidR="00035229" w:rsidRDefault="00035229" w:rsidP="00035229">
      <w:r w:rsidRPr="00086513">
        <w:t xml:space="preserve">Der Bescheid wurde von der zuständigen unteren Bauaufsichtsbehörde der Stadt Saarbrücken erlassen. H wurde auch vor Erlass des </w:t>
      </w:r>
      <w:r w:rsidR="00DA1B70">
        <w:t>Verwaltungsakts</w:t>
      </w:r>
      <w:r w:rsidRPr="00086513">
        <w:t xml:space="preserve"> nach </w:t>
      </w:r>
      <w:r w:rsidRPr="00086513">
        <w:rPr>
          <w:rStyle w:val="Hyperlink"/>
        </w:rPr>
        <w:t>§ 28 I SVwVfG</w:t>
      </w:r>
      <w:r w:rsidRPr="00086513">
        <w:t xml:space="preserve"> ang</w:t>
      </w:r>
      <w:r w:rsidRPr="00035229">
        <w:t xml:space="preserve">ehört, sodass es dahinstehen kann, ob die Anhörung ggf. nach § 28 II Nr. 3 SVwVfG </w:t>
      </w:r>
      <w:r w:rsidRPr="00035229">
        <w:lastRenderedPageBreak/>
        <w:t>entbehrlich gewesen wäre.</w:t>
      </w:r>
      <w:r w:rsidR="00467554">
        <w:rPr>
          <w:rStyle w:val="Funotenzeichen"/>
        </w:rPr>
        <w:footnoteReference w:id="54"/>
      </w:r>
      <w:r w:rsidRPr="00035229">
        <w:t xml:space="preserve"> Von einer ordnungsgemäßen Begrü</w:t>
      </w:r>
      <w:r w:rsidRPr="00A167DA">
        <w:t xml:space="preserve">ndung nach </w:t>
      </w:r>
      <w:r w:rsidRPr="00A167DA">
        <w:rPr>
          <w:rStyle w:val="Hyperlink"/>
        </w:rPr>
        <w:t>§ 39 I SVwVfG</w:t>
      </w:r>
      <w:r w:rsidRPr="00A167DA">
        <w:t xml:space="preserve"> ist auszugehen. Die </w:t>
      </w:r>
      <w:r w:rsidR="00467554" w:rsidRPr="00A167DA">
        <w:t>Auflage</w:t>
      </w:r>
      <w:r w:rsidRPr="00A167DA">
        <w:t xml:space="preserve"> ist damit formell rechtmäßig.</w:t>
      </w:r>
    </w:p>
    <w:p w14:paraId="7B13F310" w14:textId="77777777" w:rsidR="00772351" w:rsidRDefault="00772351" w:rsidP="00035229"/>
    <w:p w14:paraId="4086B3AB" w14:textId="0B3C4D66" w:rsidR="00035229" w:rsidRPr="00A167DA" w:rsidRDefault="00035229" w:rsidP="001B5EC5">
      <w:pPr>
        <w:pStyle w:val="berschrift6"/>
      </w:pPr>
      <w:bookmarkStart w:id="100" w:name="_Toc22132979"/>
      <w:r w:rsidRPr="00A167DA">
        <w:t>3. Materielle Rechtmäßigkeit</w:t>
      </w:r>
      <w:bookmarkEnd w:id="100"/>
    </w:p>
    <w:p w14:paraId="54D419B3" w14:textId="24AE6556" w:rsidR="00035229" w:rsidRPr="00A167DA" w:rsidRDefault="00035229" w:rsidP="001B5EC5">
      <w:pPr>
        <w:pStyle w:val="berschrift7"/>
      </w:pPr>
      <w:bookmarkStart w:id="101" w:name="_Toc22132980"/>
      <w:r w:rsidRPr="00A167DA">
        <w:t>a) Tatbestandsmerkmale der Ermächtigungsgrundlage</w:t>
      </w:r>
      <w:bookmarkEnd w:id="101"/>
    </w:p>
    <w:p w14:paraId="49B195EA" w14:textId="77777777" w:rsidR="00505892" w:rsidRPr="00A167DA" w:rsidRDefault="00505892" w:rsidP="00505892">
      <w:pPr>
        <w:pStyle w:val="Randnummer"/>
        <w:framePr w:wrap="around"/>
      </w:pPr>
    </w:p>
    <w:p w14:paraId="542E3004" w14:textId="55E1824B" w:rsidR="00035229" w:rsidRPr="00035229" w:rsidRDefault="00035229" w:rsidP="00035229">
      <w:r w:rsidRPr="00A167DA">
        <w:t xml:space="preserve">In materieller Hinsicht müsste die </w:t>
      </w:r>
      <w:r w:rsidR="00467554" w:rsidRPr="00A167DA">
        <w:t>Auflage</w:t>
      </w:r>
      <w:r w:rsidRPr="00A167DA">
        <w:t xml:space="preserve"> den Anforderungen an die Ermächtigungsgrundlage entsprechen, d.h. es ist zu prüfen, ob die Tatbestandsvoraussetzungen des </w:t>
      </w:r>
      <w:r w:rsidRPr="00A167DA">
        <w:rPr>
          <w:rStyle w:val="Hyperlink"/>
        </w:rPr>
        <w:t>§ 36 I SVwVfG</w:t>
      </w:r>
      <w:r w:rsidRPr="00A167DA">
        <w:t xml:space="preserve"> vo</w:t>
      </w:r>
      <w:r w:rsidRPr="00035229">
        <w:t xml:space="preserve">rliegen. Nach § 36 I 2. Alt. SVwVfG darf ein gebundener Verwaltungsakt nur dann mit einer Nebenbestimmung versehen werden, wenn diese einen an sich bestehenden Versagungsgrund ausräumt. Die </w:t>
      </w:r>
      <w:r w:rsidR="00467554">
        <w:t>Auflage</w:t>
      </w:r>
      <w:r w:rsidRPr="00035229">
        <w:t xml:space="preserve"> müsste also sicherstellen, dass die Voraussetzungen für die Erteilung einer Baugenehmigung erfüllt werden. Diese ergeben sich aus § 73 I 1 LBO. Danach ist eine Baugenehmigung zu erteilen, wenn dem Vorhaben keine öffentlich-rechtlichen Vorschriften entgegenstehen, die im bauaufsichtlichen Genehmigungsverfahren zu prüfen sind.</w:t>
      </w:r>
      <w:r w:rsidR="00467554">
        <w:rPr>
          <w:rStyle w:val="Funotenzeichen"/>
        </w:rPr>
        <w:footnoteReference w:id="55"/>
      </w:r>
    </w:p>
    <w:p w14:paraId="0AF4F1E8" w14:textId="77777777" w:rsidR="00035229" w:rsidRPr="00035229" w:rsidRDefault="00035229" w:rsidP="00035229">
      <w:r w:rsidRPr="00035229">
        <w:t>Die Errichtung einer Halle ist gemäß § 60 I LBO genehmigungsbedürftig, da sie keinen der in §§ 61 ff. LBO genannten Befreiungstatbestände erfüllt</w:t>
      </w:r>
      <w:r w:rsidRPr="00035229">
        <w:rPr>
          <w:vertAlign w:val="superscript"/>
        </w:rPr>
        <w:footnoteReference w:id="56"/>
      </w:r>
      <w:r w:rsidRPr="00035229">
        <w:t xml:space="preserve"> und es sich um eine bauliche Anlage i.S.v. § 2 I LBO</w:t>
      </w:r>
      <w:r w:rsidRPr="00035229">
        <w:rPr>
          <w:vertAlign w:val="superscript"/>
        </w:rPr>
        <w:footnoteReference w:id="57"/>
      </w:r>
      <w:r w:rsidRPr="00035229">
        <w:t xml:space="preserve"> handelt. </w:t>
      </w:r>
    </w:p>
    <w:p w14:paraId="71F10CB2" w14:textId="6830BED4" w:rsidR="00035229" w:rsidRPr="00035229" w:rsidRDefault="00035229" w:rsidP="00035229">
      <w:r w:rsidRPr="00035229">
        <w:t>Sie müsste daher genehmigungsfähig sein. Da für ein vereinfachtes Baugenehmigungsverfahren nach § 64 LBO keine Anhaltspunkte ersichtlich sind, richtet sich der Prüfungsmaßstab nach § 65 LBO.</w:t>
      </w:r>
      <w:r w:rsidRPr="00035229">
        <w:rPr>
          <w:vertAlign w:val="superscript"/>
        </w:rPr>
        <w:footnoteReference w:id="58"/>
      </w:r>
      <w:r w:rsidRPr="00035229">
        <w:t xml:space="preserve"> Danach sind insbesondere die Vorschriften des BauGB, der LBO sowie sonstige, dort genannte öffentlich-rechtliche Vorschriften zu prüfen. Vorliegend kommt ein Verstoß gegen § 6 I LBO in Betracht, der durch die Verhängung der </w:t>
      </w:r>
      <w:r w:rsidR="00467554">
        <w:t>Auflage</w:t>
      </w:r>
      <w:r w:rsidRPr="00035229">
        <w:t xml:space="preserve"> ausgeräumt worden sein könnte.</w:t>
      </w:r>
    </w:p>
    <w:p w14:paraId="72B80B15" w14:textId="198E14F3" w:rsidR="00772351" w:rsidRDefault="00035229" w:rsidP="00035229">
      <w:r w:rsidRPr="00035229">
        <w:t xml:space="preserve">§ 6 I LBO sieht vor, dass eine von öffentlichen Flächen zugängliche, gradlinige Zu- oder Durchfahrt zur Rückseite des Gebäudes zu schaffen ist, die für Feuerwehrfahrzeuge </w:t>
      </w:r>
      <w:r w:rsidRPr="00035229">
        <w:lastRenderedPageBreak/>
        <w:t xml:space="preserve">ausreichend befestigt und tragfähig ist. Die Zufahrt ist als solche zu kennzeichnen und ständig freizuhalten. Würde H die Lagerhalle ohne eine derartige Feuerwehrzufahrt errichten, würde das Vorhaben gegen § 6 I LBO verstoßen und wäre damit nicht genehmigungsfähig. Die </w:t>
      </w:r>
      <w:r w:rsidR="00467554">
        <w:t>Auflage</w:t>
      </w:r>
      <w:r w:rsidRPr="00035229">
        <w:t xml:space="preserve">, eine Feuerwehrzufahrt zu errichten, räumt damit einen Versagungsgrund der Baugenehmigung aus und ist daher nach § 36 I Alt. 2 SVwVfG zulässig. </w:t>
      </w:r>
    </w:p>
    <w:p w14:paraId="3C7A5B9B" w14:textId="6E811AAA" w:rsidR="00035229" w:rsidRPr="0033651E" w:rsidRDefault="00035229" w:rsidP="001B5EC5">
      <w:pPr>
        <w:pStyle w:val="berschrift7"/>
      </w:pPr>
      <w:bookmarkStart w:id="102" w:name="_Toc22132981"/>
      <w:r w:rsidRPr="0033651E">
        <w:t>b) Rechtsfolge: Ermessen</w:t>
      </w:r>
      <w:bookmarkEnd w:id="102"/>
    </w:p>
    <w:p w14:paraId="3CD1100B" w14:textId="77777777" w:rsidR="00505892" w:rsidRDefault="00505892" w:rsidP="00505892">
      <w:pPr>
        <w:pStyle w:val="Randnummer"/>
        <w:framePr w:wrap="around"/>
      </w:pPr>
    </w:p>
    <w:p w14:paraId="3D1918E2" w14:textId="6EC5105A" w:rsidR="00035229" w:rsidRPr="00035229" w:rsidRDefault="00035229" w:rsidP="00035229">
      <w:r w:rsidRPr="00035229">
        <w:t>§ 36 I SVwVfG ist als Ermessensvorsch</w:t>
      </w:r>
      <w:r w:rsidRPr="00A167DA">
        <w:t xml:space="preserve">rift ausgestaltet. Möglicherweise ist die </w:t>
      </w:r>
      <w:r w:rsidR="00467554" w:rsidRPr="00A167DA">
        <w:t>Auflage</w:t>
      </w:r>
      <w:r w:rsidRPr="00A167DA">
        <w:t xml:space="preserve"> aber materiell rechtswidrig, wenn der Behörde beim Erlass ein nach </w:t>
      </w:r>
      <w:r w:rsidRPr="00A167DA">
        <w:rPr>
          <w:rStyle w:val="Hyperlink"/>
        </w:rPr>
        <w:t>§ 114 VwGO</w:t>
      </w:r>
      <w:r w:rsidRPr="00A167DA">
        <w:t xml:space="preserve"> übe</w:t>
      </w:r>
      <w:r w:rsidRPr="00035229">
        <w:t>rprüfbarer Ermessensfehler unterlaufen ist. Hier könnte eine Ermessensüberschreitung in Form der Unverhältnismäßigkeit der Maßnahme vorliegen.</w:t>
      </w:r>
      <w:r w:rsidR="00467554">
        <w:rPr>
          <w:rStyle w:val="Funotenzeichen"/>
        </w:rPr>
        <w:footnoteReference w:id="59"/>
      </w:r>
    </w:p>
    <w:p w14:paraId="06DC6C33" w14:textId="03A4B6AC" w:rsidR="00035229" w:rsidRPr="00035229" w:rsidRDefault="00035229" w:rsidP="00035229">
      <w:r w:rsidRPr="00035229">
        <w:t xml:space="preserve">Der Erlass der </w:t>
      </w:r>
      <w:r w:rsidR="00467554">
        <w:t>Auflage</w:t>
      </w:r>
      <w:r w:rsidRPr="00035229">
        <w:t xml:space="preserve"> ist verhältnismäßig, wenn er einen legitimen Zweck verfolgt und zur Erreichung dieses Zwecks geeignet, e</w:t>
      </w:r>
      <w:r w:rsidR="00467554">
        <w:t>rforderlich und angemessen ist.</w:t>
      </w:r>
      <w:r w:rsidR="00467554">
        <w:rPr>
          <w:rStyle w:val="Funotenzeichen"/>
        </w:rPr>
        <w:footnoteReference w:id="60"/>
      </w:r>
    </w:p>
    <w:p w14:paraId="512F88B0" w14:textId="77777777" w:rsidR="00035229" w:rsidRPr="00035229" w:rsidRDefault="00035229" w:rsidP="00035229">
      <w:r w:rsidRPr="00035229">
        <w:t>Als legitimer Zweck kann die Sicherung der Rettungsmaßnahmen im Falle eines Brandes und damit auch der Schutz von Leib, Leben und Eigentum angesehen werden.</w:t>
      </w:r>
    </w:p>
    <w:p w14:paraId="279BAF91" w14:textId="3C070061" w:rsidR="00035229" w:rsidRPr="00035229" w:rsidRDefault="00035229" w:rsidP="00035229">
      <w:r w:rsidRPr="00035229">
        <w:t xml:space="preserve">Die </w:t>
      </w:r>
      <w:r w:rsidR="00467554">
        <w:t>Auflage</w:t>
      </w:r>
      <w:r w:rsidRPr="00035229">
        <w:t xml:space="preserve"> ist auch geeignet, diesen Zweck zu fördern, da durch die Feuerwehrzufahrt eine ausreichende Rettung durch die Feuerwehr gesichert werden kann.</w:t>
      </w:r>
    </w:p>
    <w:p w14:paraId="1AAB092C" w14:textId="4E652845" w:rsidR="00035229" w:rsidRPr="00035229" w:rsidRDefault="00035229" w:rsidP="00035229">
      <w:r w:rsidRPr="00035229">
        <w:t xml:space="preserve">Sie ist auch erforderlich, da sie von mehreren zur Auswahl stehenden Mitteln das mildeste ist. Insbesondere stellt die </w:t>
      </w:r>
      <w:r w:rsidR="00467554">
        <w:t>Auflage</w:t>
      </w:r>
      <w:r w:rsidRPr="00035229">
        <w:t xml:space="preserve"> gegenüber der Bedingung das mildere Mittel dar. Eine Inanspruchnahme des Nachbars M kommt ebenfalls nicht in Betracht, da die Bebauung und Nutzung des Nachbargrundstücks laut Sachverhalt formell und materiell rechtmäßig ist. Das dort errichtete Gebäude genießt daher Bestandsschutz.</w:t>
      </w:r>
    </w:p>
    <w:p w14:paraId="2E8B9901" w14:textId="23A8599B" w:rsidR="00035229" w:rsidRDefault="00035229" w:rsidP="00035229">
      <w:r w:rsidRPr="00035229">
        <w:t>Sie ist angemessen, da sie unter Abwägung aller widerstreitenden Interessen auch zumutbar erscheint. Hier steht das Interesse des H, die Fläche anderweitig zu nutzen gegen die Sicherheit der Öffentlichkeit. Von einer Angemessenheit ist in der Regel auch daher auszugehen, da ohne die Einhaltung der Feuerwehrzufahrt eine Baugenehmigung gänzlich zu versagen wäre.</w:t>
      </w:r>
    </w:p>
    <w:p w14:paraId="3C7981CC" w14:textId="76CA784C" w:rsidR="00035229" w:rsidRPr="00035229" w:rsidRDefault="00035229" w:rsidP="00035229">
      <w:r w:rsidRPr="00035229">
        <w:t xml:space="preserve">Da die </w:t>
      </w:r>
      <w:r w:rsidR="00467554">
        <w:t>Auflage</w:t>
      </w:r>
      <w:r w:rsidRPr="00035229">
        <w:t xml:space="preserve"> verhältnismäßig ist und weitere Ermessensfehler nicht ersichtlich sind, ist sie insgesamt als materiell rechtmäßig anzusehen.</w:t>
      </w:r>
    </w:p>
    <w:p w14:paraId="1C753F0F" w14:textId="1FAA5BFB" w:rsidR="00035229" w:rsidRPr="0033651E" w:rsidRDefault="00035229" w:rsidP="001B5EC5">
      <w:pPr>
        <w:pStyle w:val="berschrift5"/>
      </w:pPr>
      <w:bookmarkStart w:id="103" w:name="_Toc22132982"/>
      <w:r w:rsidRPr="0033651E">
        <w:t>II. Zwischenergebnis</w:t>
      </w:r>
      <w:bookmarkEnd w:id="103"/>
    </w:p>
    <w:p w14:paraId="3B614E43" w14:textId="77777777" w:rsidR="00505892" w:rsidRDefault="00505892" w:rsidP="00505892">
      <w:pPr>
        <w:pStyle w:val="Randnummer"/>
        <w:framePr w:wrap="around"/>
      </w:pPr>
    </w:p>
    <w:p w14:paraId="5900F505" w14:textId="38E54A95" w:rsidR="00035229" w:rsidRDefault="00035229" w:rsidP="00035229">
      <w:r w:rsidRPr="00035229">
        <w:t>Die Nebenbestimmung ist rechtmäßig.</w:t>
      </w:r>
    </w:p>
    <w:p w14:paraId="4F6AF84A" w14:textId="5E8F57C9" w:rsidR="00550386" w:rsidRDefault="008C1818" w:rsidP="00035229">
      <w:pPr>
        <w:rPr>
          <w:i/>
        </w:rPr>
      </w:pPr>
      <w:r>
        <w:rPr>
          <w:i/>
        </w:rPr>
        <w:t>Lösungsh</w:t>
      </w:r>
      <w:r w:rsidR="00550386" w:rsidRPr="00550386">
        <w:rPr>
          <w:i/>
        </w:rPr>
        <w:t>inweis: Da bereits keine Rechtswidrigkeit festgestellt werden konnte, kommt es auf die Frage, ob H in seinen Rechten verletzt wurde und ob der Grund-</w:t>
      </w:r>
      <w:r w:rsidR="006D7E4D">
        <w:rPr>
          <w:i/>
        </w:rPr>
        <w:t>Verwaltungsakt</w:t>
      </w:r>
      <w:r w:rsidR="00550386" w:rsidRPr="00550386">
        <w:rPr>
          <w:i/>
        </w:rPr>
        <w:t xml:space="preserve"> ohne die Nebenbestimmung rechtmäßig fortbestehen kann, nicht mehr an.</w:t>
      </w:r>
    </w:p>
    <w:p w14:paraId="427BD139" w14:textId="77777777" w:rsidR="000434BF" w:rsidRPr="00550386" w:rsidRDefault="000434BF" w:rsidP="00035229">
      <w:pPr>
        <w:rPr>
          <w:i/>
        </w:rPr>
      </w:pPr>
    </w:p>
    <w:p w14:paraId="14C4A11A" w14:textId="2CF11D65" w:rsidR="00035229" w:rsidRPr="0033651E" w:rsidRDefault="00035229" w:rsidP="001B5EC5">
      <w:pPr>
        <w:pStyle w:val="berschrift4"/>
      </w:pPr>
      <w:bookmarkStart w:id="104" w:name="_Toc22132983"/>
      <w:r w:rsidRPr="0033651E">
        <w:t>C. Ergebnis</w:t>
      </w:r>
      <w:bookmarkEnd w:id="104"/>
    </w:p>
    <w:p w14:paraId="1F043922" w14:textId="77777777" w:rsidR="00505892" w:rsidRDefault="00505892" w:rsidP="00505892">
      <w:pPr>
        <w:pStyle w:val="Randnummer"/>
        <w:framePr w:wrap="around"/>
      </w:pPr>
    </w:p>
    <w:p w14:paraId="6B632FF5" w14:textId="6D5D5AD0" w:rsidR="0001383E" w:rsidRDefault="00035229" w:rsidP="00772351">
      <w:pPr>
        <w:rPr>
          <w:rFonts w:asciiTheme="majorHAnsi" w:eastAsiaTheme="majorEastAsia" w:hAnsiTheme="majorHAnsi" w:cstheme="majorBidi"/>
          <w:color w:val="2E74B5" w:themeColor="accent1" w:themeShade="BF"/>
          <w:sz w:val="28"/>
          <w:szCs w:val="28"/>
        </w:rPr>
      </w:pPr>
      <w:r w:rsidRPr="00035229">
        <w:t>Die Anfechtungsklage des H ist zulässig, aber unbegründet. Sie hat d</w:t>
      </w:r>
      <w:r w:rsidR="000434BF">
        <w:t>aher keine Aussicht auf Erfolg.</w:t>
      </w:r>
      <w:bookmarkStart w:id="105" w:name="_Toc10463906"/>
      <w:bookmarkStart w:id="106" w:name="_Toc13833324"/>
      <w:bookmarkEnd w:id="85"/>
      <w:r w:rsidR="0001383E">
        <w:br w:type="page"/>
      </w:r>
    </w:p>
    <w:p w14:paraId="11A2A22B" w14:textId="7886A9F2" w:rsidR="00817B65" w:rsidRDefault="00817B65" w:rsidP="008779DD">
      <w:pPr>
        <w:pStyle w:val="berschrift2"/>
      </w:pPr>
      <w:bookmarkStart w:id="107" w:name="_Toc22132769"/>
      <w:r>
        <w:lastRenderedPageBreak/>
        <w:t xml:space="preserve">Fall 3: Drittanfechtungsklage gegen </w:t>
      </w:r>
      <w:r w:rsidR="004D7C04">
        <w:t xml:space="preserve">eine </w:t>
      </w:r>
      <w:r>
        <w:t>Baugenehmigung: „Von Landwirten und Windmühlen“ (Hendrik Burbach)</w:t>
      </w:r>
      <w:bookmarkEnd w:id="105"/>
      <w:bookmarkEnd w:id="106"/>
      <w:bookmarkEnd w:id="107"/>
    </w:p>
    <w:p w14:paraId="7A239920" w14:textId="42B66672" w:rsidR="00E04D99" w:rsidRPr="00E04D99" w:rsidRDefault="00E04D99" w:rsidP="00E04D99">
      <w:pPr>
        <w:pStyle w:val="Autorin"/>
      </w:pPr>
      <w:r>
        <w:t>Hendrik Burbach</w:t>
      </w:r>
    </w:p>
    <w:p w14:paraId="3F5256A7" w14:textId="77777777" w:rsidR="00817B65" w:rsidRPr="00817B65" w:rsidRDefault="00817B65" w:rsidP="00817B65">
      <w:pPr>
        <w:pStyle w:val="Randnummer"/>
        <w:framePr w:wrap="around"/>
      </w:pPr>
    </w:p>
    <w:p w14:paraId="4FDC858C" w14:textId="77777777" w:rsidR="00817B65" w:rsidRDefault="00817B65" w:rsidP="00817B65">
      <w:r w:rsidRPr="00817B65">
        <w:t>Lernziele/Schwerpunkte: Klagebefugnis bei Drittanfechtungsklagen; Klagefristproblematik bei Drittanfechtungsklagen; Öffentlicher Belang nach § 35 III 1 Nr. 3 BauGB</w:t>
      </w:r>
    </w:p>
    <w:p w14:paraId="5733B7C6" w14:textId="77777777" w:rsidR="0001383E" w:rsidRPr="00817B65" w:rsidRDefault="0001383E" w:rsidP="00817B65"/>
    <w:p w14:paraId="3795A8D7" w14:textId="00F81147" w:rsidR="00817B65" w:rsidRDefault="00817B65" w:rsidP="0001383E">
      <w:pPr>
        <w:pStyle w:val="berschrift3"/>
      </w:pPr>
      <w:r w:rsidRPr="00817B65">
        <w:t>Sachverhalt</w:t>
      </w:r>
    </w:p>
    <w:p w14:paraId="04F7CEF1" w14:textId="77777777" w:rsidR="00817B65" w:rsidRPr="00817B65" w:rsidRDefault="00817B65" w:rsidP="00817B65">
      <w:pPr>
        <w:pStyle w:val="Randnummer"/>
        <w:framePr w:wrap="around"/>
      </w:pPr>
    </w:p>
    <w:p w14:paraId="037B159A" w14:textId="5B8790D8" w:rsidR="00817B65" w:rsidRPr="00817B65" w:rsidRDefault="00817B65" w:rsidP="00817B65">
      <w:r w:rsidRPr="00817B65">
        <w:t>Die Renewables (R) GmbH ist auf die Errichtung und den Betrieb hochmoderner Windräder spezialisiert. Sie ist Marktführer</w:t>
      </w:r>
      <w:r w:rsidR="003C7CAE">
        <w:t>in</w:t>
      </w:r>
      <w:r w:rsidRPr="00817B65">
        <w:t xml:space="preserve"> in dem Segment der mittelgroßen Anlagen, die sie zumeist außerhalb von dicht besiedelten Gebieten aufbaut und betreibt. Hierdurch stellt sie die Versorgung vieler Haushalte mit Strom sicher und leistet einen nicht unerheblichen Beitrag zur Umsetzung der Energiewende. </w:t>
      </w:r>
    </w:p>
    <w:p w14:paraId="23F87217" w14:textId="56E307FC" w:rsidR="00817B65" w:rsidRPr="00817B65" w:rsidRDefault="00817B65" w:rsidP="00817B65">
      <w:r w:rsidRPr="00817B65">
        <w:t xml:space="preserve">Ihr aktuellstes Projekt plant die R GmbH im Außenbereich der Stadt Bonn. Dort sollte ein Mikro-Windpark mit zwei mittelgroßen Windrädern gebaut werden. Am 20.05.2018 erhielt sie von der zuständigen Behörde, dem Bauamt der Stadt Bonn, eine Baugenehmigung für den geplanten Windpark mit der </w:t>
      </w:r>
      <w:r w:rsidR="00467554">
        <w:t>Auflage</w:t>
      </w:r>
      <w:r w:rsidRPr="00817B65">
        <w:t xml:space="preserve">, die immissionsschutzrechtlichen Anforderungen zu erfüllen. </w:t>
      </w:r>
    </w:p>
    <w:p w14:paraId="0D3D983A" w14:textId="77777777" w:rsidR="00817B65" w:rsidRPr="00817B65" w:rsidRDefault="00817B65" w:rsidP="00817B65">
      <w:r w:rsidRPr="00817B65">
        <w:t xml:space="preserve">Das Grundstück der Anlage grenzt unmittelbar an die im Eigentum des Landwirts B stehenden Ackerflächen. Dieser bewirtschaftet mehrere Hektar Land. Im weiteren Umkreis des Hofes des B befinden sich noch vereinzelte Bauernhöfe. Nördlich des Grundstücks der R GmbH beginnt eine großflächige Waldfläche, die aufgrund ihres gut ausgebauten Wegenetzes als Naherholungs- und beliebtes Wandergebiet für die Bonner Bürger sowie die Menschen aus dem Umland dient. </w:t>
      </w:r>
    </w:p>
    <w:p w14:paraId="0F05A192" w14:textId="77777777" w:rsidR="00817B65" w:rsidRPr="00817B65" w:rsidRDefault="00817B65" w:rsidP="00817B65">
      <w:r w:rsidRPr="00817B65">
        <w:t xml:space="preserve">Im Rahmen des Genehmigungsverfahrens hat die Stadt Bonn mit Vertretern der R GmbH im August 2016 einen Ortstermin auf der zuvor bereits von dieser erworbenen Grundstücksfläche durchgeführt. Der B sah die Vertreter der Stadt und der R zufällig beim Vorbeifahren mit dem Traktor. Auf seine Nachfrage berichteten diese ihm von dem Vorhaben. Bereits Ende 2017 begann das von der R beauftragte Bauunternehmen damit, die Fläche für den Baubeginn abzustecken. Im Juli 2018 begann die R mit den ersten Ausschachtungen. Als B dies sah, empörte er sich, dass die R GmbH nun endgültig Tatsachen schaffe. Am 30.07.2018 erhob er deshalb Klage bei dem zuständigen Verwaltungsgericht. </w:t>
      </w:r>
    </w:p>
    <w:p w14:paraId="66140FDD" w14:textId="751A6E18" w:rsidR="00817B65" w:rsidRPr="00817B65" w:rsidRDefault="00817B65" w:rsidP="00817B65">
      <w:r w:rsidRPr="00817B65">
        <w:t xml:space="preserve">B befürchtete, dass durch die Errichtung der Windanlagen seine Ernte beeinträchtigt werden könnte. Zudem hegte er Bedenken gegen die Rechtmäßigkeit der Anlage, da durch die ständigen Licht- und Schattenwechsel und </w:t>
      </w:r>
      <w:r w:rsidR="003C7CAE">
        <w:t xml:space="preserve">die </w:t>
      </w:r>
      <w:r w:rsidRPr="00817B65">
        <w:t xml:space="preserve">Geräusche der sich drehenden Rotoren der Anlage mit einer psychischen und physischen Beeinträchtigung seiner mehr als 1.000 Schweine zu rechnen sei. Deren Stall liegt zwar rund 500m von der Anlage entfernt, jedoch seien derartige Auswirkungen mehr als wahrscheinlich. B denkt, dass die R GmbH nicht </w:t>
      </w:r>
      <w:r w:rsidRPr="00817B65">
        <w:lastRenderedPageBreak/>
        <w:t xml:space="preserve">ungeachtet anderer Interessen ihr Projekt realisieren könne, sondern auch auf ihn Rücksicht nehmen müsse. </w:t>
      </w:r>
    </w:p>
    <w:p w14:paraId="2AB18979" w14:textId="77777777" w:rsidR="00817B65" w:rsidRPr="00817B65" w:rsidRDefault="00817B65" w:rsidP="00817B65">
      <w:r w:rsidRPr="00817B65">
        <w:t xml:space="preserve">Weiterhin ist B auch passionierter Wanderer. Dazu nutzt er vor allem das Waldgebiet um seinen Hof. Er fürchtet, dass durch die Rotation der Windräder der Erholungscharakter des Waldes geschmälert werde. Insbesondere sei durch den erzeugten Krach keine vernünftige Wanderung mehr möglich. </w:t>
      </w:r>
    </w:p>
    <w:p w14:paraId="77F3A7EB" w14:textId="6DDDDB35" w:rsidR="00817B65" w:rsidRPr="00817B65" w:rsidRDefault="00817B65" w:rsidP="00817B65">
      <w:r w:rsidRPr="00817B65">
        <w:t xml:space="preserve">Ein von der R GmbH eingeholtes Sachverständigengutachten des Sachverständigen S kommt zu dem Schluss, dass durch die Windräder der Erholungscharakter des Waldes nur marginal beeinträchtigt werde. Der Sachverständige ist der Auffassung, dass dies vor dem Hintergrund des raschen Umstiegs auf erneuerbare Energien hinzunehmen sei und letztlich auch im Interesse jeden Einzelnen liege. </w:t>
      </w:r>
      <w:r w:rsidR="003C7CAE">
        <w:t xml:space="preserve">Die </w:t>
      </w:r>
      <w:r w:rsidRPr="00817B65">
        <w:t>R</w:t>
      </w:r>
      <w:r w:rsidR="003C7CAE">
        <w:t xml:space="preserve"> GmbH</w:t>
      </w:r>
      <w:r w:rsidRPr="00817B65">
        <w:t xml:space="preserve"> behauptet, B könne sich unabhängig von der tatsächlichen Beeinträchtigung nicht auf diesen Aspekt berufen, da dieser keinen Drittschutz gewähre. </w:t>
      </w:r>
    </w:p>
    <w:p w14:paraId="597DCEB7" w14:textId="5E263809" w:rsidR="00817B65" w:rsidRPr="00817B65" w:rsidRDefault="00817B65" w:rsidP="00817B65">
      <w:r w:rsidRPr="00817B65">
        <w:t>Der Sachverständige kommt in seinem Gutachten ferner zu dem Schluss, dass durch die von den Rotoren geworfenen kurzzeitigen Schatten die zu erwartende Ernte des B um etwa ein Drittel reduzieren könnte</w:t>
      </w:r>
      <w:r w:rsidR="003C7CAE">
        <w:t>n</w:t>
      </w:r>
      <w:r w:rsidRPr="00817B65">
        <w:t>.</w:t>
      </w:r>
      <w:r w:rsidR="00A566D1">
        <w:t xml:space="preserve"> </w:t>
      </w:r>
      <w:r w:rsidRPr="00817B65">
        <w:t xml:space="preserve">Auch seien die Einflüsse auf die Schweine nicht nur marginal, obwohl diese überwiegend in dem Stall gehalten werden. </w:t>
      </w:r>
    </w:p>
    <w:p w14:paraId="4A70357F" w14:textId="77777777" w:rsidR="00817B65" w:rsidRPr="00817B65" w:rsidRDefault="00817B65" w:rsidP="00817B65">
      <w:r w:rsidRPr="00817B65">
        <w:t xml:space="preserve">Die R GmbH behauptet zudem, die Klage des B sei bereits verfristet, da die einmonatige Anfechtungsfrist der Baugenehmigung bereits im Zeitpunkt der Klageerhebung abgelaufen war. </w:t>
      </w:r>
    </w:p>
    <w:p w14:paraId="4DC11C02" w14:textId="77777777" w:rsidR="00817B65" w:rsidRDefault="00817B65" w:rsidP="00817B65">
      <w:pPr>
        <w:rPr>
          <w:b/>
        </w:rPr>
      </w:pPr>
      <w:r w:rsidRPr="00817B65">
        <w:rPr>
          <w:b/>
        </w:rPr>
        <w:t>Hat die Klage des B Aussicht auf Erfolg?</w:t>
      </w:r>
    </w:p>
    <w:p w14:paraId="643D1D54" w14:textId="3C361FAF" w:rsidR="00817B65" w:rsidRPr="00817B65" w:rsidRDefault="00817B65" w:rsidP="00817B65">
      <w:r w:rsidRPr="00817B65">
        <w:rPr>
          <w:b/>
        </w:rPr>
        <w:t>Bearbeiter</w:t>
      </w:r>
      <w:r>
        <w:rPr>
          <w:b/>
        </w:rPr>
        <w:t>*innen</w:t>
      </w:r>
      <w:r w:rsidRPr="00817B65">
        <w:rPr>
          <w:b/>
        </w:rPr>
        <w:t xml:space="preserve">vermerk: </w:t>
      </w:r>
      <w:r w:rsidRPr="00817B65">
        <w:t xml:space="preserve">Es ist zu unterstellen, dass das Vorhaben genehmigungsbedürftig und bauordnungsrechtlich nicht zu beanstanden ist. Die Baugenehmigung ist formell rechtmäßig ergangen. Der Windpark erfüllt zudem die immissionsschutzrechtlichen Vorgaben der Baugenehmigung. Das Land NRW hat von der Ermächtigung des § 68 I 2 Nr. 1 VwGO, nicht aber von § 78 I Nr. 2 VwGO Gebrauch gemacht. </w:t>
      </w:r>
    </w:p>
    <w:p w14:paraId="179B17A1" w14:textId="77777777" w:rsidR="00817B65" w:rsidRPr="00095F85" w:rsidRDefault="00817B65" w:rsidP="00817B65">
      <w:pPr>
        <w:rPr>
          <w:b/>
        </w:rPr>
      </w:pPr>
      <w:r w:rsidRPr="00095F85">
        <w:rPr>
          <w:b/>
        </w:rPr>
        <w:t>§ 74 BauO NRW:</w:t>
      </w:r>
    </w:p>
    <w:p w14:paraId="33E6357C" w14:textId="77777777" w:rsidR="00817B65" w:rsidRPr="00817B65" w:rsidRDefault="00817B65" w:rsidP="00817B65">
      <w:r w:rsidRPr="00817B65">
        <w:t>(1) Die Baugenehmigung ist zu erteilen, wenn dem Vorhaben keine öffentlich-rechtlichen Vorschriften entgegenstehen.</w:t>
      </w:r>
    </w:p>
    <w:p w14:paraId="5D72C44B" w14:textId="036A45B5" w:rsidR="00817B65" w:rsidRPr="00817B65" w:rsidRDefault="00817B65" w:rsidP="00817B65">
      <w:r w:rsidRPr="00817B65">
        <w:t> (2) Die Baugenehmigung bedarf der Schriftform. Sie ist nur insoweit zu begründen, als Abweichungen oder Befreiungen von nachbarschützenden Vorschriften zugelassen werden und der Nachbar nicht nach § 72 Absatz 2 zugestimmt hat. Eine Ausfertigung der mit einem Genehmigungsvermerk versehenen Bauvorlagen ist der Antragstellerin oder dem Antragsteller mit der Baugenehmigung zuzustellen.</w:t>
      </w:r>
    </w:p>
    <w:p w14:paraId="71670419" w14:textId="3171C950" w:rsidR="0001383E" w:rsidRPr="00772351" w:rsidRDefault="00817B65" w:rsidP="00772351">
      <w:r w:rsidRPr="00817B65">
        <w:t>(…)</w:t>
      </w:r>
      <w:r w:rsidR="0001383E">
        <w:rPr>
          <w:b/>
          <w:u w:val="single"/>
        </w:rPr>
        <w:br w:type="page"/>
      </w:r>
    </w:p>
    <w:p w14:paraId="5F2F3874" w14:textId="7E71DE38" w:rsidR="00817B65" w:rsidRDefault="00817B65" w:rsidP="0001383E">
      <w:pPr>
        <w:pStyle w:val="berschrift3"/>
      </w:pPr>
      <w:r w:rsidRPr="00817B65">
        <w:lastRenderedPageBreak/>
        <w:t>Lösungsgliederung</w:t>
      </w:r>
    </w:p>
    <w:p w14:paraId="44C75C9D" w14:textId="77777777" w:rsidR="00817B65" w:rsidRPr="00817B65" w:rsidRDefault="00817B65" w:rsidP="00817B65">
      <w:pPr>
        <w:pStyle w:val="Randnummer"/>
        <w:framePr w:wrap="around"/>
      </w:pPr>
    </w:p>
    <w:p w14:paraId="3DA63195" w14:textId="3161504D" w:rsidR="007537A8" w:rsidRDefault="00CA43AE">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"Fall3" </w:instrText>
      </w:r>
      <w:r>
        <w:rPr>
          <w:rFonts w:eastAsiaTheme="majorEastAsia"/>
        </w:rPr>
        <w:fldChar w:fldCharType="separate"/>
      </w:r>
      <w:hyperlink w:anchor="_Toc22132984" w:history="1">
        <w:r w:rsidR="007537A8" w:rsidRPr="00B23150">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_Toc22132984 \h </w:instrText>
        </w:r>
        <w:r w:rsidR="007537A8">
          <w:rPr>
            <w:noProof/>
            <w:webHidden/>
          </w:rPr>
        </w:r>
        <w:r w:rsidR="007537A8">
          <w:rPr>
            <w:noProof/>
            <w:webHidden/>
          </w:rPr>
          <w:fldChar w:fldCharType="separate"/>
        </w:r>
        <w:r w:rsidR="007537A8">
          <w:rPr>
            <w:noProof/>
            <w:webHidden/>
          </w:rPr>
          <w:t>33</w:t>
        </w:r>
        <w:r w:rsidR="007537A8">
          <w:rPr>
            <w:noProof/>
            <w:webHidden/>
          </w:rPr>
          <w:fldChar w:fldCharType="end"/>
        </w:r>
      </w:hyperlink>
    </w:p>
    <w:p w14:paraId="2BC9048F" w14:textId="6170B3D9" w:rsidR="007537A8" w:rsidRDefault="00091FED">
      <w:pPr>
        <w:pStyle w:val="Verzeichnis4"/>
        <w:tabs>
          <w:tab w:val="right" w:leader="dot" w:pos="7361"/>
        </w:tabs>
        <w:rPr>
          <w:rFonts w:eastAsiaTheme="minorEastAsia"/>
          <w:noProof/>
          <w:sz w:val="22"/>
          <w:szCs w:val="22"/>
          <w:lang w:eastAsia="de-DE"/>
        </w:rPr>
      </w:pPr>
      <w:hyperlink w:anchor="_Toc22132985" w:history="1">
        <w:r w:rsidR="007537A8" w:rsidRPr="00B23150">
          <w:rPr>
            <w:rStyle w:val="Hyperlink"/>
            <w:noProof/>
          </w:rPr>
          <w:t>A. Zulässigkeit der Klage</w:t>
        </w:r>
        <w:r w:rsidR="007537A8">
          <w:rPr>
            <w:noProof/>
            <w:webHidden/>
          </w:rPr>
          <w:tab/>
        </w:r>
        <w:r w:rsidR="007537A8">
          <w:rPr>
            <w:noProof/>
            <w:webHidden/>
          </w:rPr>
          <w:fldChar w:fldCharType="begin"/>
        </w:r>
        <w:r w:rsidR="007537A8">
          <w:rPr>
            <w:noProof/>
            <w:webHidden/>
          </w:rPr>
          <w:instrText xml:space="preserve"> PAGEREF _Toc22132985 \h </w:instrText>
        </w:r>
        <w:r w:rsidR="007537A8">
          <w:rPr>
            <w:noProof/>
            <w:webHidden/>
          </w:rPr>
        </w:r>
        <w:r w:rsidR="007537A8">
          <w:rPr>
            <w:noProof/>
            <w:webHidden/>
          </w:rPr>
          <w:fldChar w:fldCharType="separate"/>
        </w:r>
        <w:r w:rsidR="007537A8">
          <w:rPr>
            <w:noProof/>
            <w:webHidden/>
          </w:rPr>
          <w:t>33</w:t>
        </w:r>
        <w:r w:rsidR="007537A8">
          <w:rPr>
            <w:noProof/>
            <w:webHidden/>
          </w:rPr>
          <w:fldChar w:fldCharType="end"/>
        </w:r>
      </w:hyperlink>
    </w:p>
    <w:p w14:paraId="59C0BD36" w14:textId="1483A108" w:rsidR="007537A8" w:rsidRDefault="00091FED">
      <w:pPr>
        <w:pStyle w:val="Verzeichnis5"/>
        <w:tabs>
          <w:tab w:val="right" w:leader="dot" w:pos="7361"/>
        </w:tabs>
        <w:rPr>
          <w:rFonts w:eastAsiaTheme="minorEastAsia"/>
          <w:noProof/>
          <w:sz w:val="22"/>
          <w:szCs w:val="22"/>
          <w:lang w:eastAsia="de-DE"/>
        </w:rPr>
      </w:pPr>
      <w:hyperlink w:anchor="_Toc22132986" w:history="1">
        <w:r w:rsidR="007537A8" w:rsidRPr="00B23150">
          <w:rPr>
            <w:rStyle w:val="Hyperlink"/>
            <w:noProof/>
          </w:rPr>
          <w:t>I. Eröffnung des Verwaltungsrechtswegs</w:t>
        </w:r>
        <w:r w:rsidR="007537A8">
          <w:rPr>
            <w:noProof/>
            <w:webHidden/>
          </w:rPr>
          <w:tab/>
        </w:r>
        <w:r w:rsidR="007537A8">
          <w:rPr>
            <w:noProof/>
            <w:webHidden/>
          </w:rPr>
          <w:fldChar w:fldCharType="begin"/>
        </w:r>
        <w:r w:rsidR="007537A8">
          <w:rPr>
            <w:noProof/>
            <w:webHidden/>
          </w:rPr>
          <w:instrText xml:space="preserve"> PAGEREF _Toc22132986 \h </w:instrText>
        </w:r>
        <w:r w:rsidR="007537A8">
          <w:rPr>
            <w:noProof/>
            <w:webHidden/>
          </w:rPr>
        </w:r>
        <w:r w:rsidR="007537A8">
          <w:rPr>
            <w:noProof/>
            <w:webHidden/>
          </w:rPr>
          <w:fldChar w:fldCharType="separate"/>
        </w:r>
        <w:r w:rsidR="007537A8">
          <w:rPr>
            <w:noProof/>
            <w:webHidden/>
          </w:rPr>
          <w:t>33</w:t>
        </w:r>
        <w:r w:rsidR="007537A8">
          <w:rPr>
            <w:noProof/>
            <w:webHidden/>
          </w:rPr>
          <w:fldChar w:fldCharType="end"/>
        </w:r>
      </w:hyperlink>
    </w:p>
    <w:p w14:paraId="5227A399" w14:textId="2631062E" w:rsidR="007537A8" w:rsidRDefault="00091FED">
      <w:pPr>
        <w:pStyle w:val="Verzeichnis5"/>
        <w:tabs>
          <w:tab w:val="right" w:leader="dot" w:pos="7361"/>
        </w:tabs>
        <w:rPr>
          <w:rFonts w:eastAsiaTheme="minorEastAsia"/>
          <w:noProof/>
          <w:sz w:val="22"/>
          <w:szCs w:val="22"/>
          <w:lang w:eastAsia="de-DE"/>
        </w:rPr>
      </w:pPr>
      <w:hyperlink w:anchor="_Toc22132987" w:history="1">
        <w:r w:rsidR="007537A8" w:rsidRPr="00B23150">
          <w:rPr>
            <w:rStyle w:val="Hyperlink"/>
            <w:noProof/>
          </w:rPr>
          <w:t>II. Statthafte Klageart</w:t>
        </w:r>
        <w:r w:rsidR="007537A8">
          <w:rPr>
            <w:noProof/>
            <w:webHidden/>
          </w:rPr>
          <w:tab/>
        </w:r>
        <w:r w:rsidR="007537A8">
          <w:rPr>
            <w:noProof/>
            <w:webHidden/>
          </w:rPr>
          <w:fldChar w:fldCharType="begin"/>
        </w:r>
        <w:r w:rsidR="007537A8">
          <w:rPr>
            <w:noProof/>
            <w:webHidden/>
          </w:rPr>
          <w:instrText xml:space="preserve"> PAGEREF _Toc22132987 \h </w:instrText>
        </w:r>
        <w:r w:rsidR="007537A8">
          <w:rPr>
            <w:noProof/>
            <w:webHidden/>
          </w:rPr>
        </w:r>
        <w:r w:rsidR="007537A8">
          <w:rPr>
            <w:noProof/>
            <w:webHidden/>
          </w:rPr>
          <w:fldChar w:fldCharType="separate"/>
        </w:r>
        <w:r w:rsidR="007537A8">
          <w:rPr>
            <w:noProof/>
            <w:webHidden/>
          </w:rPr>
          <w:t>33</w:t>
        </w:r>
        <w:r w:rsidR="007537A8">
          <w:rPr>
            <w:noProof/>
            <w:webHidden/>
          </w:rPr>
          <w:fldChar w:fldCharType="end"/>
        </w:r>
      </w:hyperlink>
    </w:p>
    <w:p w14:paraId="55BBFC66" w14:textId="3160967E" w:rsidR="007537A8" w:rsidRDefault="00091FED">
      <w:pPr>
        <w:pStyle w:val="Verzeichnis5"/>
        <w:tabs>
          <w:tab w:val="right" w:leader="dot" w:pos="7361"/>
        </w:tabs>
        <w:rPr>
          <w:rFonts w:eastAsiaTheme="minorEastAsia"/>
          <w:noProof/>
          <w:sz w:val="22"/>
          <w:szCs w:val="22"/>
          <w:lang w:eastAsia="de-DE"/>
        </w:rPr>
      </w:pPr>
      <w:hyperlink w:anchor="_Toc22132988" w:history="1">
        <w:r w:rsidR="007537A8" w:rsidRPr="00B23150">
          <w:rPr>
            <w:rStyle w:val="Hyperlink"/>
            <w:noProof/>
          </w:rPr>
          <w:t>III. Klagebefugnis</w:t>
        </w:r>
        <w:r w:rsidR="007537A8">
          <w:rPr>
            <w:noProof/>
            <w:webHidden/>
          </w:rPr>
          <w:tab/>
        </w:r>
        <w:r w:rsidR="007537A8">
          <w:rPr>
            <w:noProof/>
            <w:webHidden/>
          </w:rPr>
          <w:fldChar w:fldCharType="begin"/>
        </w:r>
        <w:r w:rsidR="007537A8">
          <w:rPr>
            <w:noProof/>
            <w:webHidden/>
          </w:rPr>
          <w:instrText xml:space="preserve"> PAGEREF _Toc22132988 \h </w:instrText>
        </w:r>
        <w:r w:rsidR="007537A8">
          <w:rPr>
            <w:noProof/>
            <w:webHidden/>
          </w:rPr>
        </w:r>
        <w:r w:rsidR="007537A8">
          <w:rPr>
            <w:noProof/>
            <w:webHidden/>
          </w:rPr>
          <w:fldChar w:fldCharType="separate"/>
        </w:r>
        <w:r w:rsidR="007537A8">
          <w:rPr>
            <w:noProof/>
            <w:webHidden/>
          </w:rPr>
          <w:t>33</w:t>
        </w:r>
        <w:r w:rsidR="007537A8">
          <w:rPr>
            <w:noProof/>
            <w:webHidden/>
          </w:rPr>
          <w:fldChar w:fldCharType="end"/>
        </w:r>
      </w:hyperlink>
    </w:p>
    <w:p w14:paraId="27CEAA66" w14:textId="2C0A0BFC" w:rsidR="007537A8" w:rsidRDefault="00091FED">
      <w:pPr>
        <w:pStyle w:val="Verzeichnis6"/>
        <w:tabs>
          <w:tab w:val="right" w:leader="dot" w:pos="7361"/>
        </w:tabs>
        <w:rPr>
          <w:noProof/>
          <w:sz w:val="22"/>
          <w:szCs w:val="22"/>
          <w:lang w:eastAsia="de-DE"/>
        </w:rPr>
      </w:pPr>
      <w:hyperlink w:anchor="_Toc22132989" w:history="1">
        <w:r w:rsidR="007537A8" w:rsidRPr="00B23150">
          <w:rPr>
            <w:rStyle w:val="Hyperlink"/>
            <w:noProof/>
          </w:rPr>
          <w:t>1. Drittschützender öffentlicher Belang gem. § 35 III 1 Nr. 3 BauGB</w:t>
        </w:r>
        <w:r w:rsidR="007537A8">
          <w:rPr>
            <w:noProof/>
            <w:webHidden/>
          </w:rPr>
          <w:tab/>
        </w:r>
        <w:r w:rsidR="007537A8">
          <w:rPr>
            <w:noProof/>
            <w:webHidden/>
          </w:rPr>
          <w:fldChar w:fldCharType="begin"/>
        </w:r>
        <w:r w:rsidR="007537A8">
          <w:rPr>
            <w:noProof/>
            <w:webHidden/>
          </w:rPr>
          <w:instrText xml:space="preserve"> PAGEREF _Toc22132989 \h </w:instrText>
        </w:r>
        <w:r w:rsidR="007537A8">
          <w:rPr>
            <w:noProof/>
            <w:webHidden/>
          </w:rPr>
        </w:r>
        <w:r w:rsidR="007537A8">
          <w:rPr>
            <w:noProof/>
            <w:webHidden/>
          </w:rPr>
          <w:fldChar w:fldCharType="separate"/>
        </w:r>
        <w:r w:rsidR="007537A8">
          <w:rPr>
            <w:noProof/>
            <w:webHidden/>
          </w:rPr>
          <w:t>34</w:t>
        </w:r>
        <w:r w:rsidR="007537A8">
          <w:rPr>
            <w:noProof/>
            <w:webHidden/>
          </w:rPr>
          <w:fldChar w:fldCharType="end"/>
        </w:r>
      </w:hyperlink>
    </w:p>
    <w:p w14:paraId="3E6BE0A0" w14:textId="73669F00" w:rsidR="007537A8" w:rsidRDefault="00091FED">
      <w:pPr>
        <w:pStyle w:val="Verzeichnis6"/>
        <w:tabs>
          <w:tab w:val="right" w:leader="dot" w:pos="7361"/>
        </w:tabs>
        <w:rPr>
          <w:noProof/>
          <w:sz w:val="22"/>
          <w:szCs w:val="22"/>
          <w:lang w:eastAsia="de-DE"/>
        </w:rPr>
      </w:pPr>
      <w:hyperlink w:anchor="_Toc22132990" w:history="1">
        <w:r w:rsidR="007537A8" w:rsidRPr="00B23150">
          <w:rPr>
            <w:rStyle w:val="Hyperlink"/>
            <w:noProof/>
          </w:rPr>
          <w:t>2. Drittschützender öffentlicher Belang gem. § 35 III 1 Nr. 5 BauGB</w:t>
        </w:r>
        <w:r w:rsidR="007537A8">
          <w:rPr>
            <w:noProof/>
            <w:webHidden/>
          </w:rPr>
          <w:tab/>
        </w:r>
        <w:r w:rsidR="007537A8">
          <w:rPr>
            <w:noProof/>
            <w:webHidden/>
          </w:rPr>
          <w:fldChar w:fldCharType="begin"/>
        </w:r>
        <w:r w:rsidR="007537A8">
          <w:rPr>
            <w:noProof/>
            <w:webHidden/>
          </w:rPr>
          <w:instrText xml:space="preserve"> PAGEREF _Toc22132990 \h </w:instrText>
        </w:r>
        <w:r w:rsidR="007537A8">
          <w:rPr>
            <w:noProof/>
            <w:webHidden/>
          </w:rPr>
        </w:r>
        <w:r w:rsidR="007537A8">
          <w:rPr>
            <w:noProof/>
            <w:webHidden/>
          </w:rPr>
          <w:fldChar w:fldCharType="separate"/>
        </w:r>
        <w:r w:rsidR="007537A8">
          <w:rPr>
            <w:noProof/>
            <w:webHidden/>
          </w:rPr>
          <w:t>34</w:t>
        </w:r>
        <w:r w:rsidR="007537A8">
          <w:rPr>
            <w:noProof/>
            <w:webHidden/>
          </w:rPr>
          <w:fldChar w:fldCharType="end"/>
        </w:r>
      </w:hyperlink>
    </w:p>
    <w:p w14:paraId="4B951E3C" w14:textId="75763B10" w:rsidR="007537A8" w:rsidRDefault="00091FED">
      <w:pPr>
        <w:pStyle w:val="Verzeichnis6"/>
        <w:tabs>
          <w:tab w:val="right" w:leader="dot" w:pos="7361"/>
        </w:tabs>
        <w:rPr>
          <w:noProof/>
          <w:sz w:val="22"/>
          <w:szCs w:val="22"/>
          <w:lang w:eastAsia="de-DE"/>
        </w:rPr>
      </w:pPr>
      <w:hyperlink w:anchor="_Toc22132991" w:history="1">
        <w:r w:rsidR="007537A8" w:rsidRPr="00B23150">
          <w:rPr>
            <w:rStyle w:val="Hyperlink"/>
            <w:noProof/>
          </w:rPr>
          <w:t>3. Zwischenergebnis</w:t>
        </w:r>
        <w:r w:rsidR="007537A8">
          <w:rPr>
            <w:noProof/>
            <w:webHidden/>
          </w:rPr>
          <w:tab/>
        </w:r>
        <w:r w:rsidR="007537A8">
          <w:rPr>
            <w:noProof/>
            <w:webHidden/>
          </w:rPr>
          <w:fldChar w:fldCharType="begin"/>
        </w:r>
        <w:r w:rsidR="007537A8">
          <w:rPr>
            <w:noProof/>
            <w:webHidden/>
          </w:rPr>
          <w:instrText xml:space="preserve"> PAGEREF _Toc22132991 \h </w:instrText>
        </w:r>
        <w:r w:rsidR="007537A8">
          <w:rPr>
            <w:noProof/>
            <w:webHidden/>
          </w:rPr>
        </w:r>
        <w:r w:rsidR="007537A8">
          <w:rPr>
            <w:noProof/>
            <w:webHidden/>
          </w:rPr>
          <w:fldChar w:fldCharType="separate"/>
        </w:r>
        <w:r w:rsidR="007537A8">
          <w:rPr>
            <w:noProof/>
            <w:webHidden/>
          </w:rPr>
          <w:t>35</w:t>
        </w:r>
        <w:r w:rsidR="007537A8">
          <w:rPr>
            <w:noProof/>
            <w:webHidden/>
          </w:rPr>
          <w:fldChar w:fldCharType="end"/>
        </w:r>
      </w:hyperlink>
    </w:p>
    <w:p w14:paraId="32B5C1E8" w14:textId="17008822" w:rsidR="007537A8" w:rsidRDefault="00091FED">
      <w:pPr>
        <w:pStyle w:val="Verzeichnis5"/>
        <w:tabs>
          <w:tab w:val="right" w:leader="dot" w:pos="7361"/>
        </w:tabs>
        <w:rPr>
          <w:rFonts w:eastAsiaTheme="minorEastAsia"/>
          <w:noProof/>
          <w:sz w:val="22"/>
          <w:szCs w:val="22"/>
          <w:lang w:eastAsia="de-DE"/>
        </w:rPr>
      </w:pPr>
      <w:hyperlink w:anchor="_Toc22132992" w:history="1">
        <w:r w:rsidR="007537A8" w:rsidRPr="00B23150">
          <w:rPr>
            <w:rStyle w:val="Hyperlink"/>
            <w:noProof/>
          </w:rPr>
          <w:t>IV. Vorverfahren</w:t>
        </w:r>
        <w:r w:rsidR="007537A8">
          <w:rPr>
            <w:noProof/>
            <w:webHidden/>
          </w:rPr>
          <w:tab/>
        </w:r>
        <w:r w:rsidR="007537A8">
          <w:rPr>
            <w:noProof/>
            <w:webHidden/>
          </w:rPr>
          <w:fldChar w:fldCharType="begin"/>
        </w:r>
        <w:r w:rsidR="007537A8">
          <w:rPr>
            <w:noProof/>
            <w:webHidden/>
          </w:rPr>
          <w:instrText xml:space="preserve"> PAGEREF _Toc22132992 \h </w:instrText>
        </w:r>
        <w:r w:rsidR="007537A8">
          <w:rPr>
            <w:noProof/>
            <w:webHidden/>
          </w:rPr>
        </w:r>
        <w:r w:rsidR="007537A8">
          <w:rPr>
            <w:noProof/>
            <w:webHidden/>
          </w:rPr>
          <w:fldChar w:fldCharType="separate"/>
        </w:r>
        <w:r w:rsidR="007537A8">
          <w:rPr>
            <w:noProof/>
            <w:webHidden/>
          </w:rPr>
          <w:t>35</w:t>
        </w:r>
        <w:r w:rsidR="007537A8">
          <w:rPr>
            <w:noProof/>
            <w:webHidden/>
          </w:rPr>
          <w:fldChar w:fldCharType="end"/>
        </w:r>
      </w:hyperlink>
    </w:p>
    <w:p w14:paraId="01DCC085" w14:textId="63C02341" w:rsidR="007537A8" w:rsidRDefault="00091FED">
      <w:pPr>
        <w:pStyle w:val="Verzeichnis5"/>
        <w:tabs>
          <w:tab w:val="right" w:leader="dot" w:pos="7361"/>
        </w:tabs>
        <w:rPr>
          <w:rFonts w:eastAsiaTheme="minorEastAsia"/>
          <w:noProof/>
          <w:sz w:val="22"/>
          <w:szCs w:val="22"/>
          <w:lang w:eastAsia="de-DE"/>
        </w:rPr>
      </w:pPr>
      <w:hyperlink w:anchor="_Toc22132993" w:history="1">
        <w:r w:rsidR="007537A8" w:rsidRPr="00B23150">
          <w:rPr>
            <w:rStyle w:val="Hyperlink"/>
            <w:noProof/>
          </w:rPr>
          <w:t>V. Klagegegner</w:t>
        </w:r>
        <w:r w:rsidR="007537A8">
          <w:rPr>
            <w:noProof/>
            <w:webHidden/>
          </w:rPr>
          <w:tab/>
        </w:r>
        <w:r w:rsidR="007537A8">
          <w:rPr>
            <w:noProof/>
            <w:webHidden/>
          </w:rPr>
          <w:fldChar w:fldCharType="begin"/>
        </w:r>
        <w:r w:rsidR="007537A8">
          <w:rPr>
            <w:noProof/>
            <w:webHidden/>
          </w:rPr>
          <w:instrText xml:space="preserve"> PAGEREF _Toc22132993 \h </w:instrText>
        </w:r>
        <w:r w:rsidR="007537A8">
          <w:rPr>
            <w:noProof/>
            <w:webHidden/>
          </w:rPr>
        </w:r>
        <w:r w:rsidR="007537A8">
          <w:rPr>
            <w:noProof/>
            <w:webHidden/>
          </w:rPr>
          <w:fldChar w:fldCharType="separate"/>
        </w:r>
        <w:r w:rsidR="007537A8">
          <w:rPr>
            <w:noProof/>
            <w:webHidden/>
          </w:rPr>
          <w:t>35</w:t>
        </w:r>
        <w:r w:rsidR="007537A8">
          <w:rPr>
            <w:noProof/>
            <w:webHidden/>
          </w:rPr>
          <w:fldChar w:fldCharType="end"/>
        </w:r>
      </w:hyperlink>
    </w:p>
    <w:p w14:paraId="0CD25CA0" w14:textId="58165E22" w:rsidR="007537A8" w:rsidRDefault="00091FED">
      <w:pPr>
        <w:pStyle w:val="Verzeichnis5"/>
        <w:tabs>
          <w:tab w:val="right" w:leader="dot" w:pos="7361"/>
        </w:tabs>
        <w:rPr>
          <w:rFonts w:eastAsiaTheme="minorEastAsia"/>
          <w:noProof/>
          <w:sz w:val="22"/>
          <w:szCs w:val="22"/>
          <w:lang w:eastAsia="de-DE"/>
        </w:rPr>
      </w:pPr>
      <w:hyperlink w:anchor="_Toc22132994" w:history="1">
        <w:r w:rsidR="007537A8" w:rsidRPr="00B23150">
          <w:rPr>
            <w:rStyle w:val="Hyperlink"/>
            <w:noProof/>
          </w:rPr>
          <w:t>VI. Beteiligten- und Prozessfähigkeit</w:t>
        </w:r>
        <w:r w:rsidR="007537A8">
          <w:rPr>
            <w:noProof/>
            <w:webHidden/>
          </w:rPr>
          <w:tab/>
        </w:r>
        <w:r w:rsidR="007537A8">
          <w:rPr>
            <w:noProof/>
            <w:webHidden/>
          </w:rPr>
          <w:fldChar w:fldCharType="begin"/>
        </w:r>
        <w:r w:rsidR="007537A8">
          <w:rPr>
            <w:noProof/>
            <w:webHidden/>
          </w:rPr>
          <w:instrText xml:space="preserve"> PAGEREF _Toc22132994 \h </w:instrText>
        </w:r>
        <w:r w:rsidR="007537A8">
          <w:rPr>
            <w:noProof/>
            <w:webHidden/>
          </w:rPr>
        </w:r>
        <w:r w:rsidR="007537A8">
          <w:rPr>
            <w:noProof/>
            <w:webHidden/>
          </w:rPr>
          <w:fldChar w:fldCharType="separate"/>
        </w:r>
        <w:r w:rsidR="007537A8">
          <w:rPr>
            <w:noProof/>
            <w:webHidden/>
          </w:rPr>
          <w:t>35</w:t>
        </w:r>
        <w:r w:rsidR="007537A8">
          <w:rPr>
            <w:noProof/>
            <w:webHidden/>
          </w:rPr>
          <w:fldChar w:fldCharType="end"/>
        </w:r>
      </w:hyperlink>
    </w:p>
    <w:p w14:paraId="7D382357" w14:textId="30277CD2" w:rsidR="007537A8" w:rsidRDefault="00091FED">
      <w:pPr>
        <w:pStyle w:val="Verzeichnis5"/>
        <w:tabs>
          <w:tab w:val="right" w:leader="dot" w:pos="7361"/>
        </w:tabs>
        <w:rPr>
          <w:rFonts w:eastAsiaTheme="minorEastAsia"/>
          <w:noProof/>
          <w:sz w:val="22"/>
          <w:szCs w:val="22"/>
          <w:lang w:eastAsia="de-DE"/>
        </w:rPr>
      </w:pPr>
      <w:hyperlink w:anchor="_Toc22132995" w:history="1">
        <w:r w:rsidR="007537A8" w:rsidRPr="00B23150">
          <w:rPr>
            <w:rStyle w:val="Hyperlink"/>
            <w:noProof/>
          </w:rPr>
          <w:t>VII. Klagefrist</w:t>
        </w:r>
        <w:r w:rsidR="007537A8">
          <w:rPr>
            <w:noProof/>
            <w:webHidden/>
          </w:rPr>
          <w:tab/>
        </w:r>
        <w:r w:rsidR="007537A8">
          <w:rPr>
            <w:noProof/>
            <w:webHidden/>
          </w:rPr>
          <w:fldChar w:fldCharType="begin"/>
        </w:r>
        <w:r w:rsidR="007537A8">
          <w:rPr>
            <w:noProof/>
            <w:webHidden/>
          </w:rPr>
          <w:instrText xml:space="preserve"> PAGEREF _Toc22132995 \h </w:instrText>
        </w:r>
        <w:r w:rsidR="007537A8">
          <w:rPr>
            <w:noProof/>
            <w:webHidden/>
          </w:rPr>
        </w:r>
        <w:r w:rsidR="007537A8">
          <w:rPr>
            <w:noProof/>
            <w:webHidden/>
          </w:rPr>
          <w:fldChar w:fldCharType="separate"/>
        </w:r>
        <w:r w:rsidR="007537A8">
          <w:rPr>
            <w:noProof/>
            <w:webHidden/>
          </w:rPr>
          <w:t>35</w:t>
        </w:r>
        <w:r w:rsidR="007537A8">
          <w:rPr>
            <w:noProof/>
            <w:webHidden/>
          </w:rPr>
          <w:fldChar w:fldCharType="end"/>
        </w:r>
      </w:hyperlink>
    </w:p>
    <w:p w14:paraId="6DB0C0CC" w14:textId="5C4145B7" w:rsidR="007537A8" w:rsidRDefault="00091FED">
      <w:pPr>
        <w:pStyle w:val="Verzeichnis5"/>
        <w:tabs>
          <w:tab w:val="right" w:leader="dot" w:pos="7361"/>
        </w:tabs>
        <w:rPr>
          <w:rFonts w:eastAsiaTheme="minorEastAsia"/>
          <w:noProof/>
          <w:sz w:val="22"/>
          <w:szCs w:val="22"/>
          <w:lang w:eastAsia="de-DE"/>
        </w:rPr>
      </w:pPr>
      <w:hyperlink w:anchor="_Toc22132996" w:history="1">
        <w:r w:rsidR="007537A8" w:rsidRPr="00B23150">
          <w:rPr>
            <w:rStyle w:val="Hyperlink"/>
            <w:noProof/>
          </w:rPr>
          <w:t>VIII. Zwischenergebnis</w:t>
        </w:r>
        <w:r w:rsidR="007537A8">
          <w:rPr>
            <w:noProof/>
            <w:webHidden/>
          </w:rPr>
          <w:tab/>
        </w:r>
        <w:r w:rsidR="007537A8">
          <w:rPr>
            <w:noProof/>
            <w:webHidden/>
          </w:rPr>
          <w:fldChar w:fldCharType="begin"/>
        </w:r>
        <w:r w:rsidR="007537A8">
          <w:rPr>
            <w:noProof/>
            <w:webHidden/>
          </w:rPr>
          <w:instrText xml:space="preserve"> PAGEREF _Toc22132996 \h </w:instrText>
        </w:r>
        <w:r w:rsidR="007537A8">
          <w:rPr>
            <w:noProof/>
            <w:webHidden/>
          </w:rPr>
        </w:r>
        <w:r w:rsidR="007537A8">
          <w:rPr>
            <w:noProof/>
            <w:webHidden/>
          </w:rPr>
          <w:fldChar w:fldCharType="separate"/>
        </w:r>
        <w:r w:rsidR="007537A8">
          <w:rPr>
            <w:noProof/>
            <w:webHidden/>
          </w:rPr>
          <w:t>35</w:t>
        </w:r>
        <w:r w:rsidR="007537A8">
          <w:rPr>
            <w:noProof/>
            <w:webHidden/>
          </w:rPr>
          <w:fldChar w:fldCharType="end"/>
        </w:r>
      </w:hyperlink>
    </w:p>
    <w:p w14:paraId="30E13AEF" w14:textId="79BDBB87" w:rsidR="007537A8" w:rsidRDefault="00091FED">
      <w:pPr>
        <w:pStyle w:val="Verzeichnis4"/>
        <w:tabs>
          <w:tab w:val="right" w:leader="dot" w:pos="7361"/>
        </w:tabs>
        <w:rPr>
          <w:rFonts w:eastAsiaTheme="minorEastAsia"/>
          <w:noProof/>
          <w:sz w:val="22"/>
          <w:szCs w:val="22"/>
          <w:lang w:eastAsia="de-DE"/>
        </w:rPr>
      </w:pPr>
      <w:hyperlink w:anchor="_Toc22132997" w:history="1">
        <w:r w:rsidR="007537A8" w:rsidRPr="00B23150">
          <w:rPr>
            <w:rStyle w:val="Hyperlink"/>
            <w:noProof/>
          </w:rPr>
          <w:t>B. Beiladung</w:t>
        </w:r>
        <w:r w:rsidR="007537A8">
          <w:rPr>
            <w:noProof/>
            <w:webHidden/>
          </w:rPr>
          <w:tab/>
        </w:r>
        <w:r w:rsidR="007537A8">
          <w:rPr>
            <w:noProof/>
            <w:webHidden/>
          </w:rPr>
          <w:fldChar w:fldCharType="begin"/>
        </w:r>
        <w:r w:rsidR="007537A8">
          <w:rPr>
            <w:noProof/>
            <w:webHidden/>
          </w:rPr>
          <w:instrText xml:space="preserve"> PAGEREF _Toc22132997 \h </w:instrText>
        </w:r>
        <w:r w:rsidR="007537A8">
          <w:rPr>
            <w:noProof/>
            <w:webHidden/>
          </w:rPr>
        </w:r>
        <w:r w:rsidR="007537A8">
          <w:rPr>
            <w:noProof/>
            <w:webHidden/>
          </w:rPr>
          <w:fldChar w:fldCharType="separate"/>
        </w:r>
        <w:r w:rsidR="007537A8">
          <w:rPr>
            <w:noProof/>
            <w:webHidden/>
          </w:rPr>
          <w:t>35</w:t>
        </w:r>
        <w:r w:rsidR="007537A8">
          <w:rPr>
            <w:noProof/>
            <w:webHidden/>
          </w:rPr>
          <w:fldChar w:fldCharType="end"/>
        </w:r>
      </w:hyperlink>
    </w:p>
    <w:p w14:paraId="4B9EC129" w14:textId="6CF21450" w:rsidR="007537A8" w:rsidRDefault="00091FED">
      <w:pPr>
        <w:pStyle w:val="Verzeichnis4"/>
        <w:tabs>
          <w:tab w:val="right" w:leader="dot" w:pos="7361"/>
        </w:tabs>
        <w:rPr>
          <w:rFonts w:eastAsiaTheme="minorEastAsia"/>
          <w:noProof/>
          <w:sz w:val="22"/>
          <w:szCs w:val="22"/>
          <w:lang w:eastAsia="de-DE"/>
        </w:rPr>
      </w:pPr>
      <w:hyperlink w:anchor="_Toc22132998" w:history="1">
        <w:r w:rsidR="007537A8" w:rsidRPr="00B23150">
          <w:rPr>
            <w:rStyle w:val="Hyperlink"/>
            <w:noProof/>
          </w:rPr>
          <w:t>C. Begründetheit der Klage</w:t>
        </w:r>
        <w:r w:rsidR="007537A8">
          <w:rPr>
            <w:noProof/>
            <w:webHidden/>
          </w:rPr>
          <w:tab/>
        </w:r>
        <w:r w:rsidR="007537A8">
          <w:rPr>
            <w:noProof/>
            <w:webHidden/>
          </w:rPr>
          <w:fldChar w:fldCharType="begin"/>
        </w:r>
        <w:r w:rsidR="007537A8">
          <w:rPr>
            <w:noProof/>
            <w:webHidden/>
          </w:rPr>
          <w:instrText xml:space="preserve"> PAGEREF _Toc22132998 \h </w:instrText>
        </w:r>
        <w:r w:rsidR="007537A8">
          <w:rPr>
            <w:noProof/>
            <w:webHidden/>
          </w:rPr>
        </w:r>
        <w:r w:rsidR="007537A8">
          <w:rPr>
            <w:noProof/>
            <w:webHidden/>
          </w:rPr>
          <w:fldChar w:fldCharType="separate"/>
        </w:r>
        <w:r w:rsidR="007537A8">
          <w:rPr>
            <w:noProof/>
            <w:webHidden/>
          </w:rPr>
          <w:t>36</w:t>
        </w:r>
        <w:r w:rsidR="007537A8">
          <w:rPr>
            <w:noProof/>
            <w:webHidden/>
          </w:rPr>
          <w:fldChar w:fldCharType="end"/>
        </w:r>
      </w:hyperlink>
    </w:p>
    <w:p w14:paraId="24650FAC" w14:textId="239C407D" w:rsidR="007537A8" w:rsidRDefault="00091FED">
      <w:pPr>
        <w:pStyle w:val="Verzeichnis5"/>
        <w:tabs>
          <w:tab w:val="right" w:leader="dot" w:pos="7361"/>
        </w:tabs>
        <w:rPr>
          <w:rFonts w:eastAsiaTheme="minorEastAsia"/>
          <w:noProof/>
          <w:sz w:val="22"/>
          <w:szCs w:val="22"/>
          <w:lang w:eastAsia="de-DE"/>
        </w:rPr>
      </w:pPr>
      <w:hyperlink w:anchor="_Toc22132999" w:history="1">
        <w:r w:rsidR="007537A8" w:rsidRPr="00B23150">
          <w:rPr>
            <w:rStyle w:val="Hyperlink"/>
            <w:noProof/>
          </w:rPr>
          <w:t>I. Rechtswidrigkeit der Baugenehmigung</w:t>
        </w:r>
        <w:r w:rsidR="007537A8">
          <w:rPr>
            <w:noProof/>
            <w:webHidden/>
          </w:rPr>
          <w:tab/>
        </w:r>
        <w:r w:rsidR="007537A8">
          <w:rPr>
            <w:noProof/>
            <w:webHidden/>
          </w:rPr>
          <w:fldChar w:fldCharType="begin"/>
        </w:r>
        <w:r w:rsidR="007537A8">
          <w:rPr>
            <w:noProof/>
            <w:webHidden/>
          </w:rPr>
          <w:instrText xml:space="preserve"> PAGEREF _Toc22132999 \h </w:instrText>
        </w:r>
        <w:r w:rsidR="007537A8">
          <w:rPr>
            <w:noProof/>
            <w:webHidden/>
          </w:rPr>
        </w:r>
        <w:r w:rsidR="007537A8">
          <w:rPr>
            <w:noProof/>
            <w:webHidden/>
          </w:rPr>
          <w:fldChar w:fldCharType="separate"/>
        </w:r>
        <w:r w:rsidR="007537A8">
          <w:rPr>
            <w:noProof/>
            <w:webHidden/>
          </w:rPr>
          <w:t>36</w:t>
        </w:r>
        <w:r w:rsidR="007537A8">
          <w:rPr>
            <w:noProof/>
            <w:webHidden/>
          </w:rPr>
          <w:fldChar w:fldCharType="end"/>
        </w:r>
      </w:hyperlink>
    </w:p>
    <w:p w14:paraId="541701CA" w14:textId="727D26F5" w:rsidR="007537A8" w:rsidRDefault="00091FED">
      <w:pPr>
        <w:pStyle w:val="Verzeichnis6"/>
        <w:tabs>
          <w:tab w:val="right" w:leader="dot" w:pos="7361"/>
        </w:tabs>
        <w:rPr>
          <w:noProof/>
          <w:sz w:val="22"/>
          <w:szCs w:val="22"/>
          <w:lang w:eastAsia="de-DE"/>
        </w:rPr>
      </w:pPr>
      <w:hyperlink w:anchor="_Toc22133000" w:history="1">
        <w:r w:rsidR="007537A8" w:rsidRPr="00B23150">
          <w:rPr>
            <w:rStyle w:val="Hyperlink"/>
            <w:noProof/>
          </w:rPr>
          <w:t>1. Ermächtigungsgrundlage</w:t>
        </w:r>
        <w:r w:rsidR="007537A8">
          <w:rPr>
            <w:noProof/>
            <w:webHidden/>
          </w:rPr>
          <w:tab/>
        </w:r>
        <w:r w:rsidR="007537A8">
          <w:rPr>
            <w:noProof/>
            <w:webHidden/>
          </w:rPr>
          <w:fldChar w:fldCharType="begin"/>
        </w:r>
        <w:r w:rsidR="007537A8">
          <w:rPr>
            <w:noProof/>
            <w:webHidden/>
          </w:rPr>
          <w:instrText xml:space="preserve"> PAGEREF _Toc22133000 \h </w:instrText>
        </w:r>
        <w:r w:rsidR="007537A8">
          <w:rPr>
            <w:noProof/>
            <w:webHidden/>
          </w:rPr>
        </w:r>
        <w:r w:rsidR="007537A8">
          <w:rPr>
            <w:noProof/>
            <w:webHidden/>
          </w:rPr>
          <w:fldChar w:fldCharType="separate"/>
        </w:r>
        <w:r w:rsidR="007537A8">
          <w:rPr>
            <w:noProof/>
            <w:webHidden/>
          </w:rPr>
          <w:t>36</w:t>
        </w:r>
        <w:r w:rsidR="007537A8">
          <w:rPr>
            <w:noProof/>
            <w:webHidden/>
          </w:rPr>
          <w:fldChar w:fldCharType="end"/>
        </w:r>
      </w:hyperlink>
    </w:p>
    <w:p w14:paraId="11AC8717" w14:textId="6CF9D8FD" w:rsidR="007537A8" w:rsidRDefault="00091FED">
      <w:pPr>
        <w:pStyle w:val="Verzeichnis6"/>
        <w:tabs>
          <w:tab w:val="right" w:leader="dot" w:pos="7361"/>
        </w:tabs>
        <w:rPr>
          <w:noProof/>
          <w:sz w:val="22"/>
          <w:szCs w:val="22"/>
          <w:lang w:eastAsia="de-DE"/>
        </w:rPr>
      </w:pPr>
      <w:hyperlink w:anchor="_Toc22133001" w:history="1">
        <w:r w:rsidR="007537A8" w:rsidRPr="00B23150">
          <w:rPr>
            <w:rStyle w:val="Hyperlink"/>
            <w:noProof/>
          </w:rPr>
          <w:t>2. Formelle Rechtmäßigkeit</w:t>
        </w:r>
        <w:r w:rsidR="007537A8">
          <w:rPr>
            <w:noProof/>
            <w:webHidden/>
          </w:rPr>
          <w:tab/>
        </w:r>
        <w:r w:rsidR="007537A8">
          <w:rPr>
            <w:noProof/>
            <w:webHidden/>
          </w:rPr>
          <w:fldChar w:fldCharType="begin"/>
        </w:r>
        <w:r w:rsidR="007537A8">
          <w:rPr>
            <w:noProof/>
            <w:webHidden/>
          </w:rPr>
          <w:instrText xml:space="preserve"> PAGEREF _Toc22133001 \h </w:instrText>
        </w:r>
        <w:r w:rsidR="007537A8">
          <w:rPr>
            <w:noProof/>
            <w:webHidden/>
          </w:rPr>
        </w:r>
        <w:r w:rsidR="007537A8">
          <w:rPr>
            <w:noProof/>
            <w:webHidden/>
          </w:rPr>
          <w:fldChar w:fldCharType="separate"/>
        </w:r>
        <w:r w:rsidR="007537A8">
          <w:rPr>
            <w:noProof/>
            <w:webHidden/>
          </w:rPr>
          <w:t>36</w:t>
        </w:r>
        <w:r w:rsidR="007537A8">
          <w:rPr>
            <w:noProof/>
            <w:webHidden/>
          </w:rPr>
          <w:fldChar w:fldCharType="end"/>
        </w:r>
      </w:hyperlink>
    </w:p>
    <w:p w14:paraId="22C735A1" w14:textId="2126A176" w:rsidR="007537A8" w:rsidRDefault="00091FED">
      <w:pPr>
        <w:pStyle w:val="Verzeichnis6"/>
        <w:tabs>
          <w:tab w:val="right" w:leader="dot" w:pos="7361"/>
        </w:tabs>
        <w:rPr>
          <w:noProof/>
          <w:sz w:val="22"/>
          <w:szCs w:val="22"/>
          <w:lang w:eastAsia="de-DE"/>
        </w:rPr>
      </w:pPr>
      <w:hyperlink w:anchor="_Toc22133002" w:history="1">
        <w:r w:rsidR="007537A8" w:rsidRPr="00B23150">
          <w:rPr>
            <w:rStyle w:val="Hyperlink"/>
            <w:noProof/>
          </w:rPr>
          <w:t>3. Materielle Rechtmäßigkeit</w:t>
        </w:r>
        <w:r w:rsidR="007537A8">
          <w:rPr>
            <w:noProof/>
            <w:webHidden/>
          </w:rPr>
          <w:tab/>
        </w:r>
        <w:r w:rsidR="007537A8">
          <w:rPr>
            <w:noProof/>
            <w:webHidden/>
          </w:rPr>
          <w:fldChar w:fldCharType="begin"/>
        </w:r>
        <w:r w:rsidR="007537A8">
          <w:rPr>
            <w:noProof/>
            <w:webHidden/>
          </w:rPr>
          <w:instrText xml:space="preserve"> PAGEREF _Toc22133002 \h </w:instrText>
        </w:r>
        <w:r w:rsidR="007537A8">
          <w:rPr>
            <w:noProof/>
            <w:webHidden/>
          </w:rPr>
        </w:r>
        <w:r w:rsidR="007537A8">
          <w:rPr>
            <w:noProof/>
            <w:webHidden/>
          </w:rPr>
          <w:fldChar w:fldCharType="separate"/>
        </w:r>
        <w:r w:rsidR="007537A8">
          <w:rPr>
            <w:noProof/>
            <w:webHidden/>
          </w:rPr>
          <w:t>36</w:t>
        </w:r>
        <w:r w:rsidR="007537A8">
          <w:rPr>
            <w:noProof/>
            <w:webHidden/>
          </w:rPr>
          <w:fldChar w:fldCharType="end"/>
        </w:r>
      </w:hyperlink>
    </w:p>
    <w:p w14:paraId="4F6124C6" w14:textId="018E6261" w:rsidR="007537A8" w:rsidRDefault="00091FED">
      <w:pPr>
        <w:pStyle w:val="Verzeichnis7"/>
        <w:tabs>
          <w:tab w:val="right" w:leader="dot" w:pos="7361"/>
        </w:tabs>
        <w:rPr>
          <w:noProof/>
          <w:sz w:val="22"/>
          <w:szCs w:val="22"/>
          <w:lang w:eastAsia="de-DE"/>
        </w:rPr>
      </w:pPr>
      <w:hyperlink w:anchor="_Toc22133003" w:history="1">
        <w:r w:rsidR="007537A8" w:rsidRPr="00B23150">
          <w:rPr>
            <w:rStyle w:val="Hyperlink"/>
            <w:noProof/>
          </w:rPr>
          <w:t>a) Anwendbarkeit der §§ 30 ff. BauGB</w:t>
        </w:r>
        <w:r w:rsidR="007537A8">
          <w:rPr>
            <w:noProof/>
            <w:webHidden/>
          </w:rPr>
          <w:tab/>
        </w:r>
        <w:r w:rsidR="007537A8">
          <w:rPr>
            <w:noProof/>
            <w:webHidden/>
          </w:rPr>
          <w:fldChar w:fldCharType="begin"/>
        </w:r>
        <w:r w:rsidR="007537A8">
          <w:rPr>
            <w:noProof/>
            <w:webHidden/>
          </w:rPr>
          <w:instrText xml:space="preserve"> PAGEREF _Toc22133003 \h </w:instrText>
        </w:r>
        <w:r w:rsidR="007537A8">
          <w:rPr>
            <w:noProof/>
            <w:webHidden/>
          </w:rPr>
        </w:r>
        <w:r w:rsidR="007537A8">
          <w:rPr>
            <w:noProof/>
            <w:webHidden/>
          </w:rPr>
          <w:fldChar w:fldCharType="separate"/>
        </w:r>
        <w:r w:rsidR="007537A8">
          <w:rPr>
            <w:noProof/>
            <w:webHidden/>
          </w:rPr>
          <w:t>36</w:t>
        </w:r>
        <w:r w:rsidR="007537A8">
          <w:rPr>
            <w:noProof/>
            <w:webHidden/>
          </w:rPr>
          <w:fldChar w:fldCharType="end"/>
        </w:r>
      </w:hyperlink>
    </w:p>
    <w:p w14:paraId="5CCC9E1D" w14:textId="645FC9FC" w:rsidR="007537A8" w:rsidRDefault="00091FED">
      <w:pPr>
        <w:pStyle w:val="Verzeichnis7"/>
        <w:tabs>
          <w:tab w:val="right" w:leader="dot" w:pos="7361"/>
        </w:tabs>
        <w:rPr>
          <w:noProof/>
          <w:sz w:val="22"/>
          <w:szCs w:val="22"/>
          <w:lang w:eastAsia="de-DE"/>
        </w:rPr>
      </w:pPr>
      <w:hyperlink w:anchor="_Toc22133004" w:history="1">
        <w:r w:rsidR="007537A8" w:rsidRPr="00B23150">
          <w:rPr>
            <w:rStyle w:val="Hyperlink"/>
            <w:noProof/>
          </w:rPr>
          <w:t>b) Zulässigkeit des Vorhabens nach § 30 BauGB</w:t>
        </w:r>
        <w:r w:rsidR="007537A8">
          <w:rPr>
            <w:noProof/>
            <w:webHidden/>
          </w:rPr>
          <w:tab/>
        </w:r>
        <w:r w:rsidR="007537A8">
          <w:rPr>
            <w:noProof/>
            <w:webHidden/>
          </w:rPr>
          <w:fldChar w:fldCharType="begin"/>
        </w:r>
        <w:r w:rsidR="007537A8">
          <w:rPr>
            <w:noProof/>
            <w:webHidden/>
          </w:rPr>
          <w:instrText xml:space="preserve"> PAGEREF _Toc22133004 \h </w:instrText>
        </w:r>
        <w:r w:rsidR="007537A8">
          <w:rPr>
            <w:noProof/>
            <w:webHidden/>
          </w:rPr>
        </w:r>
        <w:r w:rsidR="007537A8">
          <w:rPr>
            <w:noProof/>
            <w:webHidden/>
          </w:rPr>
          <w:fldChar w:fldCharType="separate"/>
        </w:r>
        <w:r w:rsidR="007537A8">
          <w:rPr>
            <w:noProof/>
            <w:webHidden/>
          </w:rPr>
          <w:t>36</w:t>
        </w:r>
        <w:r w:rsidR="007537A8">
          <w:rPr>
            <w:noProof/>
            <w:webHidden/>
          </w:rPr>
          <w:fldChar w:fldCharType="end"/>
        </w:r>
      </w:hyperlink>
    </w:p>
    <w:p w14:paraId="30DAA4BD" w14:textId="2115C747" w:rsidR="007537A8" w:rsidRDefault="00091FED">
      <w:pPr>
        <w:pStyle w:val="Verzeichnis7"/>
        <w:tabs>
          <w:tab w:val="right" w:leader="dot" w:pos="7361"/>
        </w:tabs>
        <w:rPr>
          <w:noProof/>
          <w:sz w:val="22"/>
          <w:szCs w:val="22"/>
          <w:lang w:eastAsia="de-DE"/>
        </w:rPr>
      </w:pPr>
      <w:hyperlink w:anchor="_Toc22133005" w:history="1">
        <w:r w:rsidR="007537A8" w:rsidRPr="00B23150">
          <w:rPr>
            <w:rStyle w:val="Hyperlink"/>
            <w:noProof/>
          </w:rPr>
          <w:t>c) Zulässigkeit des Vorhabens nach § 35 BauGB</w:t>
        </w:r>
        <w:r w:rsidR="007537A8">
          <w:rPr>
            <w:noProof/>
            <w:webHidden/>
          </w:rPr>
          <w:tab/>
        </w:r>
        <w:r w:rsidR="007537A8">
          <w:rPr>
            <w:noProof/>
            <w:webHidden/>
          </w:rPr>
          <w:fldChar w:fldCharType="begin"/>
        </w:r>
        <w:r w:rsidR="007537A8">
          <w:rPr>
            <w:noProof/>
            <w:webHidden/>
          </w:rPr>
          <w:instrText xml:space="preserve"> PAGEREF _Toc22133005 \h </w:instrText>
        </w:r>
        <w:r w:rsidR="007537A8">
          <w:rPr>
            <w:noProof/>
            <w:webHidden/>
          </w:rPr>
        </w:r>
        <w:r w:rsidR="007537A8">
          <w:rPr>
            <w:noProof/>
            <w:webHidden/>
          </w:rPr>
          <w:fldChar w:fldCharType="separate"/>
        </w:r>
        <w:r w:rsidR="007537A8">
          <w:rPr>
            <w:noProof/>
            <w:webHidden/>
          </w:rPr>
          <w:t>36</w:t>
        </w:r>
        <w:r w:rsidR="007537A8">
          <w:rPr>
            <w:noProof/>
            <w:webHidden/>
          </w:rPr>
          <w:fldChar w:fldCharType="end"/>
        </w:r>
      </w:hyperlink>
    </w:p>
    <w:p w14:paraId="4EEEB735" w14:textId="35C8FAD5" w:rsidR="007537A8" w:rsidRDefault="00091FED">
      <w:pPr>
        <w:pStyle w:val="Verzeichnis8"/>
        <w:tabs>
          <w:tab w:val="right" w:leader="dot" w:pos="7361"/>
        </w:tabs>
        <w:rPr>
          <w:noProof/>
          <w:sz w:val="22"/>
          <w:szCs w:val="22"/>
          <w:lang w:eastAsia="de-DE"/>
        </w:rPr>
      </w:pPr>
      <w:hyperlink w:anchor="_Toc22133006" w:history="1">
        <w:r w:rsidR="007537A8" w:rsidRPr="00B23150">
          <w:rPr>
            <w:rStyle w:val="Hyperlink"/>
            <w:noProof/>
          </w:rPr>
          <w:t>aa) Privilegiertes Vorhaben nach § 35 I Nr. 5 BauGB</w:t>
        </w:r>
        <w:r w:rsidR="007537A8">
          <w:rPr>
            <w:noProof/>
            <w:webHidden/>
          </w:rPr>
          <w:tab/>
        </w:r>
        <w:r w:rsidR="007537A8">
          <w:rPr>
            <w:noProof/>
            <w:webHidden/>
          </w:rPr>
          <w:fldChar w:fldCharType="begin"/>
        </w:r>
        <w:r w:rsidR="007537A8">
          <w:rPr>
            <w:noProof/>
            <w:webHidden/>
          </w:rPr>
          <w:instrText xml:space="preserve"> PAGEREF _Toc22133006 \h </w:instrText>
        </w:r>
        <w:r w:rsidR="007537A8">
          <w:rPr>
            <w:noProof/>
            <w:webHidden/>
          </w:rPr>
        </w:r>
        <w:r w:rsidR="007537A8">
          <w:rPr>
            <w:noProof/>
            <w:webHidden/>
          </w:rPr>
          <w:fldChar w:fldCharType="separate"/>
        </w:r>
        <w:r w:rsidR="007537A8">
          <w:rPr>
            <w:noProof/>
            <w:webHidden/>
          </w:rPr>
          <w:t>36</w:t>
        </w:r>
        <w:r w:rsidR="007537A8">
          <w:rPr>
            <w:noProof/>
            <w:webHidden/>
          </w:rPr>
          <w:fldChar w:fldCharType="end"/>
        </w:r>
      </w:hyperlink>
    </w:p>
    <w:p w14:paraId="36F75036" w14:textId="0284A061" w:rsidR="007537A8" w:rsidRDefault="00091FED">
      <w:pPr>
        <w:pStyle w:val="Verzeichnis8"/>
        <w:tabs>
          <w:tab w:val="right" w:leader="dot" w:pos="7361"/>
        </w:tabs>
        <w:rPr>
          <w:noProof/>
          <w:sz w:val="22"/>
          <w:szCs w:val="22"/>
          <w:lang w:eastAsia="de-DE"/>
        </w:rPr>
      </w:pPr>
      <w:hyperlink w:anchor="_Toc22133007" w:history="1">
        <w:r w:rsidR="007537A8" w:rsidRPr="00B23150">
          <w:rPr>
            <w:rStyle w:val="Hyperlink"/>
            <w:noProof/>
          </w:rPr>
          <w:t>bb) Kein entgegenstehender öffentlicher Belang</w:t>
        </w:r>
        <w:r w:rsidR="007537A8">
          <w:rPr>
            <w:noProof/>
            <w:webHidden/>
          </w:rPr>
          <w:tab/>
        </w:r>
        <w:r w:rsidR="007537A8">
          <w:rPr>
            <w:noProof/>
            <w:webHidden/>
          </w:rPr>
          <w:fldChar w:fldCharType="begin"/>
        </w:r>
        <w:r w:rsidR="007537A8">
          <w:rPr>
            <w:noProof/>
            <w:webHidden/>
          </w:rPr>
          <w:instrText xml:space="preserve"> PAGEREF _Toc22133007 \h </w:instrText>
        </w:r>
        <w:r w:rsidR="007537A8">
          <w:rPr>
            <w:noProof/>
            <w:webHidden/>
          </w:rPr>
        </w:r>
        <w:r w:rsidR="007537A8">
          <w:rPr>
            <w:noProof/>
            <w:webHidden/>
          </w:rPr>
          <w:fldChar w:fldCharType="separate"/>
        </w:r>
        <w:r w:rsidR="007537A8">
          <w:rPr>
            <w:noProof/>
            <w:webHidden/>
          </w:rPr>
          <w:t>37</w:t>
        </w:r>
        <w:r w:rsidR="007537A8">
          <w:rPr>
            <w:noProof/>
            <w:webHidden/>
          </w:rPr>
          <w:fldChar w:fldCharType="end"/>
        </w:r>
      </w:hyperlink>
    </w:p>
    <w:p w14:paraId="48CCE6EE" w14:textId="33ECADBD" w:rsidR="007537A8" w:rsidRDefault="00091FED">
      <w:pPr>
        <w:pStyle w:val="Verzeichnis5"/>
        <w:tabs>
          <w:tab w:val="right" w:leader="dot" w:pos="7361"/>
        </w:tabs>
        <w:rPr>
          <w:rFonts w:eastAsiaTheme="minorEastAsia"/>
          <w:noProof/>
          <w:sz w:val="22"/>
          <w:szCs w:val="22"/>
          <w:lang w:eastAsia="de-DE"/>
        </w:rPr>
      </w:pPr>
      <w:hyperlink w:anchor="_Toc22133008" w:history="1">
        <w:r w:rsidR="007537A8" w:rsidRPr="00B23150">
          <w:rPr>
            <w:rStyle w:val="Hyperlink"/>
            <w:noProof/>
          </w:rPr>
          <w:t>II. Rechtsverletzung</w:t>
        </w:r>
        <w:r w:rsidR="007537A8">
          <w:rPr>
            <w:noProof/>
            <w:webHidden/>
          </w:rPr>
          <w:tab/>
        </w:r>
        <w:r w:rsidR="007537A8">
          <w:rPr>
            <w:noProof/>
            <w:webHidden/>
          </w:rPr>
          <w:fldChar w:fldCharType="begin"/>
        </w:r>
        <w:r w:rsidR="007537A8">
          <w:rPr>
            <w:noProof/>
            <w:webHidden/>
          </w:rPr>
          <w:instrText xml:space="preserve"> PAGEREF _Toc22133008 \h </w:instrText>
        </w:r>
        <w:r w:rsidR="007537A8">
          <w:rPr>
            <w:noProof/>
            <w:webHidden/>
          </w:rPr>
        </w:r>
        <w:r w:rsidR="007537A8">
          <w:rPr>
            <w:noProof/>
            <w:webHidden/>
          </w:rPr>
          <w:fldChar w:fldCharType="separate"/>
        </w:r>
        <w:r w:rsidR="007537A8">
          <w:rPr>
            <w:noProof/>
            <w:webHidden/>
          </w:rPr>
          <w:t>38</w:t>
        </w:r>
        <w:r w:rsidR="007537A8">
          <w:rPr>
            <w:noProof/>
            <w:webHidden/>
          </w:rPr>
          <w:fldChar w:fldCharType="end"/>
        </w:r>
      </w:hyperlink>
    </w:p>
    <w:p w14:paraId="77C424F4" w14:textId="187D3F3F" w:rsidR="007537A8" w:rsidRDefault="00091FED">
      <w:pPr>
        <w:pStyle w:val="Verzeichnis4"/>
        <w:tabs>
          <w:tab w:val="right" w:leader="dot" w:pos="7361"/>
        </w:tabs>
        <w:rPr>
          <w:rFonts w:eastAsiaTheme="minorEastAsia"/>
          <w:noProof/>
          <w:sz w:val="22"/>
          <w:szCs w:val="22"/>
          <w:lang w:eastAsia="de-DE"/>
        </w:rPr>
      </w:pPr>
      <w:hyperlink w:anchor="_Toc22133009" w:history="1">
        <w:r w:rsidR="007537A8" w:rsidRPr="00B23150">
          <w:rPr>
            <w:rStyle w:val="Hyperlink"/>
            <w:noProof/>
          </w:rPr>
          <w:t>D. Ergebnis</w:t>
        </w:r>
        <w:r w:rsidR="007537A8">
          <w:rPr>
            <w:noProof/>
            <w:webHidden/>
          </w:rPr>
          <w:tab/>
        </w:r>
        <w:r w:rsidR="007537A8">
          <w:rPr>
            <w:noProof/>
            <w:webHidden/>
          </w:rPr>
          <w:fldChar w:fldCharType="begin"/>
        </w:r>
        <w:r w:rsidR="007537A8">
          <w:rPr>
            <w:noProof/>
            <w:webHidden/>
          </w:rPr>
          <w:instrText xml:space="preserve"> PAGEREF _Toc22133009 \h </w:instrText>
        </w:r>
        <w:r w:rsidR="007537A8">
          <w:rPr>
            <w:noProof/>
            <w:webHidden/>
          </w:rPr>
        </w:r>
        <w:r w:rsidR="007537A8">
          <w:rPr>
            <w:noProof/>
            <w:webHidden/>
          </w:rPr>
          <w:fldChar w:fldCharType="separate"/>
        </w:r>
        <w:r w:rsidR="007537A8">
          <w:rPr>
            <w:noProof/>
            <w:webHidden/>
          </w:rPr>
          <w:t>39</w:t>
        </w:r>
        <w:r w:rsidR="007537A8">
          <w:rPr>
            <w:noProof/>
            <w:webHidden/>
          </w:rPr>
          <w:fldChar w:fldCharType="end"/>
        </w:r>
      </w:hyperlink>
    </w:p>
    <w:p w14:paraId="338C4E57" w14:textId="3ACAA571" w:rsidR="0001383E" w:rsidRDefault="00CA43AE" w:rsidP="00261442">
      <w:pPr>
        <w:rPr>
          <w:b/>
        </w:rPr>
      </w:pPr>
      <w:r>
        <w:rPr>
          <w:rFonts w:eastAsiaTheme="majorEastAsia"/>
        </w:rPr>
        <w:fldChar w:fldCharType="end"/>
      </w:r>
      <w:r w:rsidR="0001383E">
        <w:rPr>
          <w:b/>
        </w:rPr>
        <w:br w:type="page"/>
      </w:r>
    </w:p>
    <w:p w14:paraId="31959089" w14:textId="3B291EB8" w:rsidR="00817B65" w:rsidRDefault="00817B65" w:rsidP="0001383E">
      <w:pPr>
        <w:pStyle w:val="berschrift3"/>
      </w:pPr>
      <w:bookmarkStart w:id="108" w:name="_Toc22132984"/>
      <w:bookmarkStart w:id="109" w:name="Fall3"/>
      <w:r w:rsidRPr="00817B65">
        <w:lastRenderedPageBreak/>
        <w:t>Lösungsvorschlag</w:t>
      </w:r>
      <w:bookmarkEnd w:id="108"/>
    </w:p>
    <w:p w14:paraId="31ADF853" w14:textId="77777777" w:rsidR="00817B65" w:rsidRPr="00817B65" w:rsidRDefault="00817B65" w:rsidP="00817B65">
      <w:pPr>
        <w:pStyle w:val="Randnummer"/>
        <w:framePr w:wrap="around"/>
      </w:pPr>
    </w:p>
    <w:p w14:paraId="51D69BCE" w14:textId="77777777" w:rsidR="00817B65" w:rsidRPr="00817B65" w:rsidRDefault="00817B65" w:rsidP="00817B65">
      <w:r w:rsidRPr="00817B65">
        <w:t xml:space="preserve">Die Klage hat Aussicht auf Erfolg, soweit sie zulässig und begründet ist. </w:t>
      </w:r>
    </w:p>
    <w:p w14:paraId="4DDFCE2D" w14:textId="77777777" w:rsidR="00817B65" w:rsidRDefault="00817B65" w:rsidP="00CA43AE">
      <w:pPr>
        <w:pStyle w:val="berschrift4"/>
      </w:pPr>
      <w:bookmarkStart w:id="110" w:name="_Toc22132985"/>
      <w:r w:rsidRPr="00817B65">
        <w:t>A. Zulässigkeit der Klage</w:t>
      </w:r>
      <w:bookmarkEnd w:id="110"/>
      <w:r w:rsidRPr="00817B65">
        <w:t xml:space="preserve"> </w:t>
      </w:r>
    </w:p>
    <w:p w14:paraId="7A1C4B0F" w14:textId="77777777" w:rsidR="00817B65" w:rsidRPr="00817B65" w:rsidRDefault="00817B65" w:rsidP="00817B65">
      <w:pPr>
        <w:pStyle w:val="Randnummer"/>
        <w:framePr w:wrap="around"/>
      </w:pPr>
    </w:p>
    <w:p w14:paraId="1DF568A5" w14:textId="77777777" w:rsidR="00817B65" w:rsidRPr="00817B65" w:rsidRDefault="00817B65" w:rsidP="00817B65">
      <w:r w:rsidRPr="00817B65">
        <w:t xml:space="preserve">Die Klage müsste vor dem Verwaltungsgericht zulässig sein. </w:t>
      </w:r>
    </w:p>
    <w:p w14:paraId="5356E4A7" w14:textId="77777777" w:rsidR="00817B65" w:rsidRDefault="00817B65" w:rsidP="00CA43AE">
      <w:pPr>
        <w:pStyle w:val="berschrift5"/>
      </w:pPr>
      <w:bookmarkStart w:id="111" w:name="_Toc22132986"/>
      <w:r w:rsidRPr="00817B65">
        <w:t>I. Eröffnung des Verwaltungsrechtswegs</w:t>
      </w:r>
      <w:bookmarkEnd w:id="111"/>
    </w:p>
    <w:p w14:paraId="2A788685" w14:textId="77777777" w:rsidR="00817B65" w:rsidRPr="00817B65" w:rsidRDefault="00817B65" w:rsidP="00817B65">
      <w:pPr>
        <w:pStyle w:val="Randnummer"/>
        <w:framePr w:wrap="around"/>
      </w:pPr>
    </w:p>
    <w:p w14:paraId="478EB388" w14:textId="77777777" w:rsidR="00817B65" w:rsidRPr="00817B65" w:rsidRDefault="00817B65" w:rsidP="00817B65">
      <w:r w:rsidRPr="00817B65">
        <w:t>Zunächst müsste der Verwaltungsrechtsweg eröffnet sein. Mangels aufdrängender Sonderzuweisung richtet sich die Eröffnung des Verwaltungsrechtswegs nach der Generalsklausel des § 40 I 1 VwGO. Hierzu bedarf es einer öffentlich-rechtlichen Streitigkeit nicht-verfassungsrechtlicher Art sowie keiner abdrängenden Sonderzuweisung.</w:t>
      </w:r>
    </w:p>
    <w:p w14:paraId="488A5294" w14:textId="77777777" w:rsidR="00817B65" w:rsidRPr="00817B65" w:rsidRDefault="00817B65" w:rsidP="00817B65">
      <w:r w:rsidRPr="00817B65">
        <w:t>Zunächst müsste eine öffentlich-rechtliche Streitigkeit vorliegen. Eine Streitigkeit ist öffentlich-rechtlich, wenn die streitentscheidende Norm eine solche des öffentlichen Rechts ist.</w:t>
      </w:r>
      <w:r w:rsidRPr="00817B65">
        <w:rPr>
          <w:vertAlign w:val="superscript"/>
        </w:rPr>
        <w:footnoteReference w:id="61"/>
      </w:r>
      <w:r w:rsidRPr="00817B65">
        <w:t xml:space="preserve"> Die streitentscheidenden Normen, vorliegend insbesondere § 75 BauO NRW, entstammen dem öffentlichen Baurecht. Diese ermächtigen und verpflichten ausschließlich die zuständige Behörde als Träger hoheitlicher Gewalt zur Erteilung bzw. Versagung der begehrten Baugenehmigung. Nach der sog. modifizierten Subjektstheorie</w:t>
      </w:r>
      <w:r w:rsidRPr="00817B65">
        <w:rPr>
          <w:vertAlign w:val="superscript"/>
        </w:rPr>
        <w:footnoteReference w:id="62"/>
      </w:r>
      <w:r w:rsidRPr="00817B65">
        <w:t xml:space="preserve"> handelt es sich somit um eine öffentlich-rechtliche Norm. </w:t>
      </w:r>
    </w:p>
    <w:p w14:paraId="7D8EE05D" w14:textId="77777777" w:rsidR="00817B65" w:rsidRPr="00817B65" w:rsidRDefault="00817B65" w:rsidP="00817B65">
      <w:r w:rsidRPr="00817B65">
        <w:t xml:space="preserve">Mangels doppelter Verfassungsunmittelbarkeit ist die Streitigkeit nichtverfassungsrechtlicher Art. Eine abdrängende Sonderzuweisung liegt nicht vor. </w:t>
      </w:r>
    </w:p>
    <w:p w14:paraId="6D423F80" w14:textId="77777777" w:rsidR="00817B65" w:rsidRPr="00817B65" w:rsidRDefault="00817B65" w:rsidP="00817B65">
      <w:r w:rsidRPr="00817B65">
        <w:t>Der Verwaltungsrechtsweg ist nach § 40 I 1 VwGO eröffnet.</w:t>
      </w:r>
    </w:p>
    <w:p w14:paraId="6E360384" w14:textId="77777777" w:rsidR="00817B65" w:rsidRDefault="00817B65" w:rsidP="00CA43AE">
      <w:pPr>
        <w:pStyle w:val="berschrift5"/>
      </w:pPr>
      <w:bookmarkStart w:id="112" w:name="_Toc22132987"/>
      <w:r w:rsidRPr="00817B65">
        <w:t>II. Statthafte Klageart</w:t>
      </w:r>
      <w:bookmarkEnd w:id="112"/>
    </w:p>
    <w:p w14:paraId="6CCD70C2" w14:textId="77777777" w:rsidR="00817B65" w:rsidRPr="00817B65" w:rsidRDefault="00817B65" w:rsidP="00817B65">
      <w:pPr>
        <w:pStyle w:val="Randnummer"/>
        <w:framePr w:wrap="around"/>
      </w:pPr>
    </w:p>
    <w:p w14:paraId="2931D0B2" w14:textId="38C1D7EE" w:rsidR="00817B65" w:rsidRPr="00817B65" w:rsidRDefault="00817B65" w:rsidP="00817B65">
      <w:r w:rsidRPr="00817B65">
        <w:t xml:space="preserve">Fraglich ist sodann, welche Klage für das Klagebegehren des Klägers statthaft ist, </w:t>
      </w:r>
      <w:r w:rsidR="003C7CAE">
        <w:t xml:space="preserve">vgl. </w:t>
      </w:r>
      <w:r w:rsidRPr="00817B65">
        <w:t xml:space="preserve">§ 88 VwGO. B begehrt vorliegend die Kassation der R erteilten Baugenehmigung, also eines Verwaltungsakts i.S.d. § 35 </w:t>
      </w:r>
      <w:r w:rsidR="00E91AF0">
        <w:t>1</w:t>
      </w:r>
      <w:r w:rsidRPr="00817B65">
        <w:t xml:space="preserve"> VwVfG. In Betracht kommt daher eine (Dritt-) Anfechtungsklage nach § 42 I 1. Alt VwGO. </w:t>
      </w:r>
    </w:p>
    <w:p w14:paraId="23853620" w14:textId="77777777" w:rsidR="00817B65" w:rsidRDefault="00817B65" w:rsidP="00CA43AE">
      <w:pPr>
        <w:pStyle w:val="berschrift5"/>
      </w:pPr>
      <w:bookmarkStart w:id="113" w:name="_Toc22132988"/>
      <w:r w:rsidRPr="00817B65">
        <w:t>III. Klagebefugnis</w:t>
      </w:r>
      <w:bookmarkEnd w:id="113"/>
      <w:r w:rsidRPr="00817B65">
        <w:t xml:space="preserve"> </w:t>
      </w:r>
    </w:p>
    <w:p w14:paraId="206BB784" w14:textId="77777777" w:rsidR="00817B65" w:rsidRPr="00817B65" w:rsidRDefault="00817B65" w:rsidP="00817B65">
      <w:pPr>
        <w:pStyle w:val="Randnummer"/>
        <w:framePr w:wrap="around"/>
      </w:pPr>
    </w:p>
    <w:p w14:paraId="487A342E" w14:textId="54E696FE" w:rsidR="00817B65" w:rsidRPr="00817B65" w:rsidRDefault="00817B65" w:rsidP="00817B65">
      <w:r w:rsidRPr="00817B65">
        <w:t>Weiterhin müsste B auch klagebefugt sein. Dies ist bei einer Anfechtungsklage nach § 42 II VwGO der Fall, wenn er geltend machen kann, durch den Verwaltungsakt in seinen Rechten verletzt zu sein. Diesbezüglich genügt es, wenn die Möglichkeit der Verletzung in eigenen Rechten durch den Verwaltungsakt besteht.</w:t>
      </w:r>
      <w:r w:rsidRPr="00817B65">
        <w:rPr>
          <w:vertAlign w:val="superscript"/>
        </w:rPr>
        <w:footnoteReference w:id="63"/>
      </w:r>
      <w:r w:rsidRPr="00817B65">
        <w:t xml:space="preserve"> Allerdings wurde die Baugenehmigung nicht dem B persönlich, sondern der R GmbH erteilt. Die Adressatentheorie ist in diesem Fall unanwendbar. Es ist vielmehr mittels der Schutznormtheorie zu untersuchen, ob durch die der R GmbH erteilte Genehmigung eine Verletzung gerade dem Schutz des B dienender Rechtspositionen möglich erscheint. B könnte allerdings als Eigentümer des an den </w:t>
      </w:r>
      <w:r w:rsidRPr="00817B65">
        <w:lastRenderedPageBreak/>
        <w:t>geplanten Windpark angrenzenden Grundstücks in einem auch ihn schützenden Recht betroffen sein. Das setzt wiederum voraus, dass er geltend machen kann</w:t>
      </w:r>
      <w:r w:rsidR="003C7CAE">
        <w:t>,</w:t>
      </w:r>
      <w:r w:rsidRPr="00817B65">
        <w:t xml:space="preserve"> in einem drittschützenden Recht verletzt zu sein. Nach der Schutznormtheorie ist ein Recht drittschützend, wenn es nicht nur ausschließlich dem Interesse der Allgemeinheit dient, sondern vielmehr auch d</w:t>
      </w:r>
      <w:r w:rsidR="00A8236D">
        <w:t xml:space="preserve">em Schutz individueller Rechte und </w:t>
      </w:r>
      <w:r w:rsidRPr="00817B65">
        <w:t>einem abgrenzbaren Kreis von Begünstigten zusteh</w:t>
      </w:r>
      <w:r w:rsidR="00A8236D">
        <w:t>t</w:t>
      </w:r>
      <w:r w:rsidRPr="00817B65">
        <w:t>.</w:t>
      </w:r>
      <w:r w:rsidR="00A167DA">
        <w:rPr>
          <w:rStyle w:val="Funotenzeichen"/>
        </w:rPr>
        <w:footnoteReference w:id="64"/>
      </w:r>
      <w:r w:rsidRPr="00817B65">
        <w:t xml:space="preserve"> </w:t>
      </w:r>
    </w:p>
    <w:p w14:paraId="1330984A" w14:textId="7342704F" w:rsidR="00817B65" w:rsidRPr="00817B65" w:rsidRDefault="00817B65" w:rsidP="00817B65">
      <w:r w:rsidRPr="00817B65">
        <w:t>Eine solche Rechtsposition könnte hier aus § 35 I, III Nr. 3 und 5 BauGB folgen. Hierzu müsste die der R GmbH erteilte Baugenehmigung einen öffentlichen Belang im Sinne des § 35 BauGB verletzen. Der Begriff des öffentlichen Belangs wird in § 35 III BauGB zwar beispielhaft konkretisiert, nicht aber definiert.</w:t>
      </w:r>
      <w:r w:rsidRPr="00817B65">
        <w:rPr>
          <w:vertAlign w:val="superscript"/>
        </w:rPr>
        <w:footnoteReference w:id="65"/>
      </w:r>
      <w:r w:rsidRPr="00817B65">
        <w:t xml:space="preserve"> Es handelt sich um einen auslegungsbedürftigen unbestimmten Rechtsbegriff. Zwar begründen öffentliche Belange regelmäßig keine subjektiven Rechte, hier könnten dem Kläger jedoch eine hinreichend individualisierbare und gefestigte, somit wehrfähige Rechtsposition zustehen, die ausnahmsweise eine Klagebefugnis begründe</w:t>
      </w:r>
      <w:r w:rsidR="003C7CAE">
        <w:t>t</w:t>
      </w:r>
      <w:r w:rsidRPr="00817B65">
        <w:t>.</w:t>
      </w:r>
    </w:p>
    <w:p w14:paraId="4A4EFE9D" w14:textId="77777777" w:rsidR="00817B65" w:rsidRDefault="00817B65" w:rsidP="00CA43AE">
      <w:pPr>
        <w:pStyle w:val="berschrift6"/>
      </w:pPr>
      <w:bookmarkStart w:id="114" w:name="_Toc22132989"/>
      <w:r w:rsidRPr="00817B65">
        <w:t>1. Drittschützender öffentlicher Belang gem. § 35 III 1 Nr. 3 BauGB</w:t>
      </w:r>
      <w:bookmarkEnd w:id="114"/>
    </w:p>
    <w:p w14:paraId="5F6C124D" w14:textId="77777777" w:rsidR="00817B65" w:rsidRPr="00817B65" w:rsidRDefault="00817B65" w:rsidP="00817B65">
      <w:pPr>
        <w:pStyle w:val="Randnummer"/>
        <w:framePr w:wrap="around"/>
      </w:pPr>
    </w:p>
    <w:p w14:paraId="538A9B8F" w14:textId="230F37CD" w:rsidR="00817B65" w:rsidRPr="00817B65" w:rsidRDefault="00817B65" w:rsidP="00817B65">
      <w:r w:rsidRPr="00817B65">
        <w:t>Von den geplanten Windrädern könnten schädliche Umwelteinwirkungen i.S.d. § 35 III 1 Nr. 3 BauGB ausgehen. Solche sind nach § 3 I BImSchG Immissionen, die nach Art, Ausmaß oder Dauer geeignet sind, Gefahren, erhebliche Nachteile oder erhebliche Belästigungen für die Allgemeinheit oder die Nachbarschaft hervorzurufen.</w:t>
      </w:r>
      <w:r w:rsidRPr="00817B65">
        <w:rPr>
          <w:vertAlign w:val="superscript"/>
        </w:rPr>
        <w:footnoteReference w:id="66"/>
      </w:r>
      <w:r w:rsidRPr="00817B65">
        <w:t xml:space="preserve"> Die Normierung der schädlichen Umwelteinwirkungen in § 35 III 1 Nr. 3 BauGB stellt dabei eine Ausprägung des allgemeinen baurechtlichen Gebotes der Rücksichtnahme dar.</w:t>
      </w:r>
      <w:r w:rsidRPr="00817B65">
        <w:rPr>
          <w:vertAlign w:val="superscript"/>
        </w:rPr>
        <w:footnoteReference w:id="67"/>
      </w:r>
      <w:r w:rsidRPr="00817B65">
        <w:t xml:space="preserve"> Mithin liegt in § 35 III 1 Nr. 3 BauGB eine wehrfähige Rechtsposition vor, deren mögliche Verletzung die Klagebefugnis des Klägers begründet. Ferner besteht auch die Möglichkeit, dass die geplanten Windräder gegen diesen Belang verstoßen. B befürchtet, dass durch die Windräder und den damit einhergehenden ständigen Licht- und Schattenwechseln sowohl seine Ernte als auch die Gesundheit der von ihm gehaltenen Schweine beeinträchtigt würden. </w:t>
      </w:r>
    </w:p>
    <w:p w14:paraId="077EA494" w14:textId="77777777" w:rsidR="00817B65" w:rsidRDefault="00817B65" w:rsidP="00CA43AE">
      <w:pPr>
        <w:pStyle w:val="berschrift6"/>
      </w:pPr>
      <w:bookmarkStart w:id="115" w:name="_Toc22132990"/>
      <w:r w:rsidRPr="00817B65">
        <w:t>2. Drit</w:t>
      </w:r>
      <w:r w:rsidRPr="00CA43AE">
        <w:rPr>
          <w:rStyle w:val="berschrift6Zchn"/>
        </w:rPr>
        <w:t>t</w:t>
      </w:r>
      <w:r w:rsidRPr="00817B65">
        <w:t>schützender öffentlicher Belang gem. § 35 III 1 Nr. 5 BauGB</w:t>
      </w:r>
      <w:bookmarkEnd w:id="115"/>
    </w:p>
    <w:p w14:paraId="5006FB86" w14:textId="77777777" w:rsidR="00817B65" w:rsidRPr="00817B65" w:rsidRDefault="00817B65" w:rsidP="00817B65">
      <w:pPr>
        <w:pStyle w:val="Randnummer"/>
        <w:framePr w:wrap="around"/>
      </w:pPr>
    </w:p>
    <w:p w14:paraId="207C7D43" w14:textId="77777777" w:rsidR="00817B65" w:rsidRPr="00817B65" w:rsidRDefault="00817B65" w:rsidP="00817B65">
      <w:r w:rsidRPr="00817B65">
        <w:t>Eine weitere mögliche Rechtsverletzung könnte hier in der Verletzung des öffentlichen Belangs des § 35 III 1 Nr. 5 BauGB bestehen. Vorliegend könnte der Erholungscharakter des angrenzenden Waldgebietes beeinträchtigt werden. Grundsätzlich ist der Erholungswert der Landschaft vor heranrückender Bebauung zu schützen.</w:t>
      </w:r>
      <w:r w:rsidRPr="00817B65">
        <w:rPr>
          <w:vertAlign w:val="superscript"/>
        </w:rPr>
        <w:footnoteReference w:id="68"/>
      </w:r>
      <w:r w:rsidRPr="00817B65">
        <w:t xml:space="preserve"> Fraglich ist jedoch, ob dieser Belang auch eine Rechtsposition darstellt, die die individuellen Interessen des B schützt. Dies ist nicht der Fall. Der Erholungswert der Landschaft ist lediglich mit Rücksicht auf die </w:t>
      </w:r>
      <w:r w:rsidRPr="00817B65">
        <w:lastRenderedPageBreak/>
        <w:t>Erholungsbedürfnisse der Allgemeinheit zu bestimmen.</w:t>
      </w:r>
      <w:r w:rsidRPr="00817B65">
        <w:rPr>
          <w:vertAlign w:val="superscript"/>
        </w:rPr>
        <w:footnoteReference w:id="69"/>
      </w:r>
      <w:r w:rsidRPr="00817B65">
        <w:t xml:space="preserve"> Mithin vermittelt diese Norm keine wehrhafte Rechtsposition für den Einzelnen. </w:t>
      </w:r>
    </w:p>
    <w:p w14:paraId="62DE2F5B" w14:textId="77777777" w:rsidR="00817B65" w:rsidRDefault="00817B65" w:rsidP="00CA43AE">
      <w:pPr>
        <w:pStyle w:val="berschrift6"/>
      </w:pPr>
      <w:bookmarkStart w:id="116" w:name="_Toc22132991"/>
      <w:r w:rsidRPr="00817B65">
        <w:t>3. Zwischenergebnis</w:t>
      </w:r>
      <w:bookmarkEnd w:id="116"/>
    </w:p>
    <w:p w14:paraId="36EC1E92" w14:textId="77777777" w:rsidR="00817B65" w:rsidRPr="00817B65" w:rsidRDefault="00817B65" w:rsidP="00817B65">
      <w:pPr>
        <w:pStyle w:val="Randnummer"/>
        <w:framePr w:wrap="around"/>
      </w:pPr>
    </w:p>
    <w:p w14:paraId="00CBA2DC" w14:textId="77777777" w:rsidR="00817B65" w:rsidRPr="00817B65" w:rsidRDefault="00817B65" w:rsidP="00817B65">
      <w:r w:rsidRPr="00817B65">
        <w:t>Der Kläger war damit aufgrund der Möglichkeit einer Verletzung seiner Rechte aus § 35 III 1 Nr. 3 BauGB klagebefugt.</w:t>
      </w:r>
    </w:p>
    <w:p w14:paraId="1515FCCD" w14:textId="77777777" w:rsidR="00817B65" w:rsidRDefault="00817B65" w:rsidP="00CA43AE">
      <w:pPr>
        <w:pStyle w:val="berschrift5"/>
      </w:pPr>
      <w:bookmarkStart w:id="117" w:name="_Toc22132992"/>
      <w:r w:rsidRPr="00817B65">
        <w:t>IV. Vorverfahren</w:t>
      </w:r>
      <w:bookmarkEnd w:id="117"/>
    </w:p>
    <w:p w14:paraId="1B5D872E" w14:textId="77777777" w:rsidR="00817B65" w:rsidRPr="00817B65" w:rsidRDefault="00817B65" w:rsidP="00817B65">
      <w:pPr>
        <w:pStyle w:val="Randnummer"/>
        <w:framePr w:wrap="around"/>
      </w:pPr>
    </w:p>
    <w:p w14:paraId="773EA406" w14:textId="77777777" w:rsidR="00817B65" w:rsidRDefault="00817B65" w:rsidP="00817B65">
      <w:r w:rsidRPr="00817B65">
        <w:t>Die Durchführung eines Vorverfahrens ist nach § 110 I JustG NRW entbehrlich.</w:t>
      </w:r>
    </w:p>
    <w:p w14:paraId="7819B27A" w14:textId="3A3E56F8" w:rsidR="00817B65" w:rsidRDefault="00817B65" w:rsidP="00CA43AE">
      <w:pPr>
        <w:pStyle w:val="berschrift5"/>
      </w:pPr>
      <w:bookmarkStart w:id="118" w:name="_Toc22132993"/>
      <w:r w:rsidRPr="00817B65">
        <w:t>V. Klagegegner</w:t>
      </w:r>
      <w:bookmarkEnd w:id="118"/>
    </w:p>
    <w:p w14:paraId="6E17B5C4" w14:textId="77777777" w:rsidR="00817B65" w:rsidRPr="00817B65" w:rsidRDefault="00817B65" w:rsidP="00817B65">
      <w:pPr>
        <w:pStyle w:val="Randnummer"/>
        <w:framePr w:wrap="around"/>
      </w:pPr>
    </w:p>
    <w:p w14:paraId="0CE0F3F3" w14:textId="77777777" w:rsidR="00817B65" w:rsidRPr="00817B65" w:rsidRDefault="00817B65" w:rsidP="00817B65">
      <w:r w:rsidRPr="00817B65">
        <w:t xml:space="preserve">Klagegegner ist nach dem Rechtsträgerprinzip die Stadt Bonn, § 78 I Nr. 1 VwGO. </w:t>
      </w:r>
    </w:p>
    <w:p w14:paraId="04B064FB" w14:textId="77777777" w:rsidR="00817B65" w:rsidRDefault="00817B65" w:rsidP="00CA43AE">
      <w:pPr>
        <w:pStyle w:val="berschrift5"/>
      </w:pPr>
      <w:bookmarkStart w:id="119" w:name="_Toc22132994"/>
      <w:r w:rsidRPr="00817B65">
        <w:t>VI. Beteiligten- und Prozessfähigkeit</w:t>
      </w:r>
      <w:bookmarkEnd w:id="119"/>
    </w:p>
    <w:p w14:paraId="1EA51A0A" w14:textId="77777777" w:rsidR="00817B65" w:rsidRPr="00817B65" w:rsidRDefault="00817B65" w:rsidP="00817B65">
      <w:pPr>
        <w:pStyle w:val="Randnummer"/>
        <w:framePr w:wrap="around"/>
      </w:pPr>
    </w:p>
    <w:p w14:paraId="7E1EA3C2" w14:textId="2ADB5CA1" w:rsidR="00817B65" w:rsidRPr="00817B65" w:rsidRDefault="00817B65" w:rsidP="00817B65">
      <w:r w:rsidRPr="00817B65">
        <w:t xml:space="preserve">Der Kläger als natürliche Person ist nach § 61 Nr. 1 1. Alt. VwGO, die Beklagte als juristische Person gemäß § 61 Nr. 1 2. Alt. VwGO beteiligtenfähig. Die Prozessfähigkeit für den Kläger folgt aus § 62 I VwGO, für die Beklagte aus § 62 III VwGO. </w:t>
      </w:r>
    </w:p>
    <w:p w14:paraId="44B981C0" w14:textId="049B48C1" w:rsidR="00817B65" w:rsidRDefault="00817B65" w:rsidP="00CA43AE">
      <w:pPr>
        <w:pStyle w:val="berschrift5"/>
      </w:pPr>
      <w:bookmarkStart w:id="120" w:name="_Toc22132995"/>
      <w:r w:rsidRPr="00817B65">
        <w:t>VII. Klagefrist</w:t>
      </w:r>
      <w:bookmarkEnd w:id="120"/>
    </w:p>
    <w:p w14:paraId="3EE4B299" w14:textId="77777777" w:rsidR="00817B65" w:rsidRPr="00817B65" w:rsidRDefault="00817B65" w:rsidP="00817B65">
      <w:pPr>
        <w:pStyle w:val="Randnummer"/>
        <w:framePr w:wrap="around"/>
      </w:pPr>
    </w:p>
    <w:p w14:paraId="1BB36FDB" w14:textId="42499DDA" w:rsidR="00817B65" w:rsidRPr="00817B65" w:rsidRDefault="00817B65" w:rsidP="00817B65">
      <w:r w:rsidRPr="00817B65">
        <w:t xml:space="preserve">Weiterhin müsste die Klage fristgerecht erhoben worden sein. Da ein Widerspruchsverfahren nicht durchzuführen war, richtet sich die Klagefrist nach § 74 I 2 VwGO. Danach ist die Klage einen Monat ab Bekanntgabe des </w:t>
      </w:r>
      <w:r w:rsidR="00DA1B70">
        <w:t>Verwaltungsakts</w:t>
      </w:r>
      <w:r w:rsidRPr="00817B65">
        <w:t xml:space="preserve"> zu erheben. Fraglich ist allerdings, ob diese Frist bereits in Gang gesetzt worden ist. Der R</w:t>
      </w:r>
      <w:r w:rsidR="003C7CAE">
        <w:t xml:space="preserve"> </w:t>
      </w:r>
      <w:r w:rsidRPr="00817B65">
        <w:t xml:space="preserve">GmbH ist die Baugenehmigung am 20.05.2018 bekannt gegeben worden. Eine Bekanntgabe der Baugenehmigung gegenüber B durch die Behörde liegt nicht vor. Somit ist die Klagefrist mangels Bekanntgabe des </w:t>
      </w:r>
      <w:r w:rsidR="00DA1B70">
        <w:t>Verwaltungsakts</w:t>
      </w:r>
      <w:r w:rsidRPr="00817B65">
        <w:t xml:space="preserve"> nicht in Gang gesetzt worden. Auch richtet sich die Klagefrist in diesen Konstellationen nicht nach § 58 II VwGO. Die Einlegung des Rechtsbehelfes wird lediglich durch das Institut der Verwirkung begrenzt. Hierzu bedarf es grundsätzlich eines Zeit- und Umstandsmomentes. In analoger Anwendung des § 58 II VwGO beläuft sich das Zeitmoment auf rund ein Jahr. B hat am 30. Juli 2018, kurz nach dem Beginn der Erdarbeiten, Klage gegen die dem B erteilte Baugenehmigung erhoben. Mithin ist die Klage nicht verfristet. </w:t>
      </w:r>
    </w:p>
    <w:p w14:paraId="43BEC2B4" w14:textId="79967A25" w:rsidR="00817B65" w:rsidRDefault="00817B65" w:rsidP="00CA43AE">
      <w:pPr>
        <w:pStyle w:val="berschrift5"/>
      </w:pPr>
      <w:bookmarkStart w:id="121" w:name="_Toc22132996"/>
      <w:r w:rsidRPr="00817B65">
        <w:t>VII</w:t>
      </w:r>
      <w:r>
        <w:t xml:space="preserve">I. </w:t>
      </w:r>
      <w:r w:rsidRPr="00817B65">
        <w:t>Zwischenergebnis</w:t>
      </w:r>
      <w:bookmarkEnd w:id="121"/>
    </w:p>
    <w:p w14:paraId="66A45D90" w14:textId="77777777" w:rsidR="00817B65" w:rsidRPr="00817B65" w:rsidRDefault="00817B65" w:rsidP="00817B65">
      <w:pPr>
        <w:pStyle w:val="Randnummer"/>
        <w:framePr w:wrap="around"/>
      </w:pPr>
    </w:p>
    <w:p w14:paraId="084048BD" w14:textId="77777777" w:rsidR="00817B65" w:rsidRPr="00817B65" w:rsidRDefault="00817B65" w:rsidP="00817B65">
      <w:r w:rsidRPr="00817B65">
        <w:t>Die Klage ist zulässig.</w:t>
      </w:r>
    </w:p>
    <w:p w14:paraId="253329DE" w14:textId="77777777" w:rsidR="00817B65" w:rsidRPr="00817B65" w:rsidRDefault="00817B65" w:rsidP="00817B65"/>
    <w:p w14:paraId="36D9EDC2" w14:textId="1CD8E763" w:rsidR="00817B65" w:rsidRDefault="00817B65" w:rsidP="00CA43AE">
      <w:pPr>
        <w:pStyle w:val="berschrift4"/>
      </w:pPr>
      <w:bookmarkStart w:id="122" w:name="_Toc22132997"/>
      <w:r w:rsidRPr="00817B65">
        <w:t>B. Beiladung</w:t>
      </w:r>
      <w:bookmarkEnd w:id="122"/>
    </w:p>
    <w:p w14:paraId="4AA6502D" w14:textId="77777777" w:rsidR="00817B65" w:rsidRPr="00817B65" w:rsidRDefault="00817B65" w:rsidP="00817B65">
      <w:pPr>
        <w:pStyle w:val="Randnummer"/>
        <w:framePr w:wrap="around"/>
      </w:pPr>
    </w:p>
    <w:p w14:paraId="61830996" w14:textId="77777777" w:rsidR="00817B65" w:rsidRDefault="00817B65" w:rsidP="00817B65">
      <w:r w:rsidRPr="00817B65">
        <w:t>Hier kann eine Entscheidung nur einheitlich gegenüber der Beklagten sowie der R GmbH ergehen. Die R GmbH ist folglich nach §§ 63 Nr. 3, 65 II VwGO notwendig beizuladen.</w:t>
      </w:r>
    </w:p>
    <w:p w14:paraId="2E9D0A15" w14:textId="77777777" w:rsidR="00817B65" w:rsidRPr="00817B65" w:rsidRDefault="00817B65" w:rsidP="00817B65"/>
    <w:p w14:paraId="3ABD1A3D" w14:textId="483183E0" w:rsidR="00817B65" w:rsidRDefault="00817B65" w:rsidP="00CA43AE">
      <w:pPr>
        <w:pStyle w:val="berschrift4"/>
      </w:pPr>
      <w:bookmarkStart w:id="123" w:name="_Toc22132998"/>
      <w:r w:rsidRPr="00817B65">
        <w:t>C. Begründetheit der Klage</w:t>
      </w:r>
      <w:bookmarkEnd w:id="123"/>
    </w:p>
    <w:p w14:paraId="695EB9A5" w14:textId="77777777" w:rsidR="00817B65" w:rsidRPr="00817B65" w:rsidRDefault="00817B65" w:rsidP="00817B65">
      <w:pPr>
        <w:pStyle w:val="Randnummer"/>
        <w:framePr w:wrap="around"/>
      </w:pPr>
    </w:p>
    <w:p w14:paraId="03A479E5" w14:textId="77777777" w:rsidR="00817B65" w:rsidRPr="00817B65" w:rsidRDefault="00817B65" w:rsidP="00817B65">
      <w:r w:rsidRPr="00817B65">
        <w:t>Die Klage müsste auch begründet sein. Dies ist nach § 113 I 1 VwGO bei der Anfechtungsklage der Fall, soweit der angegriffene Verwaltungsakt rechtswidrig und der Kläger hierdurch in seinen Rechten verletzt ist. Bei einer Drittanfechtungsklage ist dies nur der Fall, soweit die Baugenehmigung gegen nachbarschützende Normen verstößt. Vorliegend könnte die Baugenehmigung der E rechtswidrig erteilt und die Klägerin hierdurch in ihren Rechten aus § 35 III Nr. 1 Nr. 3 BauGB verletzt worden sein.</w:t>
      </w:r>
    </w:p>
    <w:p w14:paraId="57E4F09A" w14:textId="77777777" w:rsidR="00817B65" w:rsidRPr="00817B65" w:rsidRDefault="00817B65" w:rsidP="00CA43AE">
      <w:pPr>
        <w:pStyle w:val="berschrift5"/>
      </w:pPr>
      <w:bookmarkStart w:id="124" w:name="_Toc22132999"/>
      <w:r w:rsidRPr="00817B65">
        <w:t>I. Rechtswidrigkeit der Baugenehmigung</w:t>
      </w:r>
      <w:bookmarkEnd w:id="124"/>
    </w:p>
    <w:p w14:paraId="04EF1672" w14:textId="77777777" w:rsidR="00817B65" w:rsidRDefault="00817B65" w:rsidP="00CA43AE">
      <w:pPr>
        <w:pStyle w:val="berschrift6"/>
      </w:pPr>
      <w:bookmarkStart w:id="125" w:name="_Toc22133000"/>
      <w:r w:rsidRPr="00817B65">
        <w:t>1. Ermächtigungsgrundlage</w:t>
      </w:r>
      <w:bookmarkEnd w:id="125"/>
    </w:p>
    <w:p w14:paraId="7204CCF9" w14:textId="77777777" w:rsidR="00817B65" w:rsidRPr="00817B65" w:rsidRDefault="00817B65" w:rsidP="00817B65">
      <w:pPr>
        <w:pStyle w:val="Randnummer"/>
        <w:framePr w:wrap="around"/>
      </w:pPr>
    </w:p>
    <w:p w14:paraId="633CC65D" w14:textId="77777777" w:rsidR="00817B65" w:rsidRPr="00817B65" w:rsidRDefault="00817B65" w:rsidP="00817B65">
      <w:r w:rsidRPr="00817B65">
        <w:t>Ermächtigungsgrundlage für die Baugenehmigung ist § 74 I BauO NRW.</w:t>
      </w:r>
    </w:p>
    <w:p w14:paraId="739224A7" w14:textId="77777777" w:rsidR="00817B65" w:rsidRDefault="00817B65" w:rsidP="00CA43AE">
      <w:pPr>
        <w:pStyle w:val="berschrift6"/>
      </w:pPr>
      <w:bookmarkStart w:id="126" w:name="_Toc22133001"/>
      <w:r w:rsidRPr="00817B65">
        <w:t>2. Formelle Rechtmäßigkeit</w:t>
      </w:r>
      <w:bookmarkEnd w:id="126"/>
    </w:p>
    <w:p w14:paraId="3D386B16" w14:textId="77777777" w:rsidR="00817B65" w:rsidRPr="00817B65" w:rsidRDefault="00817B65" w:rsidP="00817B65">
      <w:pPr>
        <w:pStyle w:val="Randnummer"/>
        <w:framePr w:wrap="around"/>
      </w:pPr>
    </w:p>
    <w:p w14:paraId="48950CA2" w14:textId="59989C12" w:rsidR="00817B65" w:rsidRPr="00817B65" w:rsidRDefault="00817B65" w:rsidP="00817B65">
      <w:r w:rsidRPr="00817B65">
        <w:t>Die Baugenehmigung ist</w:t>
      </w:r>
      <w:r>
        <w:t xml:space="preserve"> laut Bearbeiter*innenvermerk</w:t>
      </w:r>
      <w:r w:rsidRPr="00817B65">
        <w:t xml:space="preserve"> formell rechtmäßig. </w:t>
      </w:r>
    </w:p>
    <w:p w14:paraId="76DE919B" w14:textId="77777777" w:rsidR="00817B65" w:rsidRDefault="00817B65" w:rsidP="00CA43AE">
      <w:pPr>
        <w:pStyle w:val="berschrift6"/>
      </w:pPr>
      <w:bookmarkStart w:id="127" w:name="_Toc22133002"/>
      <w:r w:rsidRPr="00817B65">
        <w:t>3. Materielle Rechtmäßigkeit</w:t>
      </w:r>
      <w:bookmarkEnd w:id="127"/>
    </w:p>
    <w:p w14:paraId="387103EF" w14:textId="77777777" w:rsidR="00817B65" w:rsidRPr="00817B65" w:rsidRDefault="00817B65" w:rsidP="00817B65">
      <w:pPr>
        <w:pStyle w:val="Randnummer"/>
        <w:framePr w:wrap="around"/>
      </w:pPr>
    </w:p>
    <w:p w14:paraId="5384DD52" w14:textId="2C433180" w:rsidR="00817B65" w:rsidRPr="00817B65" w:rsidRDefault="00817B65" w:rsidP="00817B65">
      <w:r w:rsidRPr="00817B65">
        <w:t>Die Baugenehmigung ist laut Bearbeitervermerk bauordnungsrechtlich rechtmäßig. Als entgegenstehende öffentlich-rechtliche Vorschriften i.S.d. § 74 I BauO NRW kommen daher nur die bauplanungsrechtlichen Vorschriften der §§ 29 ff. BauGB in Betracht.</w:t>
      </w:r>
      <w:r w:rsidR="00A566D1">
        <w:t xml:space="preserve"> </w:t>
      </w:r>
    </w:p>
    <w:p w14:paraId="2B2B6FED" w14:textId="1CBF9459" w:rsidR="00817B65" w:rsidRDefault="00817B65" w:rsidP="00CA43AE">
      <w:pPr>
        <w:pStyle w:val="berschrift7"/>
      </w:pPr>
      <w:bookmarkStart w:id="128" w:name="_Toc22133003"/>
      <w:r w:rsidRPr="00817B65">
        <w:t>a) Anwendbarkeit der §§ 30 ff. BauGB</w:t>
      </w:r>
      <w:bookmarkEnd w:id="128"/>
    </w:p>
    <w:p w14:paraId="62B0B29A" w14:textId="77777777" w:rsidR="00817B65" w:rsidRPr="00817B65" w:rsidRDefault="00817B65" w:rsidP="00817B65">
      <w:pPr>
        <w:pStyle w:val="Randnummer"/>
        <w:framePr w:wrap="around"/>
      </w:pPr>
    </w:p>
    <w:p w14:paraId="3C71A878" w14:textId="44E7A4A5" w:rsidR="00817B65" w:rsidRPr="00817B65" w:rsidRDefault="00817B65" w:rsidP="00817B65">
      <w:r w:rsidRPr="0063273F">
        <w:t>Zunächst müssten</w:t>
      </w:r>
      <w:r w:rsidRPr="00817B65">
        <w:t xml:space="preserve"> die Vorschriften der §§ 30 ff. BauGB vorliegend anwendbar sein. Das setzt voraus, dass das Vorhaben der R GmbH eine bauliche Anlage nach § 29 I BauGB </w:t>
      </w:r>
      <w:r w:rsidR="003C7CAE">
        <w:t>darstellt</w:t>
      </w:r>
      <w:r w:rsidRPr="00817B65">
        <w:t>. Bauliche Anlagen sind alle Anlagen, die auf Dauer künstlich mit dem Boden verbunden sind und bodenrechtliche Relevanz aufweisen.</w:t>
      </w:r>
      <w:r w:rsidRPr="00817B65">
        <w:rPr>
          <w:vertAlign w:val="superscript"/>
        </w:rPr>
        <w:footnoteReference w:id="70"/>
      </w:r>
      <w:r w:rsidRPr="00817B65">
        <w:t xml:space="preserve"> Dies ist bei der Errichtung der Windräder der Fall. Somit stellen die geplanten Windräder ein Vorhaben nach § 29 I BauGB dar. Die Vorschriften der §§ 30 ff. BauGB sind mithin anwendbar. </w:t>
      </w:r>
    </w:p>
    <w:p w14:paraId="40B4EBAB" w14:textId="7CAAD718" w:rsidR="00817B65" w:rsidRDefault="00817B65" w:rsidP="00CA43AE">
      <w:pPr>
        <w:pStyle w:val="berschrift7"/>
      </w:pPr>
      <w:bookmarkStart w:id="129" w:name="_Toc22133004"/>
      <w:r w:rsidRPr="00817B65">
        <w:t>b) Zulässigkeit des Vorhabens nach § 30 BauGB</w:t>
      </w:r>
      <w:bookmarkEnd w:id="129"/>
    </w:p>
    <w:p w14:paraId="2FC0A26D" w14:textId="77777777" w:rsidR="00817B65" w:rsidRPr="00817B65" w:rsidRDefault="00817B65" w:rsidP="00817B65">
      <w:pPr>
        <w:pStyle w:val="Randnummer"/>
        <w:framePr w:wrap="around"/>
      </w:pPr>
    </w:p>
    <w:p w14:paraId="77C1C95F" w14:textId="77777777" w:rsidR="00817B65" w:rsidRPr="00817B65" w:rsidRDefault="00817B65" w:rsidP="00817B65">
      <w:r w:rsidRPr="00817B65">
        <w:t xml:space="preserve">Das Vorhaben liegt nicht innerhalb eines qualifizierten Bebauungsplanes, so dass § 30 BauGB nicht anwendbar ist. </w:t>
      </w:r>
    </w:p>
    <w:p w14:paraId="0E897AEB" w14:textId="546E41FE" w:rsidR="00817B65" w:rsidRDefault="00817B65" w:rsidP="00CA43AE">
      <w:pPr>
        <w:pStyle w:val="berschrift7"/>
      </w:pPr>
      <w:bookmarkStart w:id="130" w:name="_Toc22133005"/>
      <w:r w:rsidRPr="00817B65">
        <w:t>c) Zulässigkeit des Vorhabens nach § 35 BauGB</w:t>
      </w:r>
      <w:bookmarkEnd w:id="130"/>
    </w:p>
    <w:p w14:paraId="0C23F955" w14:textId="77777777" w:rsidR="00817B65" w:rsidRPr="00817B65" w:rsidRDefault="00817B65" w:rsidP="00817B65">
      <w:pPr>
        <w:pStyle w:val="Randnummer"/>
        <w:framePr w:wrap="around"/>
      </w:pPr>
    </w:p>
    <w:p w14:paraId="4B3D3DF8" w14:textId="77777777" w:rsidR="00817B65" w:rsidRPr="00817B65" w:rsidRDefault="00817B65" w:rsidP="00817B65">
      <w:r w:rsidRPr="00817B65">
        <w:t xml:space="preserve">Das Vorhaben liegt im Außenbereich der Stadt Bonn. Seine Zulässigkeit folgt mithin aus § 35 BauGB. </w:t>
      </w:r>
    </w:p>
    <w:p w14:paraId="077F4091" w14:textId="24E69188" w:rsidR="00817B65" w:rsidRDefault="00817B65" w:rsidP="00CA43AE">
      <w:pPr>
        <w:pStyle w:val="berschrift8"/>
      </w:pPr>
      <w:bookmarkStart w:id="131" w:name="_Toc22133006"/>
      <w:r w:rsidRPr="00817B65">
        <w:t>aa) Privilegiertes Vorhaben nach § 35 I Nr. 5 BauGB</w:t>
      </w:r>
      <w:bookmarkEnd w:id="131"/>
    </w:p>
    <w:p w14:paraId="5B20DB2A" w14:textId="77777777" w:rsidR="00817B65" w:rsidRPr="00817B65" w:rsidRDefault="00817B65" w:rsidP="00817B65">
      <w:pPr>
        <w:pStyle w:val="Randnummer"/>
        <w:framePr w:wrap="around"/>
      </w:pPr>
    </w:p>
    <w:p w14:paraId="7544BD54" w14:textId="6920335A" w:rsidR="00772351" w:rsidRDefault="00817B65" w:rsidP="00817B65">
      <w:r w:rsidRPr="00817B65">
        <w:lastRenderedPageBreak/>
        <w:t>Die Windenergieanlagen sind privilegierte Vorhaben nach § 35 I Nr. 5 BauGB. Diese dienen der öffentlichen Versorgung mit Elektrizität.</w:t>
      </w:r>
      <w:r w:rsidRPr="00817B65">
        <w:rPr>
          <w:vertAlign w:val="superscript"/>
        </w:rPr>
        <w:footnoteReference w:id="71"/>
      </w:r>
      <w:r w:rsidRPr="00817B65">
        <w:t xml:space="preserve"> </w:t>
      </w:r>
    </w:p>
    <w:p w14:paraId="73DAE964" w14:textId="3C69C33B" w:rsidR="00817B65" w:rsidRDefault="00817B65" w:rsidP="00CA43AE">
      <w:pPr>
        <w:pStyle w:val="berschrift8"/>
      </w:pPr>
      <w:bookmarkStart w:id="132" w:name="_Toc22133007"/>
      <w:r w:rsidRPr="00817B65">
        <w:t>bb) Kein entgegenstehender öffentlicher Belang</w:t>
      </w:r>
      <w:bookmarkEnd w:id="132"/>
    </w:p>
    <w:p w14:paraId="1684B752" w14:textId="77777777" w:rsidR="00817B65" w:rsidRPr="00817B65" w:rsidRDefault="00817B65" w:rsidP="00817B65">
      <w:pPr>
        <w:pStyle w:val="Randnummer"/>
        <w:framePr w:wrap="around"/>
      </w:pPr>
    </w:p>
    <w:p w14:paraId="3038917F" w14:textId="7FE77D86" w:rsidR="00817B65" w:rsidRPr="00817B65" w:rsidRDefault="00817B65" w:rsidP="00817B65">
      <w:r w:rsidRPr="00817B65">
        <w:t>Weiterhin dürfte dem privilegierten Vorhaben kein öffentlicher Belang entgegenstehen. Ein solcher ist in § 35 III BauGB nicht definiert, der Absatz enthält vielmehr einen nicht abschließenden Katalog öffentlicher Belange. In Betracht kommt vorliegend § 35 III 1 Nr. 3 BauGB. Danach liegt eine Beeinträchtigung vor, wenn das Vorhaben schädlichen Umwelteinwirkungen hervorrufen kann. Eine baurechtliche Definition des Begriffs der schädlichen Umwelteinflüsse besteht nicht. Hierzu kann jedoch auf die Vorschriften des BImSchG zurückgegriffen werden. Schädliche Umwelteinwirkungen sind nach § 3 I BImSchG Immissionen, die nach Art, Ausmaß oder Dauer geeignet sind, Gefahren, erhebliche Nachteile oder erhebliche Belästigungen für die Allgemeinheit oder die Nachbarschaft herbeizuführen. Derartige Beeinträchtigungen sind den Betroffenen grundsätzlich nicht zuzumuten.</w:t>
      </w:r>
      <w:r w:rsidRPr="00817B65">
        <w:rPr>
          <w:vertAlign w:val="superscript"/>
        </w:rPr>
        <w:footnoteReference w:id="72"/>
      </w:r>
      <w:r w:rsidRPr="00817B65">
        <w:t xml:space="preserve"> Somit bestimmt § 3 I BImSchG die Grenze der Zumutbarkeit von Umwelteinwirkungen für Nachbarn und konstatiert somit das Maß der gebotenen Rücksichtnahme für das Baurecht.</w:t>
      </w:r>
      <w:r w:rsidRPr="00817B65">
        <w:rPr>
          <w:vertAlign w:val="superscript"/>
        </w:rPr>
        <w:footnoteReference w:id="73"/>
      </w:r>
      <w:r w:rsidRPr="00817B65">
        <w:t xml:space="preserve"> Die Beurteilung der schädlichen Umwelteinwirkungen stellt insoweit eine besondere Ausprägung des baurechtlichen Gebots der Rücksichtnahme dar. Aus dem Gebot der Rücksichtnahme folgt für den Bauherrn die Maßgabe, dass er sein Grundstück nur derart bebauen darf, dass er höherrangige Belange der Nachbarn nicht verletzen darf. Dabei gilt der Grundsatz, dass je schutzwürdiger die Stellung derer ist, denen die Rücksichtnahme im gegebenen Zusammenhang zugutekommt, umso mehr kann an Rücksichtnahme verlangt werden.</w:t>
      </w:r>
      <w:r w:rsidRPr="00817B65">
        <w:rPr>
          <w:vertAlign w:val="superscript"/>
        </w:rPr>
        <w:footnoteReference w:id="74"/>
      </w:r>
      <w:r w:rsidRPr="00817B65">
        <w:t xml:space="preserve"> Hierbei ist im Einzelfall eine Abwägung zwischen den Interessen</w:t>
      </w:r>
      <w:r w:rsidR="00A8236D">
        <w:t xml:space="preserve"> des Rücksicht</w:t>
      </w:r>
      <w:r w:rsidRPr="00817B65">
        <w:t xml:space="preserve">nahmepflichtigen und des -begünstigten vorzunehmen. </w:t>
      </w:r>
    </w:p>
    <w:p w14:paraId="7F2B23EC" w14:textId="77777777" w:rsidR="00817B65" w:rsidRPr="00817B65" w:rsidRDefault="00817B65" w:rsidP="00817B65">
      <w:r w:rsidRPr="00817B65">
        <w:t xml:space="preserve">Die von den Rotoren verursachten Geräusche, die nach dem BImSchG zu beurteilen sind, verstoßen nach dem Bearbeitervermerk nicht gegen immissionsschutzrechtliche Vorschriften. </w:t>
      </w:r>
    </w:p>
    <w:p w14:paraId="75662E0A" w14:textId="77777777" w:rsidR="00817B65" w:rsidRPr="00817B65" w:rsidRDefault="00817B65" w:rsidP="00817B65">
      <w:r w:rsidRPr="00817B65">
        <w:t>Fraglich ist allerdings, ob von den kurzfristigen Schattenwürfen der Rotoren schädliche Umwelteinflüsse ausgehen. Hierbei kann grundsätzlich nicht auf die Vorschriften des BImSchG zurückgegriffen werden. Es handelt sich hierbei nicht um eine nach einem Rechtssatz zu messende Beeinträchtigung, so dass eine wertende Gesamtbetrachtung vorzunehmen ist.</w:t>
      </w:r>
      <w:r w:rsidRPr="00817B65">
        <w:rPr>
          <w:vertAlign w:val="superscript"/>
        </w:rPr>
        <w:footnoteReference w:id="75"/>
      </w:r>
    </w:p>
    <w:p w14:paraId="03955A6D" w14:textId="77777777" w:rsidR="00817B65" w:rsidRPr="00817B65" w:rsidRDefault="00817B65" w:rsidP="00817B65">
      <w:r w:rsidRPr="00817B65">
        <w:t xml:space="preserve">B befürchtet durch den Schattenwurf eine Beeinträchtigung seiner Ernte und negative Einflüsse auf die physische und psychische Verfassung seiner Schweine. Diese Annahme </w:t>
      </w:r>
      <w:r w:rsidRPr="00817B65">
        <w:lastRenderedPageBreak/>
        <w:t xml:space="preserve">wird durch das Gutachten des Sachverständigen gestützt. Nach diesem ist eine Ernteeinbuße von etwa einem Drittel zu befürchten. Auch sei mit einer nicht bloß marginalen Beeinträchtigung der Schweine zu rechnen. Dies kann auch nicht dadurch verhindert werden, dass die Schweine ausschließlich im Stall gehalten werden. Zwar beträgt die Distanz zwischen dem Windpark und dem Hof des B 500m, dennoch ist in den Stallungen mit deutlichen Auswirkungen der zu errichteten Anlage zu rechnen. </w:t>
      </w:r>
    </w:p>
    <w:p w14:paraId="13BAA832" w14:textId="5A443D4C" w:rsidR="00817B65" w:rsidRPr="00817B65" w:rsidRDefault="00817B65" w:rsidP="00817B65">
      <w:r w:rsidRPr="00817B65">
        <w:t>Demgegenüber steht das Interesse der R GmbH an der Errichtung des Windparks. Gerade in Zeiten der Energiewende und dem damit verbundenen Umstieg auf volatile Energieträger bedarf es eines breiten Netzes dezentraler Produktionsstätten. Au</w:t>
      </w:r>
      <w:r w:rsidR="003C7CAE">
        <w:t>ch</w:t>
      </w:r>
      <w:r w:rsidRPr="00817B65">
        <w:t xml:space="preserve"> tragen kleine Windparks zu der Gewährleistung der Versorgungssicherheit der Städte und Gemeinden bei. Zudem ist das Interesse der R GmbH zu berücksichtigen, die durch den Erwerb des Grundstücks sowie den ersten Arbeiten bereits Investitionen in den Windpark getätigt hat. </w:t>
      </w:r>
    </w:p>
    <w:p w14:paraId="7AD33A29" w14:textId="36731F8C" w:rsidR="00817B65" w:rsidRPr="00817B65" w:rsidRDefault="00817B65" w:rsidP="00817B65">
      <w:r w:rsidRPr="00817B65">
        <w:t xml:space="preserve">In Abwägung der widerstreitenden Interessen überwiegt das des B. Dieser würde durch die Errichtung des Windparks und den davon ausgehenden schädlichen Umwelteinwirkungen in seiner Existenzgrundlage gefährdet. Durch die zu erwartenden Ernteausfälle sowie die erheblichen Auswirkungen der Anlage auf die 1.000 Schweine des B ist davon auszugehen, dass eine wirtschaftliche Führung des Hofes nicht mehr möglich sein wird. Auch ist nicht absehbar, ob aufgrund des Schattenwurfs überhaupt noch Tierhaltung auf dem Hof möglich sein wird. Zwar ist der Außenbereich gerade für privilegierte Vorhaben wie das der Errichtung eines Windparks vorgesehen, jedoch handelt es sich bei dem Hof des B um ein ebenfalls nach § 35 I Nr. 1 BauGB von dem Baurecht privilegiertes Vorhaben. Zwar ist die Errichtung des Windparks zwar für die langfristige Gewährleistung der Versorgungssicherheit notwendig und daher privilegiert. Jedoch dient das in § 35 III 1 Nr. 3 BauGB normierte Gebot der Rücksichtnahme gerade dazu, in diesen Fällen einen schonenden Ausgleich aller betroffenen Interessen zu gewährleisten. Somit überwiegen vorliegend die Interessen des B denen der R GmbH. </w:t>
      </w:r>
      <w:r>
        <w:t>Die Baugenehmigung war daher rechtswidrig.</w:t>
      </w:r>
    </w:p>
    <w:p w14:paraId="6623A70F" w14:textId="77777777" w:rsidR="00817B65" w:rsidRDefault="00817B65" w:rsidP="00CA43AE">
      <w:pPr>
        <w:pStyle w:val="berschrift5"/>
      </w:pPr>
      <w:bookmarkStart w:id="133" w:name="_Toc22133008"/>
      <w:r w:rsidRPr="00817B65">
        <w:t>II. Rechtsverletzung</w:t>
      </w:r>
      <w:bookmarkEnd w:id="133"/>
    </w:p>
    <w:p w14:paraId="7C798F31" w14:textId="77777777" w:rsidR="00817B65" w:rsidRPr="00817B65" w:rsidRDefault="00817B65" w:rsidP="00817B65">
      <w:pPr>
        <w:pStyle w:val="Randnummer"/>
        <w:framePr w:wrap="around"/>
      </w:pPr>
    </w:p>
    <w:p w14:paraId="00CCE663" w14:textId="5B8BFB8F" w:rsidR="00817B65" w:rsidRPr="00817B65" w:rsidRDefault="00817B65" w:rsidP="00817B65">
      <w:r w:rsidRPr="00817B65">
        <w:t>Weiterhin müsste B auch als Nachbar in seinen Rechten verletzt sein, § 113 I 1 VwGO. Hierbei muss er sich auf eine drittschützende Norm berufen können. Als nachbarschützendes Recht kommt, wie bereits dargelegt, § 35 III 1 Nr. 3 BauGB als Ausfluss des Gebots der Rücksichtnahme in Betracht. Die tatsächliche Beeinträchtigung des drittschützenden Rechts müsste auch über das Zumutbare hinausgehen.</w:t>
      </w:r>
      <w:r w:rsidRPr="00817B65">
        <w:rPr>
          <w:vertAlign w:val="superscript"/>
        </w:rPr>
        <w:footnoteReference w:id="76"/>
      </w:r>
      <w:r w:rsidRPr="00817B65">
        <w:t xml:space="preserve"> Vorliegend haben die von dem geplanten Windpark ausgehenden Umwelteinwirkungen erheblichen Einfluss auf die Führung des Hofbetriebes. Dem B drohen erhebliche Ernteeinbußen und darüber hinaus ist auch die Tierhaltung auf dem Hof selbst in Stallungen nicht ohne weiteres möglich. </w:t>
      </w:r>
    </w:p>
    <w:p w14:paraId="4FAF01B6" w14:textId="77777777" w:rsidR="00817B65" w:rsidRDefault="00817B65" w:rsidP="00817B65">
      <w:r w:rsidRPr="00817B65">
        <w:lastRenderedPageBreak/>
        <w:t xml:space="preserve">Mithin ist B durch die rechtswidrig erteilte Baugenehmigung in nicht zumutbarer Weise beeinträchtigt. Das in § 35 III 1 Nr. 3 BauGB kodifizierte Gebot der Rücksichtnahme gewährt ihm vorliegend Drittschutz. Eine Rechtsverletzung nach § 113 I 1 VwGO liegt vor. </w:t>
      </w:r>
    </w:p>
    <w:p w14:paraId="60233A2E" w14:textId="77777777" w:rsidR="000434BF" w:rsidRPr="00817B65" w:rsidRDefault="000434BF" w:rsidP="00817B65"/>
    <w:p w14:paraId="712778C4" w14:textId="243E8C12" w:rsidR="00817B65" w:rsidRDefault="00817B65" w:rsidP="00CA43AE">
      <w:pPr>
        <w:pStyle w:val="berschrift4"/>
      </w:pPr>
      <w:bookmarkStart w:id="134" w:name="_Toc22133009"/>
      <w:r>
        <w:t xml:space="preserve">D. </w:t>
      </w:r>
      <w:r w:rsidRPr="00817B65">
        <w:t>Ergebnis</w:t>
      </w:r>
      <w:bookmarkEnd w:id="134"/>
    </w:p>
    <w:p w14:paraId="5E7732CD" w14:textId="77777777" w:rsidR="00817B65" w:rsidRPr="00817B65" w:rsidRDefault="00817B65" w:rsidP="00817B65">
      <w:pPr>
        <w:pStyle w:val="Randnummer"/>
        <w:framePr w:wrap="around"/>
      </w:pPr>
    </w:p>
    <w:p w14:paraId="5A7FBE12" w14:textId="4DD1D045" w:rsidR="00A0667A" w:rsidRDefault="00817B65" w:rsidP="00035229">
      <w:r w:rsidRPr="00817B65">
        <w:t>Die Klage des B ist zulässig und begründet. Somit hat sie Aussicht auf Erfolg.</w:t>
      </w:r>
      <w:bookmarkEnd w:id="34"/>
    </w:p>
    <w:bookmarkEnd w:id="109"/>
    <w:p w14:paraId="3B6DF0C5" w14:textId="77777777" w:rsidR="00CA43AE" w:rsidRDefault="00CA43AE" w:rsidP="00035229"/>
    <w:p w14:paraId="3001BD8E" w14:textId="77777777" w:rsidR="007E71EB" w:rsidRDefault="007E71EB" w:rsidP="00035229"/>
    <w:p w14:paraId="7C42F6C4" w14:textId="77777777" w:rsidR="007E71EB" w:rsidRDefault="007E71EB" w:rsidP="00035229">
      <w:pPr>
        <w:sectPr w:rsidR="007E71EB" w:rsidSect="007F5EA3">
          <w:footnotePr>
            <w:numRestart w:val="eachSect"/>
          </w:footnotePr>
          <w:pgSz w:w="9639" w:h="13608"/>
          <w:pgMar w:top="1418" w:right="1134" w:bottom="1134" w:left="1134" w:header="709" w:footer="709" w:gutter="0"/>
          <w:pgNumType w:start="1"/>
          <w:cols w:space="708"/>
          <w:docGrid w:linePitch="360"/>
        </w:sectPr>
      </w:pPr>
    </w:p>
    <w:p w14:paraId="619FA5E0" w14:textId="0FF5AAA9" w:rsidR="00A0667A" w:rsidRDefault="00A0667A" w:rsidP="00A0667A">
      <w:pPr>
        <w:pStyle w:val="berschrift1"/>
      </w:pPr>
      <w:bookmarkStart w:id="135" w:name="_Toc10463907"/>
      <w:bookmarkStart w:id="136" w:name="_Toc22132770"/>
      <w:r>
        <w:lastRenderedPageBreak/>
        <w:t>§</w:t>
      </w:r>
      <w:r w:rsidR="008779DD">
        <w:t xml:space="preserve"> </w:t>
      </w:r>
      <w:r w:rsidR="00601E96">
        <w:t xml:space="preserve">3 </w:t>
      </w:r>
      <w:r w:rsidR="008779DD">
        <w:t xml:space="preserve">Übungsfälle zur </w:t>
      </w:r>
      <w:r>
        <w:t>Verpflichtungsklage</w:t>
      </w:r>
      <w:bookmarkEnd w:id="135"/>
      <w:bookmarkEnd w:id="136"/>
    </w:p>
    <w:p w14:paraId="13A723BB" w14:textId="3D838F00" w:rsidR="006635F4" w:rsidRDefault="006635F4" w:rsidP="006635F4">
      <w:pPr>
        <w:pStyle w:val="berschrift2"/>
      </w:pPr>
      <w:bookmarkStart w:id="137" w:name="_Toc22132771"/>
      <w:r>
        <w:t>Die Struktur der Verpflichtungsklage (Nikolas Eisentraut)</w:t>
      </w:r>
      <w:bookmarkEnd w:id="137"/>
    </w:p>
    <w:p w14:paraId="4B47F2AF" w14:textId="77777777" w:rsidR="006635F4" w:rsidRPr="006635F4" w:rsidRDefault="006635F4" w:rsidP="006635F4">
      <w:r w:rsidRPr="006635F4">
        <w:t>Der gutachterlichen Prüfung der Verpflichtungsklage</w:t>
      </w:r>
      <w:r w:rsidRPr="006635F4">
        <w:fldChar w:fldCharType="begin"/>
      </w:r>
      <w:r w:rsidRPr="006635F4">
        <w:instrText xml:space="preserve"> XE "Verpflichtungsklage" </w:instrText>
      </w:r>
      <w:r w:rsidRPr="006635F4">
        <w:fldChar w:fldCharType="end"/>
      </w:r>
      <w:r w:rsidRPr="006635F4">
        <w:t xml:space="preserve"> liegt die folgende Struktur zugrunde:</w:t>
      </w:r>
    </w:p>
    <w:p w14:paraId="22360F19" w14:textId="77777777" w:rsidR="006635F4" w:rsidRPr="006635F4" w:rsidRDefault="006635F4" w:rsidP="006635F4">
      <w:r w:rsidRPr="006635F4">
        <w:t>A. Zulässigkeit</w:t>
      </w:r>
      <w:r w:rsidRPr="006635F4">
        <w:fldChar w:fldCharType="begin"/>
      </w:r>
      <w:r w:rsidRPr="006635F4">
        <w:instrText xml:space="preserve"> XE "Verpflichtungsklage:Zulässigkeitsprüfung" </w:instrText>
      </w:r>
      <w:r w:rsidRPr="006635F4">
        <w:fldChar w:fldCharType="end"/>
      </w:r>
    </w:p>
    <w:p w14:paraId="5FA18BD6" w14:textId="3272A474" w:rsidR="006635F4" w:rsidRPr="00D16DAC" w:rsidRDefault="006635F4" w:rsidP="006635F4">
      <w:pPr>
        <w:ind w:firstLine="708"/>
      </w:pPr>
      <w:r w:rsidRPr="00D16DAC">
        <w:t>I. Eröffnung des Verwaltungsrechtswegs</w:t>
      </w:r>
      <w:r>
        <w:t xml:space="preserve"> (s. § 1 Rn. </w:t>
      </w:r>
      <w:r w:rsidR="003C7CAE">
        <w:t>8</w:t>
      </w:r>
      <w:r>
        <w:t> ff.)</w:t>
      </w:r>
      <w:r w:rsidR="003F18F9">
        <w:rPr>
          <w:rStyle w:val="Funotenzeichen"/>
        </w:rPr>
        <w:footnoteReference w:id="77"/>
      </w:r>
    </w:p>
    <w:p w14:paraId="537E688F" w14:textId="43805508" w:rsidR="006635F4" w:rsidRPr="00D16DAC" w:rsidRDefault="006635F4" w:rsidP="006635F4">
      <w:pPr>
        <w:ind w:left="708"/>
      </w:pPr>
      <w:r w:rsidRPr="00D16DAC">
        <w:t>II. Statthafte Klageart (</w:t>
      </w:r>
      <w:r>
        <w:t>s. § 1 Rn. </w:t>
      </w:r>
      <w:r w:rsidR="003C7CAE">
        <w:t>6</w:t>
      </w:r>
      <w:r>
        <w:t> ff.)</w:t>
      </w:r>
      <w:r>
        <w:rPr>
          <w:rStyle w:val="Funotenzeichen"/>
        </w:rPr>
        <w:footnoteReference w:id="78"/>
      </w:r>
    </w:p>
    <w:p w14:paraId="337E0B4B" w14:textId="77777777" w:rsidR="006635F4" w:rsidRPr="00D16DAC" w:rsidRDefault="006635F4" w:rsidP="006635F4">
      <w:pPr>
        <w:ind w:firstLine="708"/>
      </w:pPr>
      <w:r w:rsidRPr="00D16DAC">
        <w:t>III. Klagebefugnis</w:t>
      </w:r>
      <w:r>
        <w:rPr>
          <w:rStyle w:val="Funotenzeichen"/>
        </w:rPr>
        <w:footnoteReference w:id="79"/>
      </w:r>
    </w:p>
    <w:p w14:paraId="35E46352" w14:textId="6C64FCF6" w:rsidR="006635F4" w:rsidRPr="006635F4" w:rsidRDefault="006635F4" w:rsidP="006635F4">
      <w:pPr>
        <w:ind w:firstLine="708"/>
      </w:pPr>
      <w:r w:rsidRPr="006635F4">
        <w:t>IV. Vorverfahren</w:t>
      </w:r>
      <w:r>
        <w:rPr>
          <w:rStyle w:val="Funotenzeichen"/>
        </w:rPr>
        <w:footnoteReference w:id="80"/>
      </w:r>
    </w:p>
    <w:p w14:paraId="15C3160F" w14:textId="5C1D21C7" w:rsidR="006635F4" w:rsidRPr="006635F4" w:rsidRDefault="006635F4" w:rsidP="006635F4">
      <w:pPr>
        <w:ind w:firstLine="708"/>
      </w:pPr>
      <w:r w:rsidRPr="006635F4">
        <w:t>V. Klagefrist</w:t>
      </w:r>
      <w:r>
        <w:rPr>
          <w:rStyle w:val="Funotenzeichen"/>
        </w:rPr>
        <w:footnoteReference w:id="81"/>
      </w:r>
    </w:p>
    <w:p w14:paraId="78320C0C" w14:textId="3D42F356" w:rsidR="006635F4" w:rsidRPr="006635F4" w:rsidRDefault="006635F4" w:rsidP="006635F4">
      <w:pPr>
        <w:ind w:firstLine="708"/>
      </w:pPr>
      <w:r w:rsidRPr="006635F4">
        <w:t>VI. Beteiligte</w:t>
      </w:r>
      <w:r>
        <w:rPr>
          <w:rStyle w:val="Funotenzeichen"/>
        </w:rPr>
        <w:footnoteReference w:id="82"/>
      </w:r>
    </w:p>
    <w:p w14:paraId="330516F4" w14:textId="520F643C" w:rsidR="006635F4" w:rsidRPr="006635F4" w:rsidRDefault="006635F4" w:rsidP="006635F4">
      <w:pPr>
        <w:ind w:firstLine="708"/>
      </w:pPr>
      <w:r w:rsidRPr="006635F4">
        <w:t>VII. Zuständiges Gericht</w:t>
      </w:r>
      <w:r>
        <w:rPr>
          <w:rStyle w:val="Funotenzeichen"/>
        </w:rPr>
        <w:footnoteReference w:id="83"/>
      </w:r>
    </w:p>
    <w:p w14:paraId="654E6C60" w14:textId="37E3EE86" w:rsidR="006635F4" w:rsidRPr="006635F4" w:rsidRDefault="006635F4" w:rsidP="006635F4">
      <w:pPr>
        <w:ind w:firstLine="708"/>
      </w:pPr>
      <w:r w:rsidRPr="006635F4">
        <w:t>VIII. Rechtsschutzbedürfnis</w:t>
      </w:r>
      <w:r>
        <w:rPr>
          <w:rStyle w:val="Funotenzeichen"/>
        </w:rPr>
        <w:footnoteReference w:id="84"/>
      </w:r>
    </w:p>
    <w:p w14:paraId="0CA081A2" w14:textId="56F655E1" w:rsidR="006635F4" w:rsidRPr="006635F4" w:rsidRDefault="006635F4" w:rsidP="006635F4">
      <w:r w:rsidRPr="006635F4">
        <w:t>B. Begründetheit</w:t>
      </w:r>
      <w:r>
        <w:rPr>
          <w:rStyle w:val="Funotenzeichen"/>
        </w:rPr>
        <w:footnoteReference w:id="85"/>
      </w:r>
    </w:p>
    <w:p w14:paraId="0499E6C4" w14:textId="590DE5D0" w:rsidR="006635F4" w:rsidRPr="006635F4" w:rsidRDefault="006635F4" w:rsidP="006635F4">
      <w:pPr>
        <w:ind w:firstLine="708"/>
      </w:pPr>
      <w:r w:rsidRPr="006635F4">
        <w:t xml:space="preserve">I. </w:t>
      </w:r>
      <w:r>
        <w:t>Anspruchsgrundlage</w:t>
      </w:r>
      <w:r w:rsidR="00134B06">
        <w:rPr>
          <w:rStyle w:val="Funotenzeichen"/>
        </w:rPr>
        <w:footnoteReference w:id="86"/>
      </w:r>
    </w:p>
    <w:p w14:paraId="1F36A88C" w14:textId="03EA42AC" w:rsidR="006635F4" w:rsidRPr="006635F4" w:rsidRDefault="006635F4" w:rsidP="006635F4">
      <w:pPr>
        <w:ind w:firstLine="708"/>
      </w:pPr>
      <w:r w:rsidRPr="006635F4">
        <w:t>II. Anspruchsvoraussetzungen</w:t>
      </w:r>
    </w:p>
    <w:p w14:paraId="575ABC8A" w14:textId="1D5C52A2" w:rsidR="006F6E53" w:rsidRDefault="006635F4" w:rsidP="003F18F9">
      <w:pPr>
        <w:ind w:left="708"/>
        <w:rPr>
          <w:rFonts w:asciiTheme="majorHAnsi" w:eastAsiaTheme="majorEastAsia" w:hAnsiTheme="majorHAnsi" w:cstheme="majorBidi"/>
          <w:b/>
          <w:sz w:val="24"/>
          <w:szCs w:val="28"/>
        </w:rPr>
      </w:pPr>
      <w:r w:rsidRPr="006635F4">
        <w:lastRenderedPageBreak/>
        <w:t>III. Spruchreife? Ansonsten Bescheidungsantrag</w:t>
      </w:r>
      <w:bookmarkStart w:id="138" w:name="_Toc10463984"/>
      <w:bookmarkStart w:id="139" w:name="_Toc13833401"/>
      <w:bookmarkStart w:id="140" w:name="Verpflichtungsklage"/>
      <w:r w:rsidR="006F6E53">
        <w:br w:type="page"/>
      </w:r>
    </w:p>
    <w:p w14:paraId="554F8541" w14:textId="70891E42" w:rsidR="00296147" w:rsidRDefault="00F1012B" w:rsidP="008779DD">
      <w:pPr>
        <w:pStyle w:val="berschrift2"/>
      </w:pPr>
      <w:bookmarkStart w:id="141" w:name="_Toc22132772"/>
      <w:r>
        <w:lastRenderedPageBreak/>
        <w:t>Fall 4</w:t>
      </w:r>
      <w:r w:rsidR="00296147">
        <w:t>: Verpflichtungsklage auf Erteilung einer Baugenehmigung (Erik Sollmann)</w:t>
      </w:r>
      <w:bookmarkEnd w:id="138"/>
      <w:bookmarkEnd w:id="139"/>
      <w:bookmarkEnd w:id="141"/>
    </w:p>
    <w:p w14:paraId="7D408ABE" w14:textId="3017A139" w:rsidR="0017745A" w:rsidRPr="0017745A" w:rsidRDefault="0017745A" w:rsidP="0017745A">
      <w:pPr>
        <w:pStyle w:val="Autorin"/>
      </w:pPr>
      <w:r>
        <w:t>Erik Sollmann</w:t>
      </w:r>
    </w:p>
    <w:p w14:paraId="06CEBCCE" w14:textId="77777777" w:rsidR="00E74D46" w:rsidRPr="00E74D46" w:rsidRDefault="00E74D46" w:rsidP="005A16FB">
      <w:pPr>
        <w:pStyle w:val="Randnummer"/>
        <w:framePr w:wrap="around"/>
        <w:numPr>
          <w:ilvl w:val="0"/>
          <w:numId w:val="7"/>
        </w:numPr>
      </w:pPr>
    </w:p>
    <w:p w14:paraId="12B3488E" w14:textId="17F015C0" w:rsidR="0001383E" w:rsidRPr="009E471F" w:rsidRDefault="009E471F" w:rsidP="00936764">
      <w:r>
        <w:t>Der Fall ist a</w:t>
      </w:r>
      <w:r w:rsidR="00936764" w:rsidRPr="009E471F">
        <w:t xml:space="preserve">ngelehnt an </w:t>
      </w:r>
      <w:hyperlink r:id="rId47" w:history="1">
        <w:r w:rsidR="00B259C2" w:rsidRPr="00B91E0F">
          <w:rPr>
            <w:rStyle w:val="Hyperlink"/>
          </w:rPr>
          <w:t>VGH München, Urt. v. 14.02.2018 – 9 BV 16.1694</w:t>
        </w:r>
      </w:hyperlink>
      <w:r w:rsidR="00B259C2">
        <w:t>.</w:t>
      </w:r>
    </w:p>
    <w:p w14:paraId="2D940405" w14:textId="77777777" w:rsidR="009E471F" w:rsidRDefault="009E471F" w:rsidP="009E471F">
      <w:pPr>
        <w:pStyle w:val="Randnummer"/>
        <w:framePr w:wrap="around"/>
      </w:pPr>
    </w:p>
    <w:p w14:paraId="5190E673" w14:textId="77777777" w:rsidR="00936764" w:rsidRDefault="00936764" w:rsidP="00936764">
      <w:r w:rsidRPr="009E471F">
        <w:t>Lernziele/Schwerpunkte: V</w:t>
      </w:r>
      <w:r w:rsidRPr="00296147">
        <w:t>erpflichtungsklage, Untätigkeitsklage – Erledigung durch nachträgliche Bescheidung, Vornahme- und Bescheidungsklage, Anspruch auf Erteilung einer Baugenehmigung, Zulässigkeit eines Vorhabens im unbeplanten Innenbereich, Zulässigkeit der Art der baulichen Nutzung im faktischen Gewerbegebiet – Systematik der BauNVO, Befreiungstatbestände für Gemeinschaftsunterkünfte für Asylbegehrende (§ 246 X-XII BauGB)</w:t>
      </w:r>
    </w:p>
    <w:p w14:paraId="4535E73E" w14:textId="77777777" w:rsidR="0001383E" w:rsidRPr="00936764" w:rsidRDefault="0001383E" w:rsidP="00936764">
      <w:pPr>
        <w:rPr>
          <w:b/>
        </w:rPr>
      </w:pPr>
    </w:p>
    <w:p w14:paraId="3EE5A63D" w14:textId="77777777" w:rsidR="00936764" w:rsidRPr="00817B65" w:rsidRDefault="00936764" w:rsidP="0001383E">
      <w:pPr>
        <w:pStyle w:val="berschrift3"/>
      </w:pPr>
      <w:r w:rsidRPr="00817B65">
        <w:t>Sachverhalt</w:t>
      </w:r>
    </w:p>
    <w:p w14:paraId="442DE714" w14:textId="77777777" w:rsidR="00E74D46" w:rsidRPr="00E74D46" w:rsidRDefault="00E74D46" w:rsidP="00E74D46">
      <w:pPr>
        <w:pStyle w:val="Randnummer"/>
        <w:framePr w:wrap="around"/>
      </w:pPr>
    </w:p>
    <w:p w14:paraId="0B27518C" w14:textId="77777777" w:rsidR="00936764" w:rsidRPr="00936764" w:rsidRDefault="00936764" w:rsidP="00936764">
      <w:r w:rsidRPr="00936764">
        <w:t>Wilhelmine Bauen (B) ist Eigentümerin eines Grundstücks in der kreisfreien rheinland-pfälzischen Stadt S. Das Grundstück befindet sich in einem Stadtteil, der unmittelbar an den beplanten Innenbereich angrenzt, für den aber selbst kein Bebauungsplan existiert. In dem Gebiet befindet sich eine Vielzahl von Gewerbebetrieben aller Art, Lagerhäuser, Geschäfts-, Büro- und Verwaltungsgebäude sowie eine Tankstelle. Die Betriebe grenzen unmittelbar aneinander; nur vereinzelt bestehen Baulücken von allenfalls einem Grundstück. Auf Bs Grundstück steht ein zulässigerweise errichtetes Bürogebäude, das sie bisher als Callcenter genutzt hat. Im Herbst 2018 entschließt sich B, den schlecht laufenden Callcenterbetrieb einzustellen und das Gebäude fortan als Unterkunft für Asylbegehrende zu nutzen, die nach § 53 AsylG verpflichtet sind, in einer Gemeinschaftsunterkunft zu wohnen. Sie will Sanitärräume, Gemeinschaftsräume und -küchen ergänzen, Zwischenwände einziehen und die so entstehenden Zimmer jeweils mit zwei bis drei Stockbetten ausstatten. Die Unterkunft soll Raum für 100 Asylbegehrende bieten. B beantragt für die geplante Nutzungsänderung formgerecht bei der Stadtverwaltung eine Baugenehmigung.</w:t>
      </w:r>
    </w:p>
    <w:p w14:paraId="7E702419" w14:textId="77777777" w:rsidR="00936764" w:rsidRPr="00936764" w:rsidRDefault="00936764" w:rsidP="00936764">
      <w:r w:rsidRPr="00936764">
        <w:t xml:space="preserve">Der zuständige Sachbearbeiter in der Stadtverwaltung Herr Ängstlich (Ä) ist der Auffassung, dass eine Baugenehmigung allenfalls unter Abweichung von Bestimmungen in Betracht kommt, die auch dem Schutz nachbarlicher Interessen dienen. Er gibt Bs Nachbarn daher die Möglichkeit Einwendungen zu erheben. Nora Nörgli (N) betreibt auf ihrem Grundstück unmittelbar neben Bs Grundstück eine Lager- und Logistikhalle für einen Onlineversandhandel. Sie meint, die von B geplante wohnähnliche Nutzung dürfe nicht genehmigt werden. An ihrer Lagerhalle würden nicht nur tagsüber, sondern auch nachts Waren angeliefert und abgeholt, so dass die Bewohner der Unterkunft rund um die Uhr beschallt würden. Sie fürchtet, dass es zu Beschwerden und in der Folge ihr gegenüber zu Lärmschutzanordnungen kommen werde, die sie in der Nutzungsmöglichkeit ihres Grundstücks beeinträchtigen. B verweist zutreffend darauf, dass sie in ihrem Bauantrag bereits den Einbau von Schallschutzfenster vorgesehen habe, so dass der Lärm im Gebäude </w:t>
      </w:r>
      <w:r w:rsidRPr="00936764">
        <w:lastRenderedPageBreak/>
        <w:t>solange die Fenster geschlossen bleiben auf ein gesundheitlich unbedenkliches Maß reduziert wird.</w:t>
      </w:r>
    </w:p>
    <w:p w14:paraId="2F25D4C9" w14:textId="77777777" w:rsidR="00936764" w:rsidRPr="00936764" w:rsidRDefault="00936764" w:rsidP="00936764">
      <w:r w:rsidRPr="00936764">
        <w:t>Ä fühlt sich von diesen Nachbarstreitigkeiten überfordert und lässt Bs Antrag unbeschieden. B wartet noch nach über drei Monaten und einer unbeantworteten Sachstandsanfrage weiter auf die Bescheidung ihres Antrags. Nach weiteren sechs Monaten ist B des Wartens überdrüssig und wendet sich an das zuständige Verwaltungsgericht. B möchte, dass die Stadt verpflichtet wird, ihr die beantrage Baugenehmigung zu erteilen. Durch die Klageerhebung sieht sich Ä veranlasst zu handeln und lehnt die Erteilung der Baugenehmigung nun doch ab.</w:t>
      </w:r>
    </w:p>
    <w:p w14:paraId="5960E6AE" w14:textId="77777777" w:rsidR="00936764" w:rsidRDefault="00936764" w:rsidP="00936764">
      <w:pPr>
        <w:rPr>
          <w:b/>
        </w:rPr>
      </w:pPr>
      <w:r w:rsidRPr="00936764">
        <w:rPr>
          <w:b/>
        </w:rPr>
        <w:t>Wie wird das Gericht entscheiden?</w:t>
      </w:r>
    </w:p>
    <w:p w14:paraId="43B54FF4" w14:textId="029486F1" w:rsidR="00936764" w:rsidRDefault="00936764" w:rsidP="00936764">
      <w:pPr>
        <w:rPr>
          <w:b/>
        </w:rPr>
      </w:pPr>
      <w:r w:rsidRPr="00261442">
        <w:rPr>
          <w:b/>
        </w:rPr>
        <w:t>Abwandlung</w:t>
      </w:r>
      <w:r w:rsidR="00261442">
        <w:rPr>
          <w:b/>
        </w:rPr>
        <w:t>:</w:t>
      </w:r>
      <w:r w:rsidR="00261442" w:rsidRPr="00261442">
        <w:t xml:space="preserve"> </w:t>
      </w:r>
      <w:r w:rsidRPr="00936764">
        <w:t>Die Stadtverwaltung erteilt B die beantragte Baugenehmigung. Gegen diese legt N nun aber Widerspruch ein. Die Widerspruchbehörde entscheidet über Ns Widerspruch auch nach über drei Monaten nicht, ohne dass dafür ein zureichender Grund besteht. Nachdem B wiederholt erfolglos um die Bescheidung von Ns Widerspruchs gebeten hat, möchte sie nun verwaltungsgerichtlich eine Verpflichtung zur Bescheidun</w:t>
      </w:r>
      <w:r w:rsidR="00261442">
        <w:t xml:space="preserve">g von Ns Widerspruch erreichen. </w:t>
      </w:r>
      <w:r w:rsidRPr="00936764">
        <w:rPr>
          <w:b/>
        </w:rPr>
        <w:t>Ist Bs Begehren statthaft?</w:t>
      </w:r>
    </w:p>
    <w:p w14:paraId="0095FA5D" w14:textId="77777777" w:rsidR="00095F85" w:rsidRPr="00261442" w:rsidRDefault="00095F85" w:rsidP="00936764"/>
    <w:p w14:paraId="4768AA43" w14:textId="77777777" w:rsidR="00936764" w:rsidRPr="00936764" w:rsidRDefault="00936764" w:rsidP="00936764">
      <w:pPr>
        <w:rPr>
          <w:b/>
        </w:rPr>
      </w:pPr>
      <w:r w:rsidRPr="00936764">
        <w:rPr>
          <w:b/>
        </w:rPr>
        <w:t>Auszug LBauO RLP:</w:t>
      </w:r>
    </w:p>
    <w:p w14:paraId="15589C37" w14:textId="77777777" w:rsidR="00936764" w:rsidRPr="00095F85" w:rsidRDefault="00936764" w:rsidP="00936764">
      <w:pPr>
        <w:rPr>
          <w:b/>
        </w:rPr>
      </w:pPr>
      <w:r w:rsidRPr="00095F85">
        <w:rPr>
          <w:b/>
        </w:rPr>
        <w:t xml:space="preserve">§ 1 - Anwendungsbereich </w:t>
      </w:r>
    </w:p>
    <w:p w14:paraId="036DB596" w14:textId="77777777" w:rsidR="00936764" w:rsidRPr="00095F85" w:rsidRDefault="00936764" w:rsidP="00936764">
      <w:r w:rsidRPr="00095F85">
        <w:t xml:space="preserve">(1) </w:t>
      </w:r>
      <w:r w:rsidRPr="00095F85">
        <w:rPr>
          <w:vertAlign w:val="superscript"/>
        </w:rPr>
        <w:t>1</w:t>
      </w:r>
      <w:r w:rsidRPr="00095F85">
        <w:t>Dieses Gesetz gilt für bauliche Anlagen und Bauprodukte.</w:t>
      </w:r>
    </w:p>
    <w:p w14:paraId="22DBF989" w14:textId="77777777" w:rsidR="00936764" w:rsidRPr="00095F85" w:rsidRDefault="00936764" w:rsidP="00936764">
      <w:pPr>
        <w:rPr>
          <w:b/>
        </w:rPr>
      </w:pPr>
      <w:r w:rsidRPr="00095F85">
        <w:rPr>
          <w:b/>
        </w:rPr>
        <w:t xml:space="preserve">§ 2 - Begriffe </w:t>
      </w:r>
    </w:p>
    <w:p w14:paraId="6C00BF87" w14:textId="77777777" w:rsidR="00936764" w:rsidRPr="00095F85" w:rsidRDefault="00936764" w:rsidP="00936764">
      <w:r w:rsidRPr="00095F85">
        <w:t xml:space="preserve">(1) </w:t>
      </w:r>
      <w:r w:rsidRPr="00095F85">
        <w:rPr>
          <w:vertAlign w:val="superscript"/>
        </w:rPr>
        <w:t>1</w:t>
      </w:r>
      <w:r w:rsidRPr="00095F85">
        <w:t>Bauliche Anlagen sind mit dem Erdboden verbundene, aus Bauprodukten hergestellte Anlagen.</w:t>
      </w:r>
    </w:p>
    <w:p w14:paraId="73C0982C" w14:textId="77777777" w:rsidR="00936764" w:rsidRPr="00095F85" w:rsidRDefault="00936764" w:rsidP="00936764">
      <w:pPr>
        <w:rPr>
          <w:b/>
        </w:rPr>
      </w:pPr>
      <w:r w:rsidRPr="00095F85">
        <w:rPr>
          <w:b/>
        </w:rPr>
        <w:t xml:space="preserve">§ 58 - Bauaufsichtsbehörden </w:t>
      </w:r>
    </w:p>
    <w:p w14:paraId="3E9AD32F" w14:textId="77777777" w:rsidR="00936764" w:rsidRPr="00095F85" w:rsidRDefault="00936764" w:rsidP="00936764">
      <w:r w:rsidRPr="00095F85">
        <w:t xml:space="preserve">(1) </w:t>
      </w:r>
      <w:r w:rsidRPr="00095F85">
        <w:rPr>
          <w:vertAlign w:val="superscript"/>
        </w:rPr>
        <w:t>1</w:t>
      </w:r>
      <w:r w:rsidRPr="00095F85">
        <w:t>Bauaufsichtsbehörden sind:</w:t>
      </w:r>
    </w:p>
    <w:p w14:paraId="54A48E03" w14:textId="77777777" w:rsidR="00936764" w:rsidRPr="00095F85" w:rsidRDefault="00936764" w:rsidP="00936764">
      <w:r w:rsidRPr="00095F85">
        <w:t>1. das fachlich zuständige Ministerium als oberste Bauaufsichtsbehörde,</w:t>
      </w:r>
    </w:p>
    <w:p w14:paraId="47E8DE0F" w14:textId="77777777" w:rsidR="00936764" w:rsidRPr="00095F85" w:rsidRDefault="00936764" w:rsidP="00936764">
      <w:r w:rsidRPr="00095F85">
        <w:t>2. die Struktur- und Genehmigungsdirektion als obere Bauaufsichtsbehörde,</w:t>
      </w:r>
    </w:p>
    <w:p w14:paraId="4B9BBE8A" w14:textId="77777777" w:rsidR="00936764" w:rsidRPr="00095F85" w:rsidRDefault="00936764" w:rsidP="00936764">
      <w:r w:rsidRPr="00095F85">
        <w:t>3. die Kreisverwaltung, in kreisfreien und großen kreisangehörigen Städten die Stadtverwaltung, als untere Bauaufsichtsbehörde.</w:t>
      </w:r>
    </w:p>
    <w:p w14:paraId="30E98CD9" w14:textId="77777777" w:rsidR="00936764" w:rsidRPr="00095F85" w:rsidRDefault="00936764" w:rsidP="00936764">
      <w:pPr>
        <w:rPr>
          <w:b/>
        </w:rPr>
      </w:pPr>
      <w:r w:rsidRPr="00095F85">
        <w:rPr>
          <w:b/>
        </w:rPr>
        <w:t>§ 60 - Sachliche Zuständigkeit</w:t>
      </w:r>
    </w:p>
    <w:p w14:paraId="0ACD3D13" w14:textId="77777777" w:rsidR="00936764" w:rsidRDefault="00936764" w:rsidP="00936764">
      <w:r w:rsidRPr="00095F85">
        <w:t>Sachlich zuständig ist, soweit in diesem Gesetz oder in Vorschriften aufgrund dieses Gesetzes nichts anderes bestimmt ist, die untere Bauaufsichtsbehörde.</w:t>
      </w:r>
    </w:p>
    <w:p w14:paraId="7EACA604" w14:textId="77777777" w:rsidR="00936764" w:rsidRPr="00095F85" w:rsidRDefault="00936764" w:rsidP="00936764">
      <w:pPr>
        <w:rPr>
          <w:b/>
        </w:rPr>
      </w:pPr>
      <w:r w:rsidRPr="00095F85">
        <w:rPr>
          <w:b/>
        </w:rPr>
        <w:t xml:space="preserve">§ 61 - Genehmigungsbedürftige Vorhaben </w:t>
      </w:r>
    </w:p>
    <w:p w14:paraId="4069D66C" w14:textId="59A468E6" w:rsidR="00936764" w:rsidRPr="00095F85" w:rsidRDefault="00936764" w:rsidP="00936764">
      <w:r w:rsidRPr="00095F85">
        <w:lastRenderedPageBreak/>
        <w:t xml:space="preserve">Die Errichtung, die Änderung, die Nutzungsänderung und der Abbruch baulicher Anlagen sowie anderer Anlagen und Einrichtungen im Sinne des § 1 </w:t>
      </w:r>
      <w:r w:rsidR="00E91AF0" w:rsidRPr="00095F85">
        <w:t>I</w:t>
      </w:r>
      <w:r w:rsidRPr="00095F85">
        <w:t xml:space="preserve"> Satz 2 bedürfen der Genehmigung (Baugenehmigung), soweit in den §§ 62, 67 und 84 nichts anderes bestimmt ist.</w:t>
      </w:r>
    </w:p>
    <w:p w14:paraId="3753C786" w14:textId="77777777" w:rsidR="00936764" w:rsidRPr="00095F85" w:rsidRDefault="00936764" w:rsidP="00936764">
      <w:pPr>
        <w:rPr>
          <w:b/>
        </w:rPr>
      </w:pPr>
      <w:r w:rsidRPr="00095F85">
        <w:rPr>
          <w:b/>
        </w:rPr>
        <w:t>§ 62 - Genehmigungsfreie Vorhaben</w:t>
      </w:r>
    </w:p>
    <w:p w14:paraId="241A34CD" w14:textId="77777777" w:rsidR="00936764" w:rsidRPr="00095F85" w:rsidRDefault="00936764" w:rsidP="00936764">
      <w:r w:rsidRPr="00095F85">
        <w:t>(2) Keiner Baugenehmigung bedürfen ferner:</w:t>
      </w:r>
    </w:p>
    <w:p w14:paraId="1C685D23" w14:textId="77777777" w:rsidR="00936764" w:rsidRPr="00095F85" w:rsidRDefault="00936764" w:rsidP="00936764">
      <w:r w:rsidRPr="00095F85">
        <w:t>5. Nutzungsänderungen von</w:t>
      </w:r>
    </w:p>
    <w:p w14:paraId="6AC9D82F" w14:textId="77777777" w:rsidR="00936764" w:rsidRPr="00095F85" w:rsidRDefault="00936764" w:rsidP="00936764">
      <w:r w:rsidRPr="00095F85">
        <w:t>a) Gebäuden, Nutzungseinheiten und Räumen, die nicht im Außenbereich liegen, wenn für die neue Nutzung keine anderen bedeutsamen öffentlich-rechtlichen Anforderungen als für die bisherige Nutzung gelten,</w:t>
      </w:r>
    </w:p>
    <w:p w14:paraId="5C77866C" w14:textId="77777777" w:rsidR="00936764" w:rsidRPr="00095F85" w:rsidRDefault="00936764" w:rsidP="00936764">
      <w:pPr>
        <w:rPr>
          <w:b/>
        </w:rPr>
      </w:pPr>
      <w:r w:rsidRPr="00095F85">
        <w:rPr>
          <w:b/>
        </w:rPr>
        <w:t>§ 63 - Bauantrag</w:t>
      </w:r>
    </w:p>
    <w:p w14:paraId="706CC71B" w14:textId="77777777" w:rsidR="00936764" w:rsidRPr="00095F85" w:rsidRDefault="00936764" w:rsidP="00936764">
      <w:r w:rsidRPr="00095F85">
        <w:t xml:space="preserve">(1) </w:t>
      </w:r>
      <w:r w:rsidRPr="00095F85">
        <w:rPr>
          <w:vertAlign w:val="superscript"/>
        </w:rPr>
        <w:t>1</w:t>
      </w:r>
      <w:r w:rsidRPr="00095F85">
        <w:t>Der Antrag auf Erteilung der Baugenehmigung (Bauantrag) ist von der Bauherrin oder dem Bauherrn schriftlich bei der Gemeindeverwaltung einzureichen.</w:t>
      </w:r>
    </w:p>
    <w:p w14:paraId="181F49E7" w14:textId="77777777" w:rsidR="00936764" w:rsidRPr="00095F85" w:rsidRDefault="00936764" w:rsidP="00936764">
      <w:pPr>
        <w:rPr>
          <w:b/>
        </w:rPr>
      </w:pPr>
      <w:r w:rsidRPr="00095F85">
        <w:rPr>
          <w:b/>
        </w:rPr>
        <w:t>§ 68 - Beteiligung der Nachbarinnen und Nachbarn</w:t>
      </w:r>
    </w:p>
    <w:p w14:paraId="0362D666" w14:textId="77777777" w:rsidR="00936764" w:rsidRPr="00095F85" w:rsidRDefault="00936764" w:rsidP="00936764">
      <w:r w:rsidRPr="00095F85">
        <w:t xml:space="preserve">(2) </w:t>
      </w:r>
      <w:r w:rsidRPr="00095F85">
        <w:rPr>
          <w:vertAlign w:val="superscript"/>
        </w:rPr>
        <w:t>1</w:t>
      </w:r>
      <w:r w:rsidRPr="00095F85">
        <w:t xml:space="preserve">Beabsichtigt die Bauaufsichtsbehörde von Bestimmungen, die auch dem Schutz nachbarlicher Interessen dienen, Abweichungen zuzulassen, so teilt sie dies den Nachbarinnen und Nachbarn mit, deren Zustimmung fehlt. Auf Verlangen ist diesen Einsicht in den Lageplan und in die Bauzeichnungen zu gewähren; hierauf ist in der Mitteilung hinzuweisen. </w:t>
      </w:r>
      <w:r w:rsidRPr="00095F85">
        <w:rPr>
          <w:vertAlign w:val="superscript"/>
        </w:rPr>
        <w:t>2</w:t>
      </w:r>
      <w:r w:rsidRPr="00095F85">
        <w:t>Die Nachbarinnen und Nachbarn können innerhalb von zwei Wochen nach Zustellung der Mitteilung bei der Bauaufsichtsbehörde schriftlich oder zur Niederschrift Einwendungen erheben.</w:t>
      </w:r>
    </w:p>
    <w:p w14:paraId="01C7B25E" w14:textId="77777777" w:rsidR="00936764" w:rsidRPr="00095F85" w:rsidRDefault="00936764" w:rsidP="00936764">
      <w:pPr>
        <w:rPr>
          <w:b/>
        </w:rPr>
      </w:pPr>
      <w:r w:rsidRPr="00095F85">
        <w:rPr>
          <w:b/>
        </w:rPr>
        <w:t>§ 70 - Baugenehmigung</w:t>
      </w:r>
    </w:p>
    <w:p w14:paraId="6512732C" w14:textId="77777777" w:rsidR="00936764" w:rsidRPr="00936764" w:rsidRDefault="00936764" w:rsidP="00936764">
      <w:r w:rsidRPr="00095F85">
        <w:t xml:space="preserve">(1) </w:t>
      </w:r>
      <w:r w:rsidRPr="00095F85">
        <w:rPr>
          <w:vertAlign w:val="superscript"/>
        </w:rPr>
        <w:t>1</w:t>
      </w:r>
      <w:r w:rsidRPr="00095F85">
        <w:t>Die Baugenehmigung ist zu</w:t>
      </w:r>
      <w:r w:rsidRPr="00936764">
        <w:t xml:space="preserve"> erteilen, wenn dem Vorhaben keine baurechtlichen oder sonstigen öffentlich-rechtlichen Vorschriften entgegenstehen.</w:t>
      </w:r>
    </w:p>
    <w:p w14:paraId="083E46EE" w14:textId="77777777" w:rsidR="0001383E" w:rsidRDefault="0001383E">
      <w:pPr>
        <w:jc w:val="left"/>
        <w:rPr>
          <w:rFonts w:ascii="Calibri" w:eastAsiaTheme="majorEastAsia" w:hAnsi="Calibri" w:cstheme="majorBidi"/>
          <w:sz w:val="26"/>
          <w:szCs w:val="26"/>
        </w:rPr>
      </w:pPr>
      <w:r>
        <w:br w:type="page"/>
      </w:r>
    </w:p>
    <w:p w14:paraId="4F8B9605" w14:textId="5EB6072E" w:rsidR="00817B65" w:rsidRDefault="00817B65" w:rsidP="0001383E">
      <w:pPr>
        <w:pStyle w:val="berschrift3"/>
      </w:pPr>
      <w:r>
        <w:t>Lösungsgliederung</w:t>
      </w:r>
    </w:p>
    <w:p w14:paraId="14F4E1FE" w14:textId="77777777" w:rsidR="00817B65" w:rsidRDefault="00817B65" w:rsidP="00817B65">
      <w:pPr>
        <w:pStyle w:val="Randnummer"/>
        <w:framePr w:wrap="around"/>
      </w:pPr>
    </w:p>
    <w:p w14:paraId="5ADC77CE" w14:textId="54485A5A" w:rsidR="007537A8" w:rsidRDefault="00CA43AE">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"Fall4" </w:instrText>
      </w:r>
      <w:r>
        <w:rPr>
          <w:rFonts w:eastAsiaTheme="majorEastAsia"/>
        </w:rPr>
        <w:fldChar w:fldCharType="separate"/>
      </w:r>
      <w:hyperlink w:anchor="_Toc22133010" w:history="1">
        <w:r w:rsidR="007537A8" w:rsidRPr="00800905">
          <w:rPr>
            <w:rStyle w:val="Hyperlink"/>
            <w:noProof/>
          </w:rPr>
          <w:t>Lösungsvorschlag Grundfall</w:t>
        </w:r>
        <w:r w:rsidR="007537A8">
          <w:rPr>
            <w:noProof/>
            <w:webHidden/>
          </w:rPr>
          <w:tab/>
        </w:r>
        <w:r w:rsidR="007537A8">
          <w:rPr>
            <w:noProof/>
            <w:webHidden/>
          </w:rPr>
          <w:fldChar w:fldCharType="begin"/>
        </w:r>
        <w:r w:rsidR="007537A8">
          <w:rPr>
            <w:noProof/>
            <w:webHidden/>
          </w:rPr>
          <w:instrText xml:space="preserve"> PAGEREF _Toc22133010 \h </w:instrText>
        </w:r>
        <w:r w:rsidR="007537A8">
          <w:rPr>
            <w:noProof/>
            <w:webHidden/>
          </w:rPr>
        </w:r>
        <w:r w:rsidR="007537A8">
          <w:rPr>
            <w:noProof/>
            <w:webHidden/>
          </w:rPr>
          <w:fldChar w:fldCharType="separate"/>
        </w:r>
        <w:r w:rsidR="007537A8">
          <w:rPr>
            <w:noProof/>
            <w:webHidden/>
          </w:rPr>
          <w:t>47</w:t>
        </w:r>
        <w:r w:rsidR="007537A8">
          <w:rPr>
            <w:noProof/>
            <w:webHidden/>
          </w:rPr>
          <w:fldChar w:fldCharType="end"/>
        </w:r>
      </w:hyperlink>
    </w:p>
    <w:p w14:paraId="56ECF1BA" w14:textId="6C1555FD" w:rsidR="007537A8" w:rsidRDefault="00091FED">
      <w:pPr>
        <w:pStyle w:val="Verzeichnis4"/>
        <w:tabs>
          <w:tab w:val="right" w:leader="dot" w:pos="7361"/>
        </w:tabs>
        <w:rPr>
          <w:rFonts w:eastAsiaTheme="minorEastAsia"/>
          <w:noProof/>
          <w:sz w:val="22"/>
          <w:szCs w:val="22"/>
          <w:lang w:eastAsia="de-DE"/>
        </w:rPr>
      </w:pPr>
      <w:hyperlink w:anchor="_Toc22133011" w:history="1">
        <w:r w:rsidR="007537A8" w:rsidRPr="00800905">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_Toc22133011 \h </w:instrText>
        </w:r>
        <w:r w:rsidR="007537A8">
          <w:rPr>
            <w:noProof/>
            <w:webHidden/>
          </w:rPr>
        </w:r>
        <w:r w:rsidR="007537A8">
          <w:rPr>
            <w:noProof/>
            <w:webHidden/>
          </w:rPr>
          <w:fldChar w:fldCharType="separate"/>
        </w:r>
        <w:r w:rsidR="007537A8">
          <w:rPr>
            <w:noProof/>
            <w:webHidden/>
          </w:rPr>
          <w:t>47</w:t>
        </w:r>
        <w:r w:rsidR="007537A8">
          <w:rPr>
            <w:noProof/>
            <w:webHidden/>
          </w:rPr>
          <w:fldChar w:fldCharType="end"/>
        </w:r>
      </w:hyperlink>
    </w:p>
    <w:p w14:paraId="5B0248E1" w14:textId="4A4DEC0A" w:rsidR="007537A8" w:rsidRDefault="00091FED">
      <w:pPr>
        <w:pStyle w:val="Verzeichnis5"/>
        <w:tabs>
          <w:tab w:val="right" w:leader="dot" w:pos="7361"/>
        </w:tabs>
        <w:rPr>
          <w:rFonts w:eastAsiaTheme="minorEastAsia"/>
          <w:noProof/>
          <w:sz w:val="22"/>
          <w:szCs w:val="22"/>
          <w:lang w:eastAsia="de-DE"/>
        </w:rPr>
      </w:pPr>
      <w:hyperlink w:anchor="_Toc22133012" w:history="1">
        <w:r w:rsidR="007537A8" w:rsidRPr="00800905">
          <w:rPr>
            <w:rStyle w:val="Hyperlink"/>
            <w:noProof/>
          </w:rPr>
          <w:t>I. Eröffnung des Verwaltungsrechtswegs</w:t>
        </w:r>
        <w:r w:rsidR="007537A8">
          <w:rPr>
            <w:noProof/>
            <w:webHidden/>
          </w:rPr>
          <w:tab/>
        </w:r>
        <w:r w:rsidR="007537A8">
          <w:rPr>
            <w:noProof/>
            <w:webHidden/>
          </w:rPr>
          <w:fldChar w:fldCharType="begin"/>
        </w:r>
        <w:r w:rsidR="007537A8">
          <w:rPr>
            <w:noProof/>
            <w:webHidden/>
          </w:rPr>
          <w:instrText xml:space="preserve"> PAGEREF _Toc22133012 \h </w:instrText>
        </w:r>
        <w:r w:rsidR="007537A8">
          <w:rPr>
            <w:noProof/>
            <w:webHidden/>
          </w:rPr>
        </w:r>
        <w:r w:rsidR="007537A8">
          <w:rPr>
            <w:noProof/>
            <w:webHidden/>
          </w:rPr>
          <w:fldChar w:fldCharType="separate"/>
        </w:r>
        <w:r w:rsidR="007537A8">
          <w:rPr>
            <w:noProof/>
            <w:webHidden/>
          </w:rPr>
          <w:t>47</w:t>
        </w:r>
        <w:r w:rsidR="007537A8">
          <w:rPr>
            <w:noProof/>
            <w:webHidden/>
          </w:rPr>
          <w:fldChar w:fldCharType="end"/>
        </w:r>
      </w:hyperlink>
    </w:p>
    <w:p w14:paraId="01B2D78E" w14:textId="39D0FFA0" w:rsidR="007537A8" w:rsidRDefault="00091FED">
      <w:pPr>
        <w:pStyle w:val="Verzeichnis5"/>
        <w:tabs>
          <w:tab w:val="right" w:leader="dot" w:pos="7361"/>
        </w:tabs>
        <w:rPr>
          <w:rFonts w:eastAsiaTheme="minorEastAsia"/>
          <w:noProof/>
          <w:sz w:val="22"/>
          <w:szCs w:val="22"/>
          <w:lang w:eastAsia="de-DE"/>
        </w:rPr>
      </w:pPr>
      <w:hyperlink w:anchor="_Toc22133013" w:history="1">
        <w:r w:rsidR="007537A8" w:rsidRPr="00800905">
          <w:rPr>
            <w:rStyle w:val="Hyperlink"/>
            <w:noProof/>
          </w:rPr>
          <w:t>II. Statthafte Klageart</w:t>
        </w:r>
        <w:r w:rsidR="007537A8">
          <w:rPr>
            <w:noProof/>
            <w:webHidden/>
          </w:rPr>
          <w:tab/>
        </w:r>
        <w:r w:rsidR="007537A8">
          <w:rPr>
            <w:noProof/>
            <w:webHidden/>
          </w:rPr>
          <w:fldChar w:fldCharType="begin"/>
        </w:r>
        <w:r w:rsidR="007537A8">
          <w:rPr>
            <w:noProof/>
            <w:webHidden/>
          </w:rPr>
          <w:instrText xml:space="preserve"> PAGEREF _Toc22133013 \h </w:instrText>
        </w:r>
        <w:r w:rsidR="007537A8">
          <w:rPr>
            <w:noProof/>
            <w:webHidden/>
          </w:rPr>
        </w:r>
        <w:r w:rsidR="007537A8">
          <w:rPr>
            <w:noProof/>
            <w:webHidden/>
          </w:rPr>
          <w:fldChar w:fldCharType="separate"/>
        </w:r>
        <w:r w:rsidR="007537A8">
          <w:rPr>
            <w:noProof/>
            <w:webHidden/>
          </w:rPr>
          <w:t>47</w:t>
        </w:r>
        <w:r w:rsidR="007537A8">
          <w:rPr>
            <w:noProof/>
            <w:webHidden/>
          </w:rPr>
          <w:fldChar w:fldCharType="end"/>
        </w:r>
      </w:hyperlink>
    </w:p>
    <w:p w14:paraId="450400B5" w14:textId="45B09548" w:rsidR="007537A8" w:rsidRDefault="00091FED">
      <w:pPr>
        <w:pStyle w:val="Verzeichnis5"/>
        <w:tabs>
          <w:tab w:val="right" w:leader="dot" w:pos="7361"/>
        </w:tabs>
        <w:rPr>
          <w:rFonts w:eastAsiaTheme="minorEastAsia"/>
          <w:noProof/>
          <w:sz w:val="22"/>
          <w:szCs w:val="22"/>
          <w:lang w:eastAsia="de-DE"/>
        </w:rPr>
      </w:pPr>
      <w:hyperlink w:anchor="_Toc22133014" w:history="1">
        <w:r w:rsidR="007537A8" w:rsidRPr="00800905">
          <w:rPr>
            <w:rStyle w:val="Hyperlink"/>
            <w:noProof/>
          </w:rPr>
          <w:t>III. Klagebefugnis</w:t>
        </w:r>
        <w:r w:rsidR="007537A8">
          <w:rPr>
            <w:noProof/>
            <w:webHidden/>
          </w:rPr>
          <w:tab/>
        </w:r>
        <w:r w:rsidR="007537A8">
          <w:rPr>
            <w:noProof/>
            <w:webHidden/>
          </w:rPr>
          <w:fldChar w:fldCharType="begin"/>
        </w:r>
        <w:r w:rsidR="007537A8">
          <w:rPr>
            <w:noProof/>
            <w:webHidden/>
          </w:rPr>
          <w:instrText xml:space="preserve"> PAGEREF _Toc22133014 \h </w:instrText>
        </w:r>
        <w:r w:rsidR="007537A8">
          <w:rPr>
            <w:noProof/>
            <w:webHidden/>
          </w:rPr>
        </w:r>
        <w:r w:rsidR="007537A8">
          <w:rPr>
            <w:noProof/>
            <w:webHidden/>
          </w:rPr>
          <w:fldChar w:fldCharType="separate"/>
        </w:r>
        <w:r w:rsidR="007537A8">
          <w:rPr>
            <w:noProof/>
            <w:webHidden/>
          </w:rPr>
          <w:t>48</w:t>
        </w:r>
        <w:r w:rsidR="007537A8">
          <w:rPr>
            <w:noProof/>
            <w:webHidden/>
          </w:rPr>
          <w:fldChar w:fldCharType="end"/>
        </w:r>
      </w:hyperlink>
    </w:p>
    <w:p w14:paraId="459BFA58" w14:textId="3827A82F" w:rsidR="007537A8" w:rsidRDefault="00091FED">
      <w:pPr>
        <w:pStyle w:val="Verzeichnis5"/>
        <w:tabs>
          <w:tab w:val="right" w:leader="dot" w:pos="7361"/>
        </w:tabs>
        <w:rPr>
          <w:rFonts w:eastAsiaTheme="minorEastAsia"/>
          <w:noProof/>
          <w:sz w:val="22"/>
          <w:szCs w:val="22"/>
          <w:lang w:eastAsia="de-DE"/>
        </w:rPr>
      </w:pPr>
      <w:hyperlink w:anchor="_Toc22133015" w:history="1">
        <w:r w:rsidR="007537A8" w:rsidRPr="00800905">
          <w:rPr>
            <w:rStyle w:val="Hyperlink"/>
            <w:noProof/>
          </w:rPr>
          <w:t>IV. Vorverfahren</w:t>
        </w:r>
        <w:r w:rsidR="007537A8">
          <w:rPr>
            <w:noProof/>
            <w:webHidden/>
          </w:rPr>
          <w:tab/>
        </w:r>
        <w:r w:rsidR="007537A8">
          <w:rPr>
            <w:noProof/>
            <w:webHidden/>
          </w:rPr>
          <w:fldChar w:fldCharType="begin"/>
        </w:r>
        <w:r w:rsidR="007537A8">
          <w:rPr>
            <w:noProof/>
            <w:webHidden/>
          </w:rPr>
          <w:instrText xml:space="preserve"> PAGEREF _Toc22133015 \h </w:instrText>
        </w:r>
        <w:r w:rsidR="007537A8">
          <w:rPr>
            <w:noProof/>
            <w:webHidden/>
          </w:rPr>
        </w:r>
        <w:r w:rsidR="007537A8">
          <w:rPr>
            <w:noProof/>
            <w:webHidden/>
          </w:rPr>
          <w:fldChar w:fldCharType="separate"/>
        </w:r>
        <w:r w:rsidR="007537A8">
          <w:rPr>
            <w:noProof/>
            <w:webHidden/>
          </w:rPr>
          <w:t>48</w:t>
        </w:r>
        <w:r w:rsidR="007537A8">
          <w:rPr>
            <w:noProof/>
            <w:webHidden/>
          </w:rPr>
          <w:fldChar w:fldCharType="end"/>
        </w:r>
      </w:hyperlink>
    </w:p>
    <w:p w14:paraId="0BDFE39B" w14:textId="10C2204E" w:rsidR="007537A8" w:rsidRDefault="00091FED">
      <w:pPr>
        <w:pStyle w:val="Verzeichnis5"/>
        <w:tabs>
          <w:tab w:val="right" w:leader="dot" w:pos="7361"/>
        </w:tabs>
        <w:rPr>
          <w:rFonts w:eastAsiaTheme="minorEastAsia"/>
          <w:noProof/>
          <w:sz w:val="22"/>
          <w:szCs w:val="22"/>
          <w:lang w:eastAsia="de-DE"/>
        </w:rPr>
      </w:pPr>
      <w:hyperlink w:anchor="_Toc22133016" w:history="1">
        <w:r w:rsidR="007537A8" w:rsidRPr="00800905">
          <w:rPr>
            <w:rStyle w:val="Hyperlink"/>
            <w:noProof/>
          </w:rPr>
          <w:t>V. Klagegegnerin</w:t>
        </w:r>
        <w:r w:rsidR="007537A8">
          <w:rPr>
            <w:noProof/>
            <w:webHidden/>
          </w:rPr>
          <w:tab/>
        </w:r>
        <w:r w:rsidR="007537A8">
          <w:rPr>
            <w:noProof/>
            <w:webHidden/>
          </w:rPr>
          <w:fldChar w:fldCharType="begin"/>
        </w:r>
        <w:r w:rsidR="007537A8">
          <w:rPr>
            <w:noProof/>
            <w:webHidden/>
          </w:rPr>
          <w:instrText xml:space="preserve"> PAGEREF _Toc22133016 \h </w:instrText>
        </w:r>
        <w:r w:rsidR="007537A8">
          <w:rPr>
            <w:noProof/>
            <w:webHidden/>
          </w:rPr>
        </w:r>
        <w:r w:rsidR="007537A8">
          <w:rPr>
            <w:noProof/>
            <w:webHidden/>
          </w:rPr>
          <w:fldChar w:fldCharType="separate"/>
        </w:r>
        <w:r w:rsidR="007537A8">
          <w:rPr>
            <w:noProof/>
            <w:webHidden/>
          </w:rPr>
          <w:t>49</w:t>
        </w:r>
        <w:r w:rsidR="007537A8">
          <w:rPr>
            <w:noProof/>
            <w:webHidden/>
          </w:rPr>
          <w:fldChar w:fldCharType="end"/>
        </w:r>
      </w:hyperlink>
    </w:p>
    <w:p w14:paraId="272B586C" w14:textId="2ABF908F" w:rsidR="007537A8" w:rsidRDefault="00091FED">
      <w:pPr>
        <w:pStyle w:val="Verzeichnis5"/>
        <w:tabs>
          <w:tab w:val="right" w:leader="dot" w:pos="7361"/>
        </w:tabs>
        <w:rPr>
          <w:rFonts w:eastAsiaTheme="minorEastAsia"/>
          <w:noProof/>
          <w:sz w:val="22"/>
          <w:szCs w:val="22"/>
          <w:lang w:eastAsia="de-DE"/>
        </w:rPr>
      </w:pPr>
      <w:hyperlink w:anchor="_Toc22133017" w:history="1">
        <w:r w:rsidR="007537A8" w:rsidRPr="00800905">
          <w:rPr>
            <w:rStyle w:val="Hyperlink"/>
            <w:noProof/>
          </w:rPr>
          <w:t>VI. Beteiligten- und Prozessfähigkeit</w:t>
        </w:r>
        <w:r w:rsidR="007537A8">
          <w:rPr>
            <w:noProof/>
            <w:webHidden/>
          </w:rPr>
          <w:tab/>
        </w:r>
        <w:r w:rsidR="007537A8">
          <w:rPr>
            <w:noProof/>
            <w:webHidden/>
          </w:rPr>
          <w:fldChar w:fldCharType="begin"/>
        </w:r>
        <w:r w:rsidR="007537A8">
          <w:rPr>
            <w:noProof/>
            <w:webHidden/>
          </w:rPr>
          <w:instrText xml:space="preserve"> PAGEREF _Toc22133017 \h </w:instrText>
        </w:r>
        <w:r w:rsidR="007537A8">
          <w:rPr>
            <w:noProof/>
            <w:webHidden/>
          </w:rPr>
        </w:r>
        <w:r w:rsidR="007537A8">
          <w:rPr>
            <w:noProof/>
            <w:webHidden/>
          </w:rPr>
          <w:fldChar w:fldCharType="separate"/>
        </w:r>
        <w:r w:rsidR="007537A8">
          <w:rPr>
            <w:noProof/>
            <w:webHidden/>
          </w:rPr>
          <w:t>49</w:t>
        </w:r>
        <w:r w:rsidR="007537A8">
          <w:rPr>
            <w:noProof/>
            <w:webHidden/>
          </w:rPr>
          <w:fldChar w:fldCharType="end"/>
        </w:r>
      </w:hyperlink>
    </w:p>
    <w:p w14:paraId="44EBFA08" w14:textId="3AB5236A" w:rsidR="007537A8" w:rsidRDefault="00091FED">
      <w:pPr>
        <w:pStyle w:val="Verzeichnis5"/>
        <w:tabs>
          <w:tab w:val="right" w:leader="dot" w:pos="7361"/>
        </w:tabs>
        <w:rPr>
          <w:rFonts w:eastAsiaTheme="minorEastAsia"/>
          <w:noProof/>
          <w:sz w:val="22"/>
          <w:szCs w:val="22"/>
          <w:lang w:eastAsia="de-DE"/>
        </w:rPr>
      </w:pPr>
      <w:hyperlink w:anchor="_Toc22133018" w:history="1">
        <w:r w:rsidR="007537A8" w:rsidRPr="00800905">
          <w:rPr>
            <w:rStyle w:val="Hyperlink"/>
            <w:noProof/>
          </w:rPr>
          <w:t>VII. Klagefrist</w:t>
        </w:r>
        <w:r w:rsidR="007537A8">
          <w:rPr>
            <w:noProof/>
            <w:webHidden/>
          </w:rPr>
          <w:tab/>
        </w:r>
        <w:r w:rsidR="007537A8">
          <w:rPr>
            <w:noProof/>
            <w:webHidden/>
          </w:rPr>
          <w:fldChar w:fldCharType="begin"/>
        </w:r>
        <w:r w:rsidR="007537A8">
          <w:rPr>
            <w:noProof/>
            <w:webHidden/>
          </w:rPr>
          <w:instrText xml:space="preserve"> PAGEREF _Toc22133018 \h </w:instrText>
        </w:r>
        <w:r w:rsidR="007537A8">
          <w:rPr>
            <w:noProof/>
            <w:webHidden/>
          </w:rPr>
        </w:r>
        <w:r w:rsidR="007537A8">
          <w:rPr>
            <w:noProof/>
            <w:webHidden/>
          </w:rPr>
          <w:fldChar w:fldCharType="separate"/>
        </w:r>
        <w:r w:rsidR="007537A8">
          <w:rPr>
            <w:noProof/>
            <w:webHidden/>
          </w:rPr>
          <w:t>49</w:t>
        </w:r>
        <w:r w:rsidR="007537A8">
          <w:rPr>
            <w:noProof/>
            <w:webHidden/>
          </w:rPr>
          <w:fldChar w:fldCharType="end"/>
        </w:r>
      </w:hyperlink>
    </w:p>
    <w:p w14:paraId="2BE3D3BB" w14:textId="553E2C33" w:rsidR="007537A8" w:rsidRDefault="00091FED">
      <w:pPr>
        <w:pStyle w:val="Verzeichnis5"/>
        <w:tabs>
          <w:tab w:val="right" w:leader="dot" w:pos="7361"/>
        </w:tabs>
        <w:rPr>
          <w:rFonts w:eastAsiaTheme="minorEastAsia"/>
          <w:noProof/>
          <w:sz w:val="22"/>
          <w:szCs w:val="22"/>
          <w:lang w:eastAsia="de-DE"/>
        </w:rPr>
      </w:pPr>
      <w:hyperlink w:anchor="_Toc22133019" w:history="1">
        <w:r w:rsidR="007537A8" w:rsidRPr="00800905">
          <w:rPr>
            <w:rStyle w:val="Hyperlink"/>
            <w:noProof/>
          </w:rPr>
          <w:t>VIII. Allgemeines Rechtsschutzbedürfnis</w:t>
        </w:r>
        <w:r w:rsidR="007537A8">
          <w:rPr>
            <w:noProof/>
            <w:webHidden/>
          </w:rPr>
          <w:tab/>
        </w:r>
        <w:r w:rsidR="007537A8">
          <w:rPr>
            <w:noProof/>
            <w:webHidden/>
          </w:rPr>
          <w:fldChar w:fldCharType="begin"/>
        </w:r>
        <w:r w:rsidR="007537A8">
          <w:rPr>
            <w:noProof/>
            <w:webHidden/>
          </w:rPr>
          <w:instrText xml:space="preserve"> PAGEREF _Toc22133019 \h </w:instrText>
        </w:r>
        <w:r w:rsidR="007537A8">
          <w:rPr>
            <w:noProof/>
            <w:webHidden/>
          </w:rPr>
        </w:r>
        <w:r w:rsidR="007537A8">
          <w:rPr>
            <w:noProof/>
            <w:webHidden/>
          </w:rPr>
          <w:fldChar w:fldCharType="separate"/>
        </w:r>
        <w:r w:rsidR="007537A8">
          <w:rPr>
            <w:noProof/>
            <w:webHidden/>
          </w:rPr>
          <w:t>49</w:t>
        </w:r>
        <w:r w:rsidR="007537A8">
          <w:rPr>
            <w:noProof/>
            <w:webHidden/>
          </w:rPr>
          <w:fldChar w:fldCharType="end"/>
        </w:r>
      </w:hyperlink>
    </w:p>
    <w:p w14:paraId="5E3E8A11" w14:textId="74CF20AE" w:rsidR="007537A8" w:rsidRDefault="00091FED">
      <w:pPr>
        <w:pStyle w:val="Verzeichnis5"/>
        <w:tabs>
          <w:tab w:val="right" w:leader="dot" w:pos="7361"/>
        </w:tabs>
        <w:rPr>
          <w:rFonts w:eastAsiaTheme="minorEastAsia"/>
          <w:noProof/>
          <w:sz w:val="22"/>
          <w:szCs w:val="22"/>
          <w:lang w:eastAsia="de-DE"/>
        </w:rPr>
      </w:pPr>
      <w:hyperlink w:anchor="_Toc22133020" w:history="1">
        <w:r w:rsidR="007537A8" w:rsidRPr="00800905">
          <w:rPr>
            <w:rStyle w:val="Hyperlink"/>
            <w:noProof/>
          </w:rPr>
          <w:t>IX. Zwischenergebnis</w:t>
        </w:r>
        <w:r w:rsidR="007537A8">
          <w:rPr>
            <w:noProof/>
            <w:webHidden/>
          </w:rPr>
          <w:tab/>
        </w:r>
        <w:r w:rsidR="007537A8">
          <w:rPr>
            <w:noProof/>
            <w:webHidden/>
          </w:rPr>
          <w:fldChar w:fldCharType="begin"/>
        </w:r>
        <w:r w:rsidR="007537A8">
          <w:rPr>
            <w:noProof/>
            <w:webHidden/>
          </w:rPr>
          <w:instrText xml:space="preserve"> PAGEREF _Toc22133020 \h </w:instrText>
        </w:r>
        <w:r w:rsidR="007537A8">
          <w:rPr>
            <w:noProof/>
            <w:webHidden/>
          </w:rPr>
        </w:r>
        <w:r w:rsidR="007537A8">
          <w:rPr>
            <w:noProof/>
            <w:webHidden/>
          </w:rPr>
          <w:fldChar w:fldCharType="separate"/>
        </w:r>
        <w:r w:rsidR="007537A8">
          <w:rPr>
            <w:noProof/>
            <w:webHidden/>
          </w:rPr>
          <w:t>50</w:t>
        </w:r>
        <w:r w:rsidR="007537A8">
          <w:rPr>
            <w:noProof/>
            <w:webHidden/>
          </w:rPr>
          <w:fldChar w:fldCharType="end"/>
        </w:r>
      </w:hyperlink>
    </w:p>
    <w:p w14:paraId="2043A5EA" w14:textId="3EEFB31D" w:rsidR="007537A8" w:rsidRDefault="00091FED">
      <w:pPr>
        <w:pStyle w:val="Verzeichnis4"/>
        <w:tabs>
          <w:tab w:val="right" w:leader="dot" w:pos="7361"/>
        </w:tabs>
        <w:rPr>
          <w:rFonts w:eastAsiaTheme="minorEastAsia"/>
          <w:noProof/>
          <w:sz w:val="22"/>
          <w:szCs w:val="22"/>
          <w:lang w:eastAsia="de-DE"/>
        </w:rPr>
      </w:pPr>
      <w:hyperlink w:anchor="_Toc22133021" w:history="1">
        <w:r w:rsidR="007537A8" w:rsidRPr="00800905">
          <w:rPr>
            <w:rStyle w:val="Hyperlink"/>
            <w:noProof/>
          </w:rPr>
          <w:t>B. Beiladung der N</w:t>
        </w:r>
        <w:r w:rsidR="007537A8">
          <w:rPr>
            <w:noProof/>
            <w:webHidden/>
          </w:rPr>
          <w:tab/>
        </w:r>
        <w:r w:rsidR="007537A8">
          <w:rPr>
            <w:noProof/>
            <w:webHidden/>
          </w:rPr>
          <w:fldChar w:fldCharType="begin"/>
        </w:r>
        <w:r w:rsidR="007537A8">
          <w:rPr>
            <w:noProof/>
            <w:webHidden/>
          </w:rPr>
          <w:instrText xml:space="preserve"> PAGEREF _Toc22133021 \h </w:instrText>
        </w:r>
        <w:r w:rsidR="007537A8">
          <w:rPr>
            <w:noProof/>
            <w:webHidden/>
          </w:rPr>
        </w:r>
        <w:r w:rsidR="007537A8">
          <w:rPr>
            <w:noProof/>
            <w:webHidden/>
          </w:rPr>
          <w:fldChar w:fldCharType="separate"/>
        </w:r>
        <w:r w:rsidR="007537A8">
          <w:rPr>
            <w:noProof/>
            <w:webHidden/>
          </w:rPr>
          <w:t>50</w:t>
        </w:r>
        <w:r w:rsidR="007537A8">
          <w:rPr>
            <w:noProof/>
            <w:webHidden/>
          </w:rPr>
          <w:fldChar w:fldCharType="end"/>
        </w:r>
      </w:hyperlink>
    </w:p>
    <w:p w14:paraId="5E40BF86" w14:textId="7D922C53" w:rsidR="007537A8" w:rsidRDefault="00091FED">
      <w:pPr>
        <w:pStyle w:val="Verzeichnis4"/>
        <w:tabs>
          <w:tab w:val="right" w:leader="dot" w:pos="7361"/>
        </w:tabs>
        <w:rPr>
          <w:rFonts w:eastAsiaTheme="minorEastAsia"/>
          <w:noProof/>
          <w:sz w:val="22"/>
          <w:szCs w:val="22"/>
          <w:lang w:eastAsia="de-DE"/>
        </w:rPr>
      </w:pPr>
      <w:hyperlink w:anchor="_Toc22133022" w:history="1">
        <w:r w:rsidR="007537A8" w:rsidRPr="00800905">
          <w:rPr>
            <w:rStyle w:val="Hyperlink"/>
            <w:noProof/>
          </w:rPr>
          <w:t>C. Begründetheit</w:t>
        </w:r>
        <w:r w:rsidR="007537A8">
          <w:rPr>
            <w:noProof/>
            <w:webHidden/>
          </w:rPr>
          <w:tab/>
        </w:r>
        <w:r w:rsidR="007537A8">
          <w:rPr>
            <w:noProof/>
            <w:webHidden/>
          </w:rPr>
          <w:fldChar w:fldCharType="begin"/>
        </w:r>
        <w:r w:rsidR="007537A8">
          <w:rPr>
            <w:noProof/>
            <w:webHidden/>
          </w:rPr>
          <w:instrText xml:space="preserve"> PAGEREF _Toc22133022 \h </w:instrText>
        </w:r>
        <w:r w:rsidR="007537A8">
          <w:rPr>
            <w:noProof/>
            <w:webHidden/>
          </w:rPr>
        </w:r>
        <w:r w:rsidR="007537A8">
          <w:rPr>
            <w:noProof/>
            <w:webHidden/>
          </w:rPr>
          <w:fldChar w:fldCharType="separate"/>
        </w:r>
        <w:r w:rsidR="007537A8">
          <w:rPr>
            <w:noProof/>
            <w:webHidden/>
          </w:rPr>
          <w:t>51</w:t>
        </w:r>
        <w:r w:rsidR="007537A8">
          <w:rPr>
            <w:noProof/>
            <w:webHidden/>
          </w:rPr>
          <w:fldChar w:fldCharType="end"/>
        </w:r>
      </w:hyperlink>
    </w:p>
    <w:p w14:paraId="75005663" w14:textId="3BC33405" w:rsidR="007537A8" w:rsidRDefault="00091FED">
      <w:pPr>
        <w:pStyle w:val="Verzeichnis5"/>
        <w:tabs>
          <w:tab w:val="right" w:leader="dot" w:pos="7361"/>
        </w:tabs>
        <w:rPr>
          <w:rFonts w:eastAsiaTheme="minorEastAsia"/>
          <w:noProof/>
          <w:sz w:val="22"/>
          <w:szCs w:val="22"/>
          <w:lang w:eastAsia="de-DE"/>
        </w:rPr>
      </w:pPr>
      <w:hyperlink w:anchor="_Toc22133023" w:history="1">
        <w:r w:rsidR="007537A8" w:rsidRPr="00800905">
          <w:rPr>
            <w:rStyle w:val="Hyperlink"/>
            <w:noProof/>
          </w:rPr>
          <w:t>I. Anspruchsgrundlage</w:t>
        </w:r>
        <w:r w:rsidR="007537A8">
          <w:rPr>
            <w:noProof/>
            <w:webHidden/>
          </w:rPr>
          <w:tab/>
        </w:r>
        <w:r w:rsidR="007537A8">
          <w:rPr>
            <w:noProof/>
            <w:webHidden/>
          </w:rPr>
          <w:fldChar w:fldCharType="begin"/>
        </w:r>
        <w:r w:rsidR="007537A8">
          <w:rPr>
            <w:noProof/>
            <w:webHidden/>
          </w:rPr>
          <w:instrText xml:space="preserve"> PAGEREF _Toc22133023 \h </w:instrText>
        </w:r>
        <w:r w:rsidR="007537A8">
          <w:rPr>
            <w:noProof/>
            <w:webHidden/>
          </w:rPr>
        </w:r>
        <w:r w:rsidR="007537A8">
          <w:rPr>
            <w:noProof/>
            <w:webHidden/>
          </w:rPr>
          <w:fldChar w:fldCharType="separate"/>
        </w:r>
        <w:r w:rsidR="007537A8">
          <w:rPr>
            <w:noProof/>
            <w:webHidden/>
          </w:rPr>
          <w:t>51</w:t>
        </w:r>
        <w:r w:rsidR="007537A8">
          <w:rPr>
            <w:noProof/>
            <w:webHidden/>
          </w:rPr>
          <w:fldChar w:fldCharType="end"/>
        </w:r>
      </w:hyperlink>
    </w:p>
    <w:p w14:paraId="28FF0495" w14:textId="2BACC9A3" w:rsidR="007537A8" w:rsidRDefault="00091FED">
      <w:pPr>
        <w:pStyle w:val="Verzeichnis5"/>
        <w:tabs>
          <w:tab w:val="right" w:leader="dot" w:pos="7361"/>
        </w:tabs>
        <w:rPr>
          <w:rFonts w:eastAsiaTheme="minorEastAsia"/>
          <w:noProof/>
          <w:sz w:val="22"/>
          <w:szCs w:val="22"/>
          <w:lang w:eastAsia="de-DE"/>
        </w:rPr>
      </w:pPr>
      <w:hyperlink w:anchor="_Toc22133024" w:history="1">
        <w:r w:rsidR="007537A8" w:rsidRPr="00800905">
          <w:rPr>
            <w:rStyle w:val="Hyperlink"/>
            <w:noProof/>
          </w:rPr>
          <w:t>II. Formelle Anspruchsvoraussetzungen</w:t>
        </w:r>
        <w:r w:rsidR="007537A8">
          <w:rPr>
            <w:noProof/>
            <w:webHidden/>
          </w:rPr>
          <w:tab/>
        </w:r>
        <w:r w:rsidR="007537A8">
          <w:rPr>
            <w:noProof/>
            <w:webHidden/>
          </w:rPr>
          <w:fldChar w:fldCharType="begin"/>
        </w:r>
        <w:r w:rsidR="007537A8">
          <w:rPr>
            <w:noProof/>
            <w:webHidden/>
          </w:rPr>
          <w:instrText xml:space="preserve"> PAGEREF _Toc22133024 \h </w:instrText>
        </w:r>
        <w:r w:rsidR="007537A8">
          <w:rPr>
            <w:noProof/>
            <w:webHidden/>
          </w:rPr>
        </w:r>
        <w:r w:rsidR="007537A8">
          <w:rPr>
            <w:noProof/>
            <w:webHidden/>
          </w:rPr>
          <w:fldChar w:fldCharType="separate"/>
        </w:r>
        <w:r w:rsidR="007537A8">
          <w:rPr>
            <w:noProof/>
            <w:webHidden/>
          </w:rPr>
          <w:t>51</w:t>
        </w:r>
        <w:r w:rsidR="007537A8">
          <w:rPr>
            <w:noProof/>
            <w:webHidden/>
          </w:rPr>
          <w:fldChar w:fldCharType="end"/>
        </w:r>
      </w:hyperlink>
    </w:p>
    <w:p w14:paraId="5A5FA244" w14:textId="2D4E0EA0" w:rsidR="007537A8" w:rsidRDefault="00091FED">
      <w:pPr>
        <w:pStyle w:val="Verzeichnis6"/>
        <w:tabs>
          <w:tab w:val="right" w:leader="dot" w:pos="7361"/>
        </w:tabs>
        <w:rPr>
          <w:noProof/>
          <w:sz w:val="22"/>
          <w:szCs w:val="22"/>
          <w:lang w:eastAsia="de-DE"/>
        </w:rPr>
      </w:pPr>
      <w:hyperlink w:anchor="_Toc22133025" w:history="1">
        <w:r w:rsidR="007537A8" w:rsidRPr="00800905">
          <w:rPr>
            <w:rStyle w:val="Hyperlink"/>
            <w:noProof/>
          </w:rPr>
          <w:t>1. Antrag bei der richtigen Behörde</w:t>
        </w:r>
        <w:r w:rsidR="007537A8">
          <w:rPr>
            <w:noProof/>
            <w:webHidden/>
          </w:rPr>
          <w:tab/>
        </w:r>
        <w:r w:rsidR="007537A8">
          <w:rPr>
            <w:noProof/>
            <w:webHidden/>
          </w:rPr>
          <w:fldChar w:fldCharType="begin"/>
        </w:r>
        <w:r w:rsidR="007537A8">
          <w:rPr>
            <w:noProof/>
            <w:webHidden/>
          </w:rPr>
          <w:instrText xml:space="preserve"> PAGEREF _Toc22133025 \h </w:instrText>
        </w:r>
        <w:r w:rsidR="007537A8">
          <w:rPr>
            <w:noProof/>
            <w:webHidden/>
          </w:rPr>
        </w:r>
        <w:r w:rsidR="007537A8">
          <w:rPr>
            <w:noProof/>
            <w:webHidden/>
          </w:rPr>
          <w:fldChar w:fldCharType="separate"/>
        </w:r>
        <w:r w:rsidR="007537A8">
          <w:rPr>
            <w:noProof/>
            <w:webHidden/>
          </w:rPr>
          <w:t>52</w:t>
        </w:r>
        <w:r w:rsidR="007537A8">
          <w:rPr>
            <w:noProof/>
            <w:webHidden/>
          </w:rPr>
          <w:fldChar w:fldCharType="end"/>
        </w:r>
      </w:hyperlink>
    </w:p>
    <w:p w14:paraId="21E0F840" w14:textId="071981BF" w:rsidR="007537A8" w:rsidRDefault="00091FED">
      <w:pPr>
        <w:pStyle w:val="Verzeichnis6"/>
        <w:tabs>
          <w:tab w:val="right" w:leader="dot" w:pos="7361"/>
        </w:tabs>
        <w:rPr>
          <w:noProof/>
          <w:sz w:val="22"/>
          <w:szCs w:val="22"/>
          <w:lang w:eastAsia="de-DE"/>
        </w:rPr>
      </w:pPr>
      <w:hyperlink w:anchor="_Toc22133026" w:history="1">
        <w:r w:rsidR="007537A8" w:rsidRPr="00800905">
          <w:rPr>
            <w:rStyle w:val="Hyperlink"/>
            <w:noProof/>
          </w:rPr>
          <w:t>2. Verfahren</w:t>
        </w:r>
        <w:r w:rsidR="007537A8">
          <w:rPr>
            <w:noProof/>
            <w:webHidden/>
          </w:rPr>
          <w:tab/>
        </w:r>
        <w:r w:rsidR="007537A8">
          <w:rPr>
            <w:noProof/>
            <w:webHidden/>
          </w:rPr>
          <w:fldChar w:fldCharType="begin"/>
        </w:r>
        <w:r w:rsidR="007537A8">
          <w:rPr>
            <w:noProof/>
            <w:webHidden/>
          </w:rPr>
          <w:instrText xml:space="preserve"> PAGEREF _Toc22133026 \h </w:instrText>
        </w:r>
        <w:r w:rsidR="007537A8">
          <w:rPr>
            <w:noProof/>
            <w:webHidden/>
          </w:rPr>
        </w:r>
        <w:r w:rsidR="007537A8">
          <w:rPr>
            <w:noProof/>
            <w:webHidden/>
          </w:rPr>
          <w:fldChar w:fldCharType="separate"/>
        </w:r>
        <w:r w:rsidR="007537A8">
          <w:rPr>
            <w:noProof/>
            <w:webHidden/>
          </w:rPr>
          <w:t>52</w:t>
        </w:r>
        <w:r w:rsidR="007537A8">
          <w:rPr>
            <w:noProof/>
            <w:webHidden/>
          </w:rPr>
          <w:fldChar w:fldCharType="end"/>
        </w:r>
      </w:hyperlink>
    </w:p>
    <w:p w14:paraId="4EA07828" w14:textId="34C410FF" w:rsidR="007537A8" w:rsidRDefault="00091FED">
      <w:pPr>
        <w:pStyle w:val="Verzeichnis6"/>
        <w:tabs>
          <w:tab w:val="right" w:leader="dot" w:pos="7361"/>
        </w:tabs>
        <w:rPr>
          <w:noProof/>
          <w:sz w:val="22"/>
          <w:szCs w:val="22"/>
          <w:lang w:eastAsia="de-DE"/>
        </w:rPr>
      </w:pPr>
      <w:hyperlink w:anchor="_Toc22133027" w:history="1">
        <w:r w:rsidR="007537A8" w:rsidRPr="00800905">
          <w:rPr>
            <w:rStyle w:val="Hyperlink"/>
            <w:noProof/>
          </w:rPr>
          <w:t>3. Form</w:t>
        </w:r>
        <w:r w:rsidR="007537A8">
          <w:rPr>
            <w:noProof/>
            <w:webHidden/>
          </w:rPr>
          <w:tab/>
        </w:r>
        <w:r w:rsidR="007537A8">
          <w:rPr>
            <w:noProof/>
            <w:webHidden/>
          </w:rPr>
          <w:fldChar w:fldCharType="begin"/>
        </w:r>
        <w:r w:rsidR="007537A8">
          <w:rPr>
            <w:noProof/>
            <w:webHidden/>
          </w:rPr>
          <w:instrText xml:space="preserve"> PAGEREF _Toc22133027 \h </w:instrText>
        </w:r>
        <w:r w:rsidR="007537A8">
          <w:rPr>
            <w:noProof/>
            <w:webHidden/>
          </w:rPr>
        </w:r>
        <w:r w:rsidR="007537A8">
          <w:rPr>
            <w:noProof/>
            <w:webHidden/>
          </w:rPr>
          <w:fldChar w:fldCharType="separate"/>
        </w:r>
        <w:r w:rsidR="007537A8">
          <w:rPr>
            <w:noProof/>
            <w:webHidden/>
          </w:rPr>
          <w:t>52</w:t>
        </w:r>
        <w:r w:rsidR="007537A8">
          <w:rPr>
            <w:noProof/>
            <w:webHidden/>
          </w:rPr>
          <w:fldChar w:fldCharType="end"/>
        </w:r>
      </w:hyperlink>
    </w:p>
    <w:p w14:paraId="7D2E6640" w14:textId="45A49B6C" w:rsidR="007537A8" w:rsidRDefault="00091FED">
      <w:pPr>
        <w:pStyle w:val="Verzeichnis6"/>
        <w:tabs>
          <w:tab w:val="right" w:leader="dot" w:pos="7361"/>
        </w:tabs>
        <w:rPr>
          <w:noProof/>
          <w:sz w:val="22"/>
          <w:szCs w:val="22"/>
          <w:lang w:eastAsia="de-DE"/>
        </w:rPr>
      </w:pPr>
      <w:hyperlink w:anchor="_Toc22133028" w:history="1">
        <w:r w:rsidR="007537A8" w:rsidRPr="00800905">
          <w:rPr>
            <w:rStyle w:val="Hyperlink"/>
            <w:noProof/>
          </w:rPr>
          <w:t>4. Zwischenergebnis</w:t>
        </w:r>
        <w:r w:rsidR="007537A8">
          <w:rPr>
            <w:noProof/>
            <w:webHidden/>
          </w:rPr>
          <w:tab/>
        </w:r>
        <w:r w:rsidR="007537A8">
          <w:rPr>
            <w:noProof/>
            <w:webHidden/>
          </w:rPr>
          <w:fldChar w:fldCharType="begin"/>
        </w:r>
        <w:r w:rsidR="007537A8">
          <w:rPr>
            <w:noProof/>
            <w:webHidden/>
          </w:rPr>
          <w:instrText xml:space="preserve"> PAGEREF _Toc22133028 \h </w:instrText>
        </w:r>
        <w:r w:rsidR="007537A8">
          <w:rPr>
            <w:noProof/>
            <w:webHidden/>
          </w:rPr>
        </w:r>
        <w:r w:rsidR="007537A8">
          <w:rPr>
            <w:noProof/>
            <w:webHidden/>
          </w:rPr>
          <w:fldChar w:fldCharType="separate"/>
        </w:r>
        <w:r w:rsidR="007537A8">
          <w:rPr>
            <w:noProof/>
            <w:webHidden/>
          </w:rPr>
          <w:t>52</w:t>
        </w:r>
        <w:r w:rsidR="007537A8">
          <w:rPr>
            <w:noProof/>
            <w:webHidden/>
          </w:rPr>
          <w:fldChar w:fldCharType="end"/>
        </w:r>
      </w:hyperlink>
    </w:p>
    <w:p w14:paraId="7815AFA4" w14:textId="2EAC10B3" w:rsidR="007537A8" w:rsidRDefault="00091FED">
      <w:pPr>
        <w:pStyle w:val="Verzeichnis5"/>
        <w:tabs>
          <w:tab w:val="right" w:leader="dot" w:pos="7361"/>
        </w:tabs>
        <w:rPr>
          <w:rFonts w:eastAsiaTheme="minorEastAsia"/>
          <w:noProof/>
          <w:sz w:val="22"/>
          <w:szCs w:val="22"/>
          <w:lang w:eastAsia="de-DE"/>
        </w:rPr>
      </w:pPr>
      <w:hyperlink w:anchor="_Toc22133029" w:history="1">
        <w:r w:rsidR="007537A8" w:rsidRPr="00800905">
          <w:rPr>
            <w:rStyle w:val="Hyperlink"/>
            <w:noProof/>
          </w:rPr>
          <w:t>III. Materielle Anspruchsvoraussetzungen</w:t>
        </w:r>
        <w:r w:rsidR="007537A8">
          <w:rPr>
            <w:noProof/>
            <w:webHidden/>
          </w:rPr>
          <w:tab/>
        </w:r>
        <w:r w:rsidR="007537A8">
          <w:rPr>
            <w:noProof/>
            <w:webHidden/>
          </w:rPr>
          <w:fldChar w:fldCharType="begin"/>
        </w:r>
        <w:r w:rsidR="007537A8">
          <w:rPr>
            <w:noProof/>
            <w:webHidden/>
          </w:rPr>
          <w:instrText xml:space="preserve"> PAGEREF _Toc22133029 \h </w:instrText>
        </w:r>
        <w:r w:rsidR="007537A8">
          <w:rPr>
            <w:noProof/>
            <w:webHidden/>
          </w:rPr>
        </w:r>
        <w:r w:rsidR="007537A8">
          <w:rPr>
            <w:noProof/>
            <w:webHidden/>
          </w:rPr>
          <w:fldChar w:fldCharType="separate"/>
        </w:r>
        <w:r w:rsidR="007537A8">
          <w:rPr>
            <w:noProof/>
            <w:webHidden/>
          </w:rPr>
          <w:t>52</w:t>
        </w:r>
        <w:r w:rsidR="007537A8">
          <w:rPr>
            <w:noProof/>
            <w:webHidden/>
          </w:rPr>
          <w:fldChar w:fldCharType="end"/>
        </w:r>
      </w:hyperlink>
    </w:p>
    <w:p w14:paraId="7300134C" w14:textId="58E5E1F8" w:rsidR="007537A8" w:rsidRDefault="00091FED">
      <w:pPr>
        <w:pStyle w:val="Verzeichnis6"/>
        <w:tabs>
          <w:tab w:val="right" w:leader="dot" w:pos="7361"/>
        </w:tabs>
        <w:rPr>
          <w:noProof/>
          <w:sz w:val="22"/>
          <w:szCs w:val="22"/>
          <w:lang w:eastAsia="de-DE"/>
        </w:rPr>
      </w:pPr>
      <w:hyperlink w:anchor="_Toc22133030" w:history="1">
        <w:r w:rsidR="007537A8" w:rsidRPr="00800905">
          <w:rPr>
            <w:rStyle w:val="Hyperlink"/>
            <w:noProof/>
          </w:rPr>
          <w:t>1. Genehmigungsbedürftigkeit</w:t>
        </w:r>
        <w:r w:rsidR="007537A8">
          <w:rPr>
            <w:noProof/>
            <w:webHidden/>
          </w:rPr>
          <w:tab/>
        </w:r>
        <w:r w:rsidR="007537A8">
          <w:rPr>
            <w:noProof/>
            <w:webHidden/>
          </w:rPr>
          <w:fldChar w:fldCharType="begin"/>
        </w:r>
        <w:r w:rsidR="007537A8">
          <w:rPr>
            <w:noProof/>
            <w:webHidden/>
          </w:rPr>
          <w:instrText xml:space="preserve"> PAGEREF _Toc22133030 \h </w:instrText>
        </w:r>
        <w:r w:rsidR="007537A8">
          <w:rPr>
            <w:noProof/>
            <w:webHidden/>
          </w:rPr>
        </w:r>
        <w:r w:rsidR="007537A8">
          <w:rPr>
            <w:noProof/>
            <w:webHidden/>
          </w:rPr>
          <w:fldChar w:fldCharType="separate"/>
        </w:r>
        <w:r w:rsidR="007537A8">
          <w:rPr>
            <w:noProof/>
            <w:webHidden/>
          </w:rPr>
          <w:t>52</w:t>
        </w:r>
        <w:r w:rsidR="007537A8">
          <w:rPr>
            <w:noProof/>
            <w:webHidden/>
          </w:rPr>
          <w:fldChar w:fldCharType="end"/>
        </w:r>
      </w:hyperlink>
    </w:p>
    <w:p w14:paraId="64F13A07" w14:textId="1F03991C" w:rsidR="007537A8" w:rsidRDefault="00091FED">
      <w:pPr>
        <w:pStyle w:val="Verzeichnis6"/>
        <w:tabs>
          <w:tab w:val="right" w:leader="dot" w:pos="7361"/>
        </w:tabs>
        <w:rPr>
          <w:noProof/>
          <w:sz w:val="22"/>
          <w:szCs w:val="22"/>
          <w:lang w:eastAsia="de-DE"/>
        </w:rPr>
      </w:pPr>
      <w:hyperlink w:anchor="_Toc22133031" w:history="1">
        <w:r w:rsidR="007537A8" w:rsidRPr="00800905">
          <w:rPr>
            <w:rStyle w:val="Hyperlink"/>
            <w:noProof/>
          </w:rPr>
          <w:t>2. Genehmigungsfähigkeit</w:t>
        </w:r>
        <w:r w:rsidR="007537A8">
          <w:rPr>
            <w:noProof/>
            <w:webHidden/>
          </w:rPr>
          <w:tab/>
        </w:r>
        <w:r w:rsidR="007537A8">
          <w:rPr>
            <w:noProof/>
            <w:webHidden/>
          </w:rPr>
          <w:fldChar w:fldCharType="begin"/>
        </w:r>
        <w:r w:rsidR="007537A8">
          <w:rPr>
            <w:noProof/>
            <w:webHidden/>
          </w:rPr>
          <w:instrText xml:space="preserve"> PAGEREF _Toc22133031 \h </w:instrText>
        </w:r>
        <w:r w:rsidR="007537A8">
          <w:rPr>
            <w:noProof/>
            <w:webHidden/>
          </w:rPr>
        </w:r>
        <w:r w:rsidR="007537A8">
          <w:rPr>
            <w:noProof/>
            <w:webHidden/>
          </w:rPr>
          <w:fldChar w:fldCharType="separate"/>
        </w:r>
        <w:r w:rsidR="007537A8">
          <w:rPr>
            <w:noProof/>
            <w:webHidden/>
          </w:rPr>
          <w:t>53</w:t>
        </w:r>
        <w:r w:rsidR="007537A8">
          <w:rPr>
            <w:noProof/>
            <w:webHidden/>
          </w:rPr>
          <w:fldChar w:fldCharType="end"/>
        </w:r>
      </w:hyperlink>
    </w:p>
    <w:p w14:paraId="154BFC48" w14:textId="0DABF1ED" w:rsidR="007537A8" w:rsidRDefault="00091FED">
      <w:pPr>
        <w:pStyle w:val="Verzeichnis7"/>
        <w:tabs>
          <w:tab w:val="right" w:leader="dot" w:pos="7361"/>
        </w:tabs>
        <w:rPr>
          <w:noProof/>
          <w:sz w:val="22"/>
          <w:szCs w:val="22"/>
          <w:lang w:eastAsia="de-DE"/>
        </w:rPr>
      </w:pPr>
      <w:hyperlink w:anchor="_Toc22133032" w:history="1">
        <w:r w:rsidR="007537A8" w:rsidRPr="00800905">
          <w:rPr>
            <w:rStyle w:val="Hyperlink"/>
            <w:noProof/>
          </w:rPr>
          <w:t>a) Vereinbarkeit mit Bauplanungsrecht</w:t>
        </w:r>
        <w:r w:rsidR="007537A8">
          <w:rPr>
            <w:noProof/>
            <w:webHidden/>
          </w:rPr>
          <w:tab/>
        </w:r>
        <w:r w:rsidR="007537A8">
          <w:rPr>
            <w:noProof/>
            <w:webHidden/>
          </w:rPr>
          <w:fldChar w:fldCharType="begin"/>
        </w:r>
        <w:r w:rsidR="007537A8">
          <w:rPr>
            <w:noProof/>
            <w:webHidden/>
          </w:rPr>
          <w:instrText xml:space="preserve"> PAGEREF _Toc22133032 \h </w:instrText>
        </w:r>
        <w:r w:rsidR="007537A8">
          <w:rPr>
            <w:noProof/>
            <w:webHidden/>
          </w:rPr>
        </w:r>
        <w:r w:rsidR="007537A8">
          <w:rPr>
            <w:noProof/>
            <w:webHidden/>
          </w:rPr>
          <w:fldChar w:fldCharType="separate"/>
        </w:r>
        <w:r w:rsidR="007537A8">
          <w:rPr>
            <w:noProof/>
            <w:webHidden/>
          </w:rPr>
          <w:t>53</w:t>
        </w:r>
        <w:r w:rsidR="007537A8">
          <w:rPr>
            <w:noProof/>
            <w:webHidden/>
          </w:rPr>
          <w:fldChar w:fldCharType="end"/>
        </w:r>
      </w:hyperlink>
    </w:p>
    <w:p w14:paraId="1F1A128D" w14:textId="3A844E6B" w:rsidR="007537A8" w:rsidRDefault="00091FED">
      <w:pPr>
        <w:pStyle w:val="Verzeichnis8"/>
        <w:tabs>
          <w:tab w:val="right" w:leader="dot" w:pos="7361"/>
        </w:tabs>
        <w:rPr>
          <w:noProof/>
          <w:sz w:val="22"/>
          <w:szCs w:val="22"/>
          <w:lang w:eastAsia="de-DE"/>
        </w:rPr>
      </w:pPr>
      <w:hyperlink w:anchor="_Toc22133033" w:history="1">
        <w:r w:rsidR="007537A8" w:rsidRPr="00800905">
          <w:rPr>
            <w:rStyle w:val="Hyperlink"/>
            <w:noProof/>
          </w:rPr>
          <w:t>aa) Anwendbarkeit der §§ 29 ff. BauGB</w:t>
        </w:r>
        <w:r w:rsidR="007537A8">
          <w:rPr>
            <w:noProof/>
            <w:webHidden/>
          </w:rPr>
          <w:tab/>
        </w:r>
        <w:r w:rsidR="007537A8">
          <w:rPr>
            <w:noProof/>
            <w:webHidden/>
          </w:rPr>
          <w:fldChar w:fldCharType="begin"/>
        </w:r>
        <w:r w:rsidR="007537A8">
          <w:rPr>
            <w:noProof/>
            <w:webHidden/>
          </w:rPr>
          <w:instrText xml:space="preserve"> PAGEREF _Toc22133033 \h </w:instrText>
        </w:r>
        <w:r w:rsidR="007537A8">
          <w:rPr>
            <w:noProof/>
            <w:webHidden/>
          </w:rPr>
        </w:r>
        <w:r w:rsidR="007537A8">
          <w:rPr>
            <w:noProof/>
            <w:webHidden/>
          </w:rPr>
          <w:fldChar w:fldCharType="separate"/>
        </w:r>
        <w:r w:rsidR="007537A8">
          <w:rPr>
            <w:noProof/>
            <w:webHidden/>
          </w:rPr>
          <w:t>53</w:t>
        </w:r>
        <w:r w:rsidR="007537A8">
          <w:rPr>
            <w:noProof/>
            <w:webHidden/>
          </w:rPr>
          <w:fldChar w:fldCharType="end"/>
        </w:r>
      </w:hyperlink>
    </w:p>
    <w:p w14:paraId="46466E22" w14:textId="7C1FA037" w:rsidR="007537A8" w:rsidRDefault="00091FED">
      <w:pPr>
        <w:pStyle w:val="Verzeichnis8"/>
        <w:tabs>
          <w:tab w:val="right" w:leader="dot" w:pos="7361"/>
        </w:tabs>
        <w:rPr>
          <w:noProof/>
          <w:sz w:val="22"/>
          <w:szCs w:val="22"/>
          <w:lang w:eastAsia="de-DE"/>
        </w:rPr>
      </w:pPr>
      <w:hyperlink w:anchor="_Toc22133034" w:history="1">
        <w:r w:rsidR="007537A8" w:rsidRPr="00800905">
          <w:rPr>
            <w:rStyle w:val="Hyperlink"/>
            <w:noProof/>
          </w:rPr>
          <w:t>bb) Feststellung des Baugebiets</w:t>
        </w:r>
        <w:r w:rsidR="007537A8">
          <w:rPr>
            <w:noProof/>
            <w:webHidden/>
          </w:rPr>
          <w:tab/>
        </w:r>
        <w:r w:rsidR="007537A8">
          <w:rPr>
            <w:noProof/>
            <w:webHidden/>
          </w:rPr>
          <w:fldChar w:fldCharType="begin"/>
        </w:r>
        <w:r w:rsidR="007537A8">
          <w:rPr>
            <w:noProof/>
            <w:webHidden/>
          </w:rPr>
          <w:instrText xml:space="preserve"> PAGEREF _Toc22133034 \h </w:instrText>
        </w:r>
        <w:r w:rsidR="007537A8">
          <w:rPr>
            <w:noProof/>
            <w:webHidden/>
          </w:rPr>
        </w:r>
        <w:r w:rsidR="007537A8">
          <w:rPr>
            <w:noProof/>
            <w:webHidden/>
          </w:rPr>
          <w:fldChar w:fldCharType="separate"/>
        </w:r>
        <w:r w:rsidR="007537A8">
          <w:rPr>
            <w:noProof/>
            <w:webHidden/>
          </w:rPr>
          <w:t>54</w:t>
        </w:r>
        <w:r w:rsidR="007537A8">
          <w:rPr>
            <w:noProof/>
            <w:webHidden/>
          </w:rPr>
          <w:fldChar w:fldCharType="end"/>
        </w:r>
      </w:hyperlink>
    </w:p>
    <w:p w14:paraId="16FBF010" w14:textId="02B87D38" w:rsidR="007537A8" w:rsidRDefault="00091FED">
      <w:pPr>
        <w:pStyle w:val="Verzeichnis8"/>
        <w:tabs>
          <w:tab w:val="right" w:leader="dot" w:pos="7361"/>
        </w:tabs>
        <w:rPr>
          <w:noProof/>
          <w:sz w:val="22"/>
          <w:szCs w:val="22"/>
          <w:lang w:eastAsia="de-DE"/>
        </w:rPr>
      </w:pPr>
      <w:hyperlink w:anchor="_Toc22133035" w:history="1">
        <w:r w:rsidR="007537A8" w:rsidRPr="00800905">
          <w:rPr>
            <w:rStyle w:val="Hyperlink"/>
            <w:noProof/>
          </w:rPr>
          <w:t>cc) Zulässigkeit des Vorhabens im Innenbereich nach § 34 I, II BauGB</w:t>
        </w:r>
        <w:r w:rsidR="007537A8">
          <w:rPr>
            <w:noProof/>
            <w:webHidden/>
          </w:rPr>
          <w:tab/>
        </w:r>
        <w:r w:rsidR="007537A8">
          <w:rPr>
            <w:noProof/>
            <w:webHidden/>
          </w:rPr>
          <w:fldChar w:fldCharType="begin"/>
        </w:r>
        <w:r w:rsidR="007537A8">
          <w:rPr>
            <w:noProof/>
            <w:webHidden/>
          </w:rPr>
          <w:instrText xml:space="preserve"> PAGEREF _Toc22133035 \h </w:instrText>
        </w:r>
        <w:r w:rsidR="007537A8">
          <w:rPr>
            <w:noProof/>
            <w:webHidden/>
          </w:rPr>
        </w:r>
        <w:r w:rsidR="007537A8">
          <w:rPr>
            <w:noProof/>
            <w:webHidden/>
          </w:rPr>
          <w:fldChar w:fldCharType="separate"/>
        </w:r>
        <w:r w:rsidR="007537A8">
          <w:rPr>
            <w:noProof/>
            <w:webHidden/>
          </w:rPr>
          <w:t>54</w:t>
        </w:r>
        <w:r w:rsidR="007537A8">
          <w:rPr>
            <w:noProof/>
            <w:webHidden/>
          </w:rPr>
          <w:fldChar w:fldCharType="end"/>
        </w:r>
      </w:hyperlink>
    </w:p>
    <w:p w14:paraId="5A3543E4" w14:textId="24B8196C" w:rsidR="007537A8" w:rsidRDefault="00091FED">
      <w:pPr>
        <w:pStyle w:val="Verzeichnis9"/>
        <w:tabs>
          <w:tab w:val="right" w:leader="dot" w:pos="7361"/>
        </w:tabs>
        <w:rPr>
          <w:noProof/>
          <w:sz w:val="22"/>
          <w:szCs w:val="22"/>
          <w:lang w:eastAsia="de-DE"/>
        </w:rPr>
      </w:pPr>
      <w:hyperlink w:anchor="_Toc22133036" w:history="1">
        <w:r w:rsidR="007537A8" w:rsidRPr="00800905">
          <w:rPr>
            <w:rStyle w:val="Hyperlink"/>
            <w:noProof/>
          </w:rPr>
          <w:t>(1) Regelzulässigkeit</w:t>
        </w:r>
        <w:r w:rsidR="007537A8">
          <w:rPr>
            <w:noProof/>
            <w:webHidden/>
          </w:rPr>
          <w:tab/>
        </w:r>
        <w:r w:rsidR="007537A8">
          <w:rPr>
            <w:noProof/>
            <w:webHidden/>
          </w:rPr>
          <w:fldChar w:fldCharType="begin"/>
        </w:r>
        <w:r w:rsidR="007537A8">
          <w:rPr>
            <w:noProof/>
            <w:webHidden/>
          </w:rPr>
          <w:instrText xml:space="preserve"> PAGEREF _Toc22133036 \h </w:instrText>
        </w:r>
        <w:r w:rsidR="007537A8">
          <w:rPr>
            <w:noProof/>
            <w:webHidden/>
          </w:rPr>
        </w:r>
        <w:r w:rsidR="007537A8">
          <w:rPr>
            <w:noProof/>
            <w:webHidden/>
          </w:rPr>
          <w:fldChar w:fldCharType="separate"/>
        </w:r>
        <w:r w:rsidR="007537A8">
          <w:rPr>
            <w:noProof/>
            <w:webHidden/>
          </w:rPr>
          <w:t>55</w:t>
        </w:r>
        <w:r w:rsidR="007537A8">
          <w:rPr>
            <w:noProof/>
            <w:webHidden/>
          </w:rPr>
          <w:fldChar w:fldCharType="end"/>
        </w:r>
      </w:hyperlink>
    </w:p>
    <w:p w14:paraId="487A76DE" w14:textId="69A689BB" w:rsidR="007537A8" w:rsidRDefault="00091FED">
      <w:pPr>
        <w:pStyle w:val="Verzeichnis9"/>
        <w:tabs>
          <w:tab w:val="right" w:leader="dot" w:pos="7361"/>
        </w:tabs>
        <w:rPr>
          <w:noProof/>
          <w:sz w:val="22"/>
          <w:szCs w:val="22"/>
          <w:lang w:eastAsia="de-DE"/>
        </w:rPr>
      </w:pPr>
      <w:hyperlink w:anchor="_Toc22133037" w:history="1">
        <w:r w:rsidR="007537A8" w:rsidRPr="00800905">
          <w:rPr>
            <w:rStyle w:val="Hyperlink"/>
            <w:noProof/>
          </w:rPr>
          <w:t>(2) Ausnahmsweise Zulässigkeit</w:t>
        </w:r>
        <w:r w:rsidR="007537A8">
          <w:rPr>
            <w:noProof/>
            <w:webHidden/>
          </w:rPr>
          <w:tab/>
        </w:r>
        <w:r w:rsidR="007537A8">
          <w:rPr>
            <w:noProof/>
            <w:webHidden/>
          </w:rPr>
          <w:fldChar w:fldCharType="begin"/>
        </w:r>
        <w:r w:rsidR="007537A8">
          <w:rPr>
            <w:noProof/>
            <w:webHidden/>
          </w:rPr>
          <w:instrText xml:space="preserve"> PAGEREF _Toc22133037 \h </w:instrText>
        </w:r>
        <w:r w:rsidR="007537A8">
          <w:rPr>
            <w:noProof/>
            <w:webHidden/>
          </w:rPr>
        </w:r>
        <w:r w:rsidR="007537A8">
          <w:rPr>
            <w:noProof/>
            <w:webHidden/>
          </w:rPr>
          <w:fldChar w:fldCharType="separate"/>
        </w:r>
        <w:r w:rsidR="007537A8">
          <w:rPr>
            <w:noProof/>
            <w:webHidden/>
          </w:rPr>
          <w:t>55</w:t>
        </w:r>
        <w:r w:rsidR="007537A8">
          <w:rPr>
            <w:noProof/>
            <w:webHidden/>
          </w:rPr>
          <w:fldChar w:fldCharType="end"/>
        </w:r>
      </w:hyperlink>
    </w:p>
    <w:p w14:paraId="1D2EF1DA" w14:textId="60486B63" w:rsidR="007537A8" w:rsidRDefault="00091FED">
      <w:pPr>
        <w:pStyle w:val="Verzeichnis9"/>
        <w:tabs>
          <w:tab w:val="right" w:leader="dot" w:pos="7361"/>
        </w:tabs>
        <w:rPr>
          <w:noProof/>
          <w:sz w:val="22"/>
          <w:szCs w:val="22"/>
          <w:lang w:eastAsia="de-DE"/>
        </w:rPr>
      </w:pPr>
      <w:hyperlink w:anchor="_Toc22133038" w:history="1">
        <w:r w:rsidR="007537A8" w:rsidRPr="00800905">
          <w:rPr>
            <w:rStyle w:val="Hyperlink"/>
            <w:noProof/>
          </w:rPr>
          <w:t>(3) Befreiung nach § 31 II BauGB</w:t>
        </w:r>
        <w:r w:rsidR="007537A8">
          <w:rPr>
            <w:noProof/>
            <w:webHidden/>
          </w:rPr>
          <w:tab/>
        </w:r>
        <w:r w:rsidR="007537A8">
          <w:rPr>
            <w:noProof/>
            <w:webHidden/>
          </w:rPr>
          <w:fldChar w:fldCharType="begin"/>
        </w:r>
        <w:r w:rsidR="007537A8">
          <w:rPr>
            <w:noProof/>
            <w:webHidden/>
          </w:rPr>
          <w:instrText xml:space="preserve"> PAGEREF _Toc22133038 \h </w:instrText>
        </w:r>
        <w:r w:rsidR="007537A8">
          <w:rPr>
            <w:noProof/>
            <w:webHidden/>
          </w:rPr>
        </w:r>
        <w:r w:rsidR="007537A8">
          <w:rPr>
            <w:noProof/>
            <w:webHidden/>
          </w:rPr>
          <w:fldChar w:fldCharType="separate"/>
        </w:r>
        <w:r w:rsidR="007537A8">
          <w:rPr>
            <w:noProof/>
            <w:webHidden/>
          </w:rPr>
          <w:t>56</w:t>
        </w:r>
        <w:r w:rsidR="007537A8">
          <w:rPr>
            <w:noProof/>
            <w:webHidden/>
          </w:rPr>
          <w:fldChar w:fldCharType="end"/>
        </w:r>
      </w:hyperlink>
    </w:p>
    <w:p w14:paraId="2D00EB73" w14:textId="1A3D6232" w:rsidR="007537A8" w:rsidRDefault="00091FED">
      <w:pPr>
        <w:pStyle w:val="Verzeichnis7"/>
        <w:tabs>
          <w:tab w:val="right" w:leader="dot" w:pos="7361"/>
        </w:tabs>
        <w:rPr>
          <w:noProof/>
          <w:sz w:val="22"/>
          <w:szCs w:val="22"/>
          <w:lang w:eastAsia="de-DE"/>
        </w:rPr>
      </w:pPr>
      <w:hyperlink w:anchor="_Toc22133039" w:history="1">
        <w:r w:rsidR="007537A8" w:rsidRPr="00800905">
          <w:rPr>
            <w:rStyle w:val="Hyperlink"/>
            <w:noProof/>
          </w:rPr>
          <w:t>b) Vereinbarkeit mit Bauordnungsrecht und sonstigem öffentlichem Recht</w:t>
        </w:r>
        <w:r w:rsidR="007537A8">
          <w:rPr>
            <w:noProof/>
            <w:webHidden/>
          </w:rPr>
          <w:tab/>
        </w:r>
        <w:r w:rsidR="007537A8">
          <w:rPr>
            <w:noProof/>
            <w:webHidden/>
          </w:rPr>
          <w:fldChar w:fldCharType="begin"/>
        </w:r>
        <w:r w:rsidR="007537A8">
          <w:rPr>
            <w:noProof/>
            <w:webHidden/>
          </w:rPr>
          <w:instrText xml:space="preserve"> PAGEREF _Toc22133039 \h </w:instrText>
        </w:r>
        <w:r w:rsidR="007537A8">
          <w:rPr>
            <w:noProof/>
            <w:webHidden/>
          </w:rPr>
        </w:r>
        <w:r w:rsidR="007537A8">
          <w:rPr>
            <w:noProof/>
            <w:webHidden/>
          </w:rPr>
          <w:fldChar w:fldCharType="separate"/>
        </w:r>
        <w:r w:rsidR="007537A8">
          <w:rPr>
            <w:noProof/>
            <w:webHidden/>
          </w:rPr>
          <w:t>58</w:t>
        </w:r>
        <w:r w:rsidR="007537A8">
          <w:rPr>
            <w:noProof/>
            <w:webHidden/>
          </w:rPr>
          <w:fldChar w:fldCharType="end"/>
        </w:r>
      </w:hyperlink>
    </w:p>
    <w:p w14:paraId="1755578C" w14:textId="24C906FE" w:rsidR="007537A8" w:rsidRDefault="00091FED">
      <w:pPr>
        <w:pStyle w:val="Verzeichnis6"/>
        <w:tabs>
          <w:tab w:val="right" w:leader="dot" w:pos="7361"/>
        </w:tabs>
        <w:rPr>
          <w:noProof/>
          <w:sz w:val="22"/>
          <w:szCs w:val="22"/>
          <w:lang w:eastAsia="de-DE"/>
        </w:rPr>
      </w:pPr>
      <w:hyperlink w:anchor="_Toc22133040" w:history="1">
        <w:r w:rsidR="007537A8" w:rsidRPr="00800905">
          <w:rPr>
            <w:rStyle w:val="Hyperlink"/>
            <w:noProof/>
          </w:rPr>
          <w:t>3. Rechtfolge</w:t>
        </w:r>
        <w:r w:rsidR="007537A8">
          <w:rPr>
            <w:noProof/>
            <w:webHidden/>
          </w:rPr>
          <w:tab/>
        </w:r>
        <w:r w:rsidR="007537A8">
          <w:rPr>
            <w:noProof/>
            <w:webHidden/>
          </w:rPr>
          <w:fldChar w:fldCharType="begin"/>
        </w:r>
        <w:r w:rsidR="007537A8">
          <w:rPr>
            <w:noProof/>
            <w:webHidden/>
          </w:rPr>
          <w:instrText xml:space="preserve"> PAGEREF _Toc22133040 \h </w:instrText>
        </w:r>
        <w:r w:rsidR="007537A8">
          <w:rPr>
            <w:noProof/>
            <w:webHidden/>
          </w:rPr>
        </w:r>
        <w:r w:rsidR="007537A8">
          <w:rPr>
            <w:noProof/>
            <w:webHidden/>
          </w:rPr>
          <w:fldChar w:fldCharType="separate"/>
        </w:r>
        <w:r w:rsidR="007537A8">
          <w:rPr>
            <w:noProof/>
            <w:webHidden/>
          </w:rPr>
          <w:t>58</w:t>
        </w:r>
        <w:r w:rsidR="007537A8">
          <w:rPr>
            <w:noProof/>
            <w:webHidden/>
          </w:rPr>
          <w:fldChar w:fldCharType="end"/>
        </w:r>
      </w:hyperlink>
    </w:p>
    <w:p w14:paraId="400C5540" w14:textId="075653E1" w:rsidR="007537A8" w:rsidRDefault="00091FED">
      <w:pPr>
        <w:pStyle w:val="Verzeichnis5"/>
        <w:tabs>
          <w:tab w:val="right" w:leader="dot" w:pos="7361"/>
        </w:tabs>
        <w:rPr>
          <w:rFonts w:eastAsiaTheme="minorEastAsia"/>
          <w:noProof/>
          <w:sz w:val="22"/>
          <w:szCs w:val="22"/>
          <w:lang w:eastAsia="de-DE"/>
        </w:rPr>
      </w:pPr>
      <w:hyperlink w:anchor="_Toc22133041" w:history="1">
        <w:r w:rsidR="007537A8" w:rsidRPr="00800905">
          <w:rPr>
            <w:rStyle w:val="Hyperlink"/>
            <w:noProof/>
          </w:rPr>
          <w:t>IV. Zwischenergebnis</w:t>
        </w:r>
        <w:r w:rsidR="007537A8">
          <w:rPr>
            <w:noProof/>
            <w:webHidden/>
          </w:rPr>
          <w:tab/>
        </w:r>
        <w:r w:rsidR="007537A8">
          <w:rPr>
            <w:noProof/>
            <w:webHidden/>
          </w:rPr>
          <w:fldChar w:fldCharType="begin"/>
        </w:r>
        <w:r w:rsidR="007537A8">
          <w:rPr>
            <w:noProof/>
            <w:webHidden/>
          </w:rPr>
          <w:instrText xml:space="preserve"> PAGEREF _Toc22133041 \h </w:instrText>
        </w:r>
        <w:r w:rsidR="007537A8">
          <w:rPr>
            <w:noProof/>
            <w:webHidden/>
          </w:rPr>
        </w:r>
        <w:r w:rsidR="007537A8">
          <w:rPr>
            <w:noProof/>
            <w:webHidden/>
          </w:rPr>
          <w:fldChar w:fldCharType="separate"/>
        </w:r>
        <w:r w:rsidR="007537A8">
          <w:rPr>
            <w:noProof/>
            <w:webHidden/>
          </w:rPr>
          <w:t>58</w:t>
        </w:r>
        <w:r w:rsidR="007537A8">
          <w:rPr>
            <w:noProof/>
            <w:webHidden/>
          </w:rPr>
          <w:fldChar w:fldCharType="end"/>
        </w:r>
      </w:hyperlink>
    </w:p>
    <w:p w14:paraId="342F455A" w14:textId="6010C6DE" w:rsidR="007537A8" w:rsidRDefault="00091FED">
      <w:pPr>
        <w:pStyle w:val="Verzeichnis4"/>
        <w:tabs>
          <w:tab w:val="right" w:leader="dot" w:pos="7361"/>
        </w:tabs>
        <w:rPr>
          <w:rFonts w:eastAsiaTheme="minorEastAsia"/>
          <w:noProof/>
          <w:sz w:val="22"/>
          <w:szCs w:val="22"/>
          <w:lang w:eastAsia="de-DE"/>
        </w:rPr>
      </w:pPr>
      <w:hyperlink w:anchor="_Toc22133042" w:history="1">
        <w:r w:rsidR="007537A8" w:rsidRPr="00800905">
          <w:rPr>
            <w:rStyle w:val="Hyperlink"/>
            <w:noProof/>
          </w:rPr>
          <w:t>D. Ergebnis</w:t>
        </w:r>
        <w:r w:rsidR="007537A8">
          <w:rPr>
            <w:noProof/>
            <w:webHidden/>
          </w:rPr>
          <w:tab/>
        </w:r>
        <w:r w:rsidR="007537A8">
          <w:rPr>
            <w:noProof/>
            <w:webHidden/>
          </w:rPr>
          <w:fldChar w:fldCharType="begin"/>
        </w:r>
        <w:r w:rsidR="007537A8">
          <w:rPr>
            <w:noProof/>
            <w:webHidden/>
          </w:rPr>
          <w:instrText xml:space="preserve"> PAGEREF _Toc22133042 \h </w:instrText>
        </w:r>
        <w:r w:rsidR="007537A8">
          <w:rPr>
            <w:noProof/>
            <w:webHidden/>
          </w:rPr>
        </w:r>
        <w:r w:rsidR="007537A8">
          <w:rPr>
            <w:noProof/>
            <w:webHidden/>
          </w:rPr>
          <w:fldChar w:fldCharType="separate"/>
        </w:r>
        <w:r w:rsidR="007537A8">
          <w:rPr>
            <w:noProof/>
            <w:webHidden/>
          </w:rPr>
          <w:t>58</w:t>
        </w:r>
        <w:r w:rsidR="007537A8">
          <w:rPr>
            <w:noProof/>
            <w:webHidden/>
          </w:rPr>
          <w:fldChar w:fldCharType="end"/>
        </w:r>
      </w:hyperlink>
    </w:p>
    <w:p w14:paraId="14846404" w14:textId="0483E155" w:rsidR="007537A8" w:rsidRDefault="00091FED">
      <w:pPr>
        <w:pStyle w:val="Verzeichnis3"/>
        <w:tabs>
          <w:tab w:val="right" w:leader="dot" w:pos="7361"/>
        </w:tabs>
        <w:rPr>
          <w:rFonts w:eastAsiaTheme="minorEastAsia"/>
          <w:noProof/>
          <w:sz w:val="22"/>
          <w:szCs w:val="22"/>
          <w:lang w:eastAsia="de-DE"/>
        </w:rPr>
      </w:pPr>
      <w:hyperlink w:anchor="_Toc22133043" w:history="1">
        <w:r w:rsidR="007537A8" w:rsidRPr="00800905">
          <w:rPr>
            <w:rStyle w:val="Hyperlink"/>
            <w:noProof/>
          </w:rPr>
          <w:t>Lösungsvorschlag Abwandlung</w:t>
        </w:r>
        <w:r w:rsidR="007537A8">
          <w:rPr>
            <w:noProof/>
            <w:webHidden/>
          </w:rPr>
          <w:tab/>
        </w:r>
        <w:r w:rsidR="007537A8">
          <w:rPr>
            <w:noProof/>
            <w:webHidden/>
          </w:rPr>
          <w:fldChar w:fldCharType="begin"/>
        </w:r>
        <w:r w:rsidR="007537A8">
          <w:rPr>
            <w:noProof/>
            <w:webHidden/>
          </w:rPr>
          <w:instrText xml:space="preserve"> PAGEREF _Toc22133043 \h </w:instrText>
        </w:r>
        <w:r w:rsidR="007537A8">
          <w:rPr>
            <w:noProof/>
            <w:webHidden/>
          </w:rPr>
        </w:r>
        <w:r w:rsidR="007537A8">
          <w:rPr>
            <w:noProof/>
            <w:webHidden/>
          </w:rPr>
          <w:fldChar w:fldCharType="separate"/>
        </w:r>
        <w:r w:rsidR="007537A8">
          <w:rPr>
            <w:noProof/>
            <w:webHidden/>
          </w:rPr>
          <w:t>59</w:t>
        </w:r>
        <w:r w:rsidR="007537A8">
          <w:rPr>
            <w:noProof/>
            <w:webHidden/>
          </w:rPr>
          <w:fldChar w:fldCharType="end"/>
        </w:r>
      </w:hyperlink>
    </w:p>
    <w:p w14:paraId="05A32458" w14:textId="35FDAA85" w:rsidR="0001383E" w:rsidRDefault="00CA43AE" w:rsidP="00261442">
      <w:pPr>
        <w:rPr>
          <w:rFonts w:ascii="Calibri" w:eastAsiaTheme="majorEastAsia" w:hAnsi="Calibri" w:cstheme="majorBidi"/>
          <w:sz w:val="26"/>
          <w:szCs w:val="26"/>
        </w:rPr>
      </w:pPr>
      <w:r>
        <w:rPr>
          <w:rFonts w:eastAsiaTheme="majorEastAsia"/>
        </w:rPr>
        <w:fldChar w:fldCharType="end"/>
      </w:r>
      <w:r w:rsidR="0001383E">
        <w:br w:type="page"/>
      </w:r>
    </w:p>
    <w:p w14:paraId="7A1DAEB8" w14:textId="0D8FB0DF" w:rsidR="00817B65" w:rsidRPr="00817B65" w:rsidRDefault="00817B65" w:rsidP="0001383E">
      <w:pPr>
        <w:pStyle w:val="berschrift3"/>
      </w:pPr>
      <w:bookmarkStart w:id="142" w:name="_Toc22133010"/>
      <w:bookmarkStart w:id="143" w:name="Fall4"/>
      <w:r w:rsidRPr="00817B65">
        <w:t>Lösung</w:t>
      </w:r>
      <w:r w:rsidR="00A8236D">
        <w:t>s</w:t>
      </w:r>
      <w:r>
        <w:t>vorschlag Grundfall</w:t>
      </w:r>
      <w:bookmarkEnd w:id="142"/>
    </w:p>
    <w:p w14:paraId="62D6D6AC" w14:textId="77777777" w:rsidR="00E74D46" w:rsidRPr="00E74D46" w:rsidRDefault="00E74D46" w:rsidP="00E74D46">
      <w:pPr>
        <w:pStyle w:val="Randnummer"/>
        <w:framePr w:wrap="around"/>
      </w:pPr>
    </w:p>
    <w:p w14:paraId="766714CD" w14:textId="77777777" w:rsidR="00936764" w:rsidRPr="00936764" w:rsidRDefault="00936764" w:rsidP="00936764">
      <w:r w:rsidRPr="00936764">
        <w:t>Das Gericht wird die Stadt zur Erteilung der beantragten Baugenehmigung verpflichten, soweit Bs Klage zulässig und begründet ist.</w:t>
      </w:r>
    </w:p>
    <w:p w14:paraId="6B96048A" w14:textId="77777777" w:rsidR="00936764" w:rsidRPr="00817B65" w:rsidRDefault="00936764" w:rsidP="000434BF">
      <w:pPr>
        <w:pStyle w:val="berschrift4"/>
      </w:pPr>
      <w:bookmarkStart w:id="144" w:name="_Toc22133011"/>
      <w:r w:rsidRPr="00817B65">
        <w:t>A. Zulässigkeit</w:t>
      </w:r>
      <w:bookmarkEnd w:id="144"/>
    </w:p>
    <w:p w14:paraId="79D11060" w14:textId="77777777" w:rsidR="00E74D46" w:rsidRPr="00E74D46" w:rsidRDefault="00E74D46" w:rsidP="00E74D46">
      <w:pPr>
        <w:pStyle w:val="Randnummer"/>
        <w:framePr w:wrap="around"/>
      </w:pPr>
    </w:p>
    <w:p w14:paraId="75391CF0" w14:textId="77777777" w:rsidR="00936764" w:rsidRPr="00936764" w:rsidRDefault="00936764" w:rsidP="00936764">
      <w:r w:rsidRPr="00936764">
        <w:t>Die Klage ist zulässig, soweit alle Sachurteilsvoraussetzungen vorliegen.</w:t>
      </w:r>
    </w:p>
    <w:p w14:paraId="2B18184D" w14:textId="77777777" w:rsidR="00936764" w:rsidRPr="00817B65" w:rsidRDefault="00936764" w:rsidP="000434BF">
      <w:pPr>
        <w:pStyle w:val="berschrift5"/>
      </w:pPr>
      <w:bookmarkStart w:id="145" w:name="_Toc22133012"/>
      <w:r w:rsidRPr="00817B65">
        <w:t>I. Eröffnung des Verwaltungsrechtswegs</w:t>
      </w:r>
      <w:bookmarkEnd w:id="145"/>
    </w:p>
    <w:p w14:paraId="26A9D5BE" w14:textId="77777777" w:rsidR="00EB2D06" w:rsidRPr="00EB2D06" w:rsidRDefault="00EB2D06" w:rsidP="00EB2D06">
      <w:pPr>
        <w:pStyle w:val="Randnummer"/>
        <w:framePr w:wrap="around"/>
      </w:pPr>
    </w:p>
    <w:p w14:paraId="56691837" w14:textId="77777777" w:rsidR="00936764" w:rsidRPr="00936764" w:rsidRDefault="00936764" w:rsidP="00936764">
      <w:r w:rsidRPr="00936764">
        <w:t>Zunächst müsste der Verwaltungsrechtsweg eröffnet sein. Mangels aufdrängender Sonderzuweisung setzt dies nach der Generalklausel des § 40 I 1 VwGO eine öffentlich-rechtliche Streitigkeit nichtverfassungsrechtlicher Art voraus. Eine Streitigkeit ist öffentlich-rechtlich, wenn die streitentscheidende Norm eine solche des öffentlichen Rechst ist, also ausschließlich Hoheitsträger als solche ermächtigt oder verpflichtet.</w:t>
      </w:r>
      <w:r w:rsidRPr="00936764">
        <w:rPr>
          <w:vertAlign w:val="superscript"/>
        </w:rPr>
        <w:footnoteReference w:id="87"/>
      </w:r>
      <w:r w:rsidRPr="00936764">
        <w:t xml:space="preserve"> Streitentscheidend ist § 70 I 1 LBauO RLP, der ausschließlich die Bauaufsichtsbehörde zur Erteilung einer Baugenehmigung ermächtigt und verpflichtet. Damit ist die Streitigkeit öffentlich-rechtlicher Art. Mit B und der Stadt S streiten keine unmittelbar am Verfassungsleben Beteiligten um die Auslegung von Verfassungsrecht, sodass die Streitigkeit auch nichtverfassungsrechtlicher Art ist.</w:t>
      </w:r>
      <w:r w:rsidRPr="00936764">
        <w:rPr>
          <w:vertAlign w:val="superscript"/>
        </w:rPr>
        <w:footnoteReference w:id="88"/>
      </w:r>
      <w:r w:rsidRPr="00936764">
        <w:t xml:space="preserve"> Mangels abdrängender Sonderzuweisung ist der Verwaltungsrechtsweg daher gemäß § 40 I 1 VwGO eröffnet.</w:t>
      </w:r>
    </w:p>
    <w:p w14:paraId="18D2D272" w14:textId="77777777" w:rsidR="00936764" w:rsidRPr="00817B65" w:rsidRDefault="00936764" w:rsidP="000434BF">
      <w:pPr>
        <w:pStyle w:val="berschrift5"/>
      </w:pPr>
      <w:bookmarkStart w:id="146" w:name="_Toc22133013"/>
      <w:r w:rsidRPr="00817B65">
        <w:t>II. Statthafte Klageart</w:t>
      </w:r>
      <w:bookmarkEnd w:id="146"/>
    </w:p>
    <w:p w14:paraId="5C799D28" w14:textId="77777777" w:rsidR="00EB2D06" w:rsidRPr="00EB2D06" w:rsidRDefault="00EB2D06" w:rsidP="00EB2D06">
      <w:pPr>
        <w:pStyle w:val="Randnummer"/>
        <w:framePr w:wrap="around"/>
      </w:pPr>
    </w:p>
    <w:p w14:paraId="6AE0186F" w14:textId="11CF817C" w:rsidR="00936764" w:rsidRPr="00936764" w:rsidRDefault="00936764" w:rsidP="00936764">
      <w:r w:rsidRPr="00936764">
        <w:t xml:space="preserve">Statthafte Klageart könnte die Verpflichtungsklage sein. Die statthafte Klageart richtet sich nach dem Begehren des Klägers in dessen Lichte die Klageanträge auszulegen sind (vgl. § 88 VwGO). Die Verpflichtungsklage ist gemäß § 42 I Hs. 2 VwGO statthaft, wenn die Klägerin die Verurteilung zum Erlass eines abgelehnten oder unterlassenen </w:t>
      </w:r>
      <w:r w:rsidR="00DA1B70">
        <w:t>Verwaltungsakts</w:t>
      </w:r>
      <w:r w:rsidRPr="00936764">
        <w:t xml:space="preserve"> begehrt. B begehrte die Verpflichtung zum Erlass der von ihr beantragten, zunächst unterlassenen Baugenehmigung. Eine Baugenehmigung erfüllt alle Begriffsmerkmale eines </w:t>
      </w:r>
      <w:r w:rsidR="00DA1B70">
        <w:t>Verwaltungsakts</w:t>
      </w:r>
      <w:r w:rsidRPr="00936764">
        <w:t xml:space="preserve"> i.S.d. § 35 </w:t>
      </w:r>
      <w:r w:rsidR="00AB190B">
        <w:t xml:space="preserve">S. </w:t>
      </w:r>
      <w:r w:rsidR="00E91AF0">
        <w:t>1</w:t>
      </w:r>
      <w:r w:rsidRPr="00936764">
        <w:t xml:space="preserve"> VwVfG.</w:t>
      </w:r>
      <w:r w:rsidRPr="00936764">
        <w:rPr>
          <w:vertAlign w:val="superscript"/>
        </w:rPr>
        <w:footnoteReference w:id="89"/>
      </w:r>
      <w:r w:rsidRPr="00936764">
        <w:t xml:space="preserve"> Statthaft war also eine Verpflichtungsklage in Gestalt einer Untätigkeitsklage, § 42 I Hs. 2 Alt. 2 VwGO.</w:t>
      </w:r>
    </w:p>
    <w:p w14:paraId="32163CEE" w14:textId="02B8B3E0" w:rsidR="00936764" w:rsidRPr="00936764" w:rsidRDefault="00936764" w:rsidP="00936764">
      <w:r w:rsidRPr="00936764">
        <w:t>Zwischenzeitlich hat die Stadtverwaltung Bs Antrag allerdings abgelehnt. Dadurch könnte sich ihre Klage erledigt haben. Eine Klage ist erledigt, wenn ein nach Klageerhebung eintretendes außerprozessuales Ereignis dem Klagebegehren die Grundlage entzieht, so dass die Klage für die Klägerin gegenstandslos wird.</w:t>
      </w:r>
      <w:r w:rsidRPr="00936764">
        <w:rPr>
          <w:vertAlign w:val="superscript"/>
        </w:rPr>
        <w:footnoteReference w:id="90"/>
      </w:r>
      <w:r w:rsidRPr="00936764">
        <w:t xml:space="preserve"> Bei einer Untätigkeitsklage stellt sich die Frage, ob sie auf die Verpflichtung zum Erlass des begehrten </w:t>
      </w:r>
      <w:r w:rsidR="00DA1B70">
        <w:t>Verwaltungsakts</w:t>
      </w:r>
      <w:r w:rsidRPr="00936764">
        <w:t xml:space="preserve"> oder auf die bloße Verpflichtung zur Bescheidung des Antrags gerichtet ist. Während sich aus § 75 </w:t>
      </w:r>
      <w:r w:rsidR="00E91AF0">
        <w:t>1</w:t>
      </w:r>
      <w:r w:rsidRPr="00936764">
        <w:t xml:space="preserve"> VwGO ergibt, dass sich der Kläger jedenfalls nicht auf die Verpflichtung zur Bescheidung seines Antrags beschränken muss, ist streitig, ob er dies gleichwohl tun könnte.</w:t>
      </w:r>
      <w:r w:rsidRPr="00936764">
        <w:rPr>
          <w:vertAlign w:val="superscript"/>
        </w:rPr>
        <w:footnoteReference w:id="91"/>
      </w:r>
      <w:r w:rsidRPr="00936764">
        <w:t xml:space="preserve"> Lässt man eine Beschränkung der Klage auf die bloße Bescheidung zu, so erledigt sich die Untätigkeitsklage allerdings mit einer nachträglichen Antragsablehnung.</w:t>
      </w:r>
    </w:p>
    <w:p w14:paraId="1A2C51CD" w14:textId="77777777" w:rsidR="00936764" w:rsidRPr="00936764" w:rsidRDefault="00936764" w:rsidP="00936764">
      <w:r w:rsidRPr="00936764">
        <w:t>Bs Begehren ist eindeutig auf die Verpflichtung zum Erlass der Baugenehmigung gerichtet. Streitgegenstand ihrer Klage war daher von Anfang an nicht bloß die Bescheidung ihres Antrags, sondern bereits der Anspruch auf Erteilung der Baugenehmigung. Der von ihr geltend gemachte Anspruch auf Erteilung der Baugenehmigung bleibt gerade auch nach der Ablehnung ihres Antrags Gegenstand ihrer Klage. Die Antragsablehnung hat ihrem Begehren damit nicht die Grundlage entzogen. Bs Verpflichtungsklage hat sich daher nicht erledigt. Die zunächst als Untätigkeitsklage erhobene Verpflichtungsklage kann als solche fortgeführt werden.</w:t>
      </w:r>
      <w:r w:rsidRPr="00936764">
        <w:rPr>
          <w:vertAlign w:val="superscript"/>
        </w:rPr>
        <w:footnoteReference w:id="92"/>
      </w:r>
      <w:r w:rsidRPr="00936764">
        <w:t xml:space="preserve"> Damit ist die Verpflichtungsklage statthaft.</w:t>
      </w:r>
    </w:p>
    <w:p w14:paraId="314AE90F" w14:textId="77777777" w:rsidR="00936764" w:rsidRPr="00817B65" w:rsidRDefault="00936764" w:rsidP="000434BF">
      <w:pPr>
        <w:pStyle w:val="berschrift5"/>
      </w:pPr>
      <w:bookmarkStart w:id="147" w:name="_Toc22133014"/>
      <w:r w:rsidRPr="00817B65">
        <w:t>III. Klagebefugnis</w:t>
      </w:r>
      <w:bookmarkEnd w:id="147"/>
    </w:p>
    <w:p w14:paraId="54CD6FB3" w14:textId="77777777" w:rsidR="00425F7F" w:rsidRPr="00425F7F" w:rsidRDefault="00425F7F" w:rsidP="00425F7F">
      <w:pPr>
        <w:pStyle w:val="Randnummer"/>
        <w:framePr w:wrap="around"/>
      </w:pPr>
    </w:p>
    <w:p w14:paraId="21DBB825" w14:textId="7633F5F1" w:rsidR="00936764" w:rsidRPr="00936764" w:rsidRDefault="00936764" w:rsidP="00936764">
      <w:r w:rsidRPr="00936764">
        <w:t>B müsste gemäß § 42 II VwGO klagebe</w:t>
      </w:r>
      <w:r w:rsidR="00AB190B">
        <w:t>f</w:t>
      </w:r>
      <w:r w:rsidRPr="00936764">
        <w:t>ugt sein. Dies setzt voraus, dass nach ihrem substantiierten Vortrag zumindest die Möglichkeit einer Verletzung in ihren subjektiv-öffentlichen Rechten gegeben ist. Bei einer Verpflichtungsklage ist dies der Fall, wenn ein Anspruch auf den begehrten Verwaltungsakt nicht von vornherein unter allen denkbaren Gesichtspunkten ausgeschlossen ist.</w:t>
      </w:r>
      <w:r w:rsidRPr="00936764">
        <w:rPr>
          <w:vertAlign w:val="superscript"/>
        </w:rPr>
        <w:footnoteReference w:id="93"/>
      </w:r>
      <w:r w:rsidRPr="00936764">
        <w:t xml:space="preserve"> Eine Norm vermittelt einen Anspruch, wenn sie nicht nur dem Interesse der Allgemeinheit zu dienen bestimmt ist, sondern zumindest auch dem Schutz von Individualinteressen dient und die Anspruchstellerin zum geschützten Personenkreis zählt.</w:t>
      </w:r>
      <w:r w:rsidRPr="00936764">
        <w:rPr>
          <w:vertAlign w:val="superscript"/>
        </w:rPr>
        <w:footnoteReference w:id="94"/>
      </w:r>
      <w:r w:rsidRPr="00936764">
        <w:t xml:space="preserve"> § 70 I 1 LBauO formuliert ausdrücklich, dass eine Baugenehmigung zu erteilen „ist“, wenn keine baurechtlichen oder sonstigen öffentlich-rechtlichen Vorschriften entgegenstehen. Die Vorschrift verleiht der Bauherrin damit einen Anspruch auf Erteilung der Baugenehmigung.</w:t>
      </w:r>
      <w:r w:rsidRPr="00936764">
        <w:rPr>
          <w:vertAlign w:val="superscript"/>
        </w:rPr>
        <w:footnoteReference w:id="95"/>
      </w:r>
      <w:r w:rsidRPr="00936764">
        <w:t xml:space="preserve"> Es erscheint nicht ausgeschlossen, dass Bs Vorhaben rechtlich zulässig ist. Mithin ist B klagebefugt.</w:t>
      </w:r>
    </w:p>
    <w:p w14:paraId="0534392A" w14:textId="77777777" w:rsidR="00936764" w:rsidRPr="00817B65" w:rsidRDefault="00936764" w:rsidP="000434BF">
      <w:pPr>
        <w:pStyle w:val="berschrift5"/>
      </w:pPr>
      <w:bookmarkStart w:id="148" w:name="_Toc22133015"/>
      <w:r w:rsidRPr="00817B65">
        <w:t>IV. Vorverfahren</w:t>
      </w:r>
      <w:bookmarkEnd w:id="148"/>
    </w:p>
    <w:p w14:paraId="45CD2684" w14:textId="77777777" w:rsidR="00425F7F" w:rsidRPr="00425F7F" w:rsidRDefault="00425F7F" w:rsidP="00425F7F">
      <w:pPr>
        <w:pStyle w:val="Randnummer"/>
        <w:framePr w:wrap="around"/>
      </w:pPr>
    </w:p>
    <w:p w14:paraId="3F81ABF1" w14:textId="1F16BB6C" w:rsidR="00936764" w:rsidRPr="00936764" w:rsidRDefault="00936764" w:rsidP="00936764">
      <w:r w:rsidRPr="00936764">
        <w:t xml:space="preserve">Nach § 68 I 1, II VwGO ist vor Erhebung einer Verpflichtungsklage eine Widerspruchsverfahren durchzuführen, wenn der Antrag auf Vornahme des </w:t>
      </w:r>
      <w:r w:rsidR="00DA1B70">
        <w:t>Verwaltungsakts</w:t>
      </w:r>
      <w:r w:rsidRPr="00936764">
        <w:t xml:space="preserve"> abgelehnt worden ist.</w:t>
      </w:r>
      <w:r w:rsidR="00A566D1">
        <w:t xml:space="preserve"> </w:t>
      </w:r>
      <w:r w:rsidRPr="00936764">
        <w:t>Als B Klage erhoben hat, war ihr Antrag noch gar nicht beschieden. Dementsprechend konnte sie noch keinen Widerspruch einlegen. Zwischenzeitlich wurde ihr Antrag aber abgelehnt, womit nach § 68 II VwGO die Durchführung eines Widerspruchsverfahren</w:t>
      </w:r>
      <w:r w:rsidR="00772351">
        <w:t>s</w:t>
      </w:r>
      <w:r w:rsidRPr="00936764">
        <w:t xml:space="preserve"> erforderlich geworden sein könnte. § 75 </w:t>
      </w:r>
      <w:r w:rsidR="00AB190B">
        <w:t xml:space="preserve">S. </w:t>
      </w:r>
      <w:r w:rsidR="00E91AF0">
        <w:t>1</w:t>
      </w:r>
      <w:r w:rsidRPr="00936764">
        <w:t xml:space="preserve"> VwGO erklärt im</w:t>
      </w:r>
      <w:r w:rsidR="00A566D1">
        <w:t xml:space="preserve"> </w:t>
      </w:r>
      <w:r w:rsidRPr="00936764">
        <w:t xml:space="preserve">Fall der Unterlassung eines </w:t>
      </w:r>
      <w:r w:rsidR="00DA1B70">
        <w:t>Verwaltungsakts</w:t>
      </w:r>
      <w:r w:rsidRPr="00936764">
        <w:t xml:space="preserve"> die Klage abweichend von § 68 VwGO für zulässig.</w:t>
      </w:r>
      <w:r w:rsidRPr="00936764">
        <w:rPr>
          <w:vertAlign w:val="superscript"/>
        </w:rPr>
        <w:footnoteReference w:id="96"/>
      </w:r>
      <w:r w:rsidRPr="00936764">
        <w:t xml:space="preserve"> Voraussetzung ist, dass über den Antrag auf Vornahme eines </w:t>
      </w:r>
      <w:r w:rsidR="00DA1B70">
        <w:t>Verwaltungsakts</w:t>
      </w:r>
      <w:r w:rsidRPr="00936764">
        <w:t xml:space="preserve"> ohne zureichenden Grund nicht in angemessener Frist sachlich entschieden worden ist. Zureichende Gründe sind nur solche, die mit der Rechtsordnung vereinbar sind. In Betracht kommen etwa besondere Schwierigkeiten der Sachverhaltsermittlung.</w:t>
      </w:r>
      <w:r w:rsidRPr="00936764">
        <w:rPr>
          <w:vertAlign w:val="superscript"/>
        </w:rPr>
        <w:footnoteReference w:id="97"/>
      </w:r>
      <w:r w:rsidRPr="00936764">
        <w:t xml:space="preserve"> Äs Überforderungen mit dem Nachbarstreit zwischen B und N ist demgegenüber kein zureichender Grund, Bs Antrag nicht zu bescheiden. Nach § 75 S. 2 VwGO ist die Klage frühestens drei Monate nach Antragstellung zulässig. Seit Bs Antrag sind neun Monate vergangen. Damit war die von B bereits erhobene Klage nach § 75 </w:t>
      </w:r>
      <w:r w:rsidR="005C3104">
        <w:t xml:space="preserve">S. </w:t>
      </w:r>
      <w:r w:rsidR="00E91AF0">
        <w:t>1</w:t>
      </w:r>
      <w:r w:rsidRPr="00936764">
        <w:t xml:space="preserve"> u. 2 VwGO abweichend von § 68 VwGO ohne vorheriges Vorverfahren zulässig als die Stadtverwaltung Bs Antrag schlussendlich doch noch abgelehnt hat. Die insoweit verspätete Antragsablehnung vermag daran nichts mehr zu ändern. Mithin bedarf es auch jetzt keines Vorverfahrens mehr.</w:t>
      </w:r>
      <w:r w:rsidRPr="00936764">
        <w:rPr>
          <w:vertAlign w:val="superscript"/>
        </w:rPr>
        <w:t xml:space="preserve"> </w:t>
      </w:r>
      <w:r w:rsidRPr="00936764">
        <w:rPr>
          <w:vertAlign w:val="superscript"/>
        </w:rPr>
        <w:footnoteReference w:id="98"/>
      </w:r>
    </w:p>
    <w:p w14:paraId="6CAE126B" w14:textId="77777777" w:rsidR="00936764" w:rsidRPr="00817B65" w:rsidRDefault="00936764" w:rsidP="000434BF">
      <w:pPr>
        <w:pStyle w:val="berschrift5"/>
      </w:pPr>
      <w:bookmarkStart w:id="149" w:name="_Toc22133016"/>
      <w:r w:rsidRPr="00817B65">
        <w:t>V. Klagegegnerin</w:t>
      </w:r>
      <w:bookmarkEnd w:id="149"/>
    </w:p>
    <w:p w14:paraId="6A4B5E55" w14:textId="77777777" w:rsidR="00425F7F" w:rsidRPr="00425F7F" w:rsidRDefault="00425F7F" w:rsidP="00425F7F">
      <w:pPr>
        <w:pStyle w:val="Randnummer"/>
        <w:framePr w:wrap="around"/>
      </w:pPr>
    </w:p>
    <w:p w14:paraId="6D0572DA" w14:textId="68B14128" w:rsidR="00936764" w:rsidRPr="00936764" w:rsidRDefault="00936764" w:rsidP="00936764">
      <w:r w:rsidRPr="00936764">
        <w:t>Gemäß § 78 I Nr. 1 VwGO ist die Klage gegen die Körperschaft zu richten, deren Behörde den beantragen Verwaltungsakt unterlassen hat.</w:t>
      </w:r>
      <w:r w:rsidRPr="00936764">
        <w:rPr>
          <w:vertAlign w:val="superscript"/>
        </w:rPr>
        <w:footnoteReference w:id="99"/>
      </w:r>
      <w:r w:rsidR="00A566D1">
        <w:t xml:space="preserve"> </w:t>
      </w:r>
      <w:r w:rsidRPr="00936764">
        <w:t>Die Stadtverwaltung ist nach § 28 I, III GemO Behörde der kreisfreien Stadt S, die nach § 1 II 1 GemO RLP eine Gebietskörperschaft ist. Richtige Klagegegnerin ist also die Stadt S.</w:t>
      </w:r>
    </w:p>
    <w:p w14:paraId="05140943" w14:textId="77777777" w:rsidR="00936764" w:rsidRPr="00817B65" w:rsidRDefault="00936764" w:rsidP="000434BF">
      <w:pPr>
        <w:pStyle w:val="berschrift5"/>
      </w:pPr>
      <w:bookmarkStart w:id="150" w:name="_Toc22133017"/>
      <w:r w:rsidRPr="00817B65">
        <w:t>VI. Beteiligten- und Prozessfähigkeit</w:t>
      </w:r>
      <w:bookmarkEnd w:id="150"/>
    </w:p>
    <w:p w14:paraId="00D90353" w14:textId="77777777" w:rsidR="00425F7F" w:rsidRPr="00425F7F" w:rsidRDefault="00425F7F" w:rsidP="00425F7F">
      <w:pPr>
        <w:pStyle w:val="Randnummer"/>
        <w:framePr w:wrap="around"/>
      </w:pPr>
    </w:p>
    <w:p w14:paraId="6CB410C0" w14:textId="77777777" w:rsidR="00936764" w:rsidRPr="00936764" w:rsidRDefault="00936764" w:rsidP="00936764">
      <w:r w:rsidRPr="00936764">
        <w:t xml:space="preserve">B ist als natürliche, geschäftsfähige Person nach §§ 61 Nr. 1 Alt. 1, 62 I Nr. 1 VwGO beteiligungs- und prozessfähig. Die Stadt S ist als juristische Person des öffentlichen Rechts nach § 61 Nr. 1 Alt. 2 VwGO beteiligungsfähig. Sie wird im Prozess nach § 62 III VwGO i.V.m. § 47 I 1 GemO RLP vom Oberbürgermeister vertreten. </w:t>
      </w:r>
    </w:p>
    <w:p w14:paraId="52F3858B" w14:textId="77777777" w:rsidR="00936764" w:rsidRPr="00817B65" w:rsidRDefault="00936764" w:rsidP="000434BF">
      <w:pPr>
        <w:pStyle w:val="berschrift5"/>
      </w:pPr>
      <w:bookmarkStart w:id="151" w:name="_Toc22133018"/>
      <w:r w:rsidRPr="00817B65">
        <w:t>VII. Klagefrist</w:t>
      </w:r>
      <w:bookmarkEnd w:id="151"/>
    </w:p>
    <w:p w14:paraId="20613B88" w14:textId="77777777" w:rsidR="00425F7F" w:rsidRPr="00425F7F" w:rsidRDefault="00425F7F" w:rsidP="00425F7F">
      <w:pPr>
        <w:pStyle w:val="Randnummer"/>
        <w:framePr w:wrap="around"/>
      </w:pPr>
    </w:p>
    <w:p w14:paraId="6356FFA2" w14:textId="5A8CCED3" w:rsidR="00936764" w:rsidRPr="00936764" w:rsidRDefault="00936764" w:rsidP="00936764">
      <w:r w:rsidRPr="00936764">
        <w:t xml:space="preserve">Eine Verpflichtungsklage ist nach § 74 I, II VwGO grds. innerhalb eines Monats ab Zustellung des Widerspruchsbescheides zu erheben, wenn der Antrag auf Vornahme des </w:t>
      </w:r>
      <w:r w:rsidR="00DA1B70">
        <w:t>Verwaltungsakts</w:t>
      </w:r>
      <w:r w:rsidRPr="00936764">
        <w:t xml:space="preserve"> abgelehnt worden ist. Wird der Antrag allerdings erst abgelehnt nachdem wegen der Untätigkeit der Verwaltung abweichend von § 68 VwGO bereits zulässig Klage erhoben ist, so kann es auf die Frist des § 74 VwGO nicht ankommen.</w:t>
      </w:r>
      <w:r w:rsidRPr="00936764">
        <w:rPr>
          <w:vertAlign w:val="superscript"/>
        </w:rPr>
        <w:footnoteReference w:id="100"/>
      </w:r>
      <w:r w:rsidRPr="00936764">
        <w:t xml:space="preserve"> Ein gesondertes Fristerfordernis für eine wegen der Untätigkeit der Verwaltung bereits vor Antragsablehnung erhobene Verpflichtungsklage besteht nicht.</w:t>
      </w:r>
      <w:r w:rsidRPr="00936764">
        <w:rPr>
          <w:vertAlign w:val="superscript"/>
        </w:rPr>
        <w:footnoteReference w:id="101"/>
      </w:r>
    </w:p>
    <w:p w14:paraId="1B99D766" w14:textId="77777777" w:rsidR="00936764" w:rsidRPr="00817B65" w:rsidRDefault="00936764" w:rsidP="000434BF">
      <w:pPr>
        <w:pStyle w:val="berschrift5"/>
      </w:pPr>
      <w:bookmarkStart w:id="152" w:name="_Toc22133019"/>
      <w:r w:rsidRPr="00817B65">
        <w:t>VIII. Allgemeines Rechtsschutzbedürfnis</w:t>
      </w:r>
      <w:bookmarkEnd w:id="152"/>
    </w:p>
    <w:p w14:paraId="40A915C6" w14:textId="77777777" w:rsidR="00CB0429" w:rsidRPr="00CB0429" w:rsidRDefault="00CB0429" w:rsidP="00CB0429">
      <w:pPr>
        <w:pStyle w:val="Randnummer"/>
        <w:framePr w:wrap="around"/>
      </w:pPr>
    </w:p>
    <w:p w14:paraId="77E92CF5" w14:textId="53D4BCC5" w:rsidR="00936764" w:rsidRPr="00936764" w:rsidRDefault="00936764" w:rsidP="00936764">
      <w:r w:rsidRPr="00936764">
        <w:t xml:space="preserve">Schließlich stellt sich die Frage, ob B auch rechtsschutzbedürftig ist. Das allgemeine Rechtsschutzbedürfnis fehlt, wenn es eine einfachere, günstigere, ebenso rechtsschutzintensive Möglichkeit gibt, das Klagebegehren zu erreichen. Eine solche Möglichkeit besteht im Falle der Verpflichtungsklage stets in der Beantragung des begehrten </w:t>
      </w:r>
      <w:r w:rsidR="00DA1B70">
        <w:t>Verwaltungsakts</w:t>
      </w:r>
      <w:r w:rsidRPr="00936764">
        <w:t xml:space="preserve"> bei der zuständigen Behörde</w:t>
      </w:r>
      <w:r w:rsidRPr="00936764">
        <w:rPr>
          <w:vertAlign w:val="superscript"/>
        </w:rPr>
        <w:footnoteReference w:id="102"/>
      </w:r>
      <w:r w:rsidRPr="00936764">
        <w:t>, von der B auch Gebrauch gemacht hat.</w:t>
      </w:r>
    </w:p>
    <w:p w14:paraId="476EA917" w14:textId="77777777" w:rsidR="00936764" w:rsidRPr="00936764" w:rsidRDefault="00936764" w:rsidP="00296147">
      <w:r w:rsidRPr="00936764">
        <w:t>B könnte ihr Rechtsschutzbedürfnis aber durch ein zu langes Abwarten mit der Klageerhebung verwirkt haben. Auch wenn eine wegen Untätigkeit bereits vor Antragsablehnung erhobene Verpflichtungsklage nicht fristgebunden ist, unterliegt sie jedenfalls der prozessualen Verwirkung. Eine solche setzt ein Zeit- und ein Umstandsmoment voraus. Eine Klägerin verwirkt ihr Klagerecht, wenn sie längere Zeit kein Gebrauch von ihm macht und durch ihr Verhalten bei der Klagegegnerin die berechtigte Erwartung weckt, auch in Zukunft nicht mehr zu klagen. § 76 VwGO a.F. sah für die Untätigkeitsklage eine Jahresfrist vor. Nach dem in der Abschaffung der Jahresfrist zu erkennendem gesetzgeberischen Wille ist davon auszugehen, dass eine Verwirkung jedenfalls nicht vor Ablauf eines Jahres anzunehmen sein soll.</w:t>
      </w:r>
      <w:r w:rsidRPr="00936764">
        <w:rPr>
          <w:vertAlign w:val="superscript"/>
        </w:rPr>
        <w:footnoteReference w:id="103"/>
      </w:r>
      <w:r w:rsidRPr="00936764">
        <w:t xml:space="preserve"> B hat ihre Klage neun Monate nach Stellung des Baugenehmigungsantrages erhoben. Danach ist ihr Rechtsschutzbedürfnis nicht ausgeschlossen.</w:t>
      </w:r>
    </w:p>
    <w:p w14:paraId="7B59BB62" w14:textId="77777777" w:rsidR="00936764" w:rsidRPr="00817B65" w:rsidRDefault="00936764" w:rsidP="000434BF">
      <w:pPr>
        <w:pStyle w:val="berschrift5"/>
      </w:pPr>
      <w:bookmarkStart w:id="153" w:name="_Toc22133020"/>
      <w:r w:rsidRPr="00817B65">
        <w:t>IX. Zwischenergebnis</w:t>
      </w:r>
      <w:bookmarkEnd w:id="153"/>
    </w:p>
    <w:p w14:paraId="37A1B33F" w14:textId="77777777" w:rsidR="00CB0429" w:rsidRPr="00CB0429" w:rsidRDefault="00CB0429" w:rsidP="00CB0429">
      <w:pPr>
        <w:pStyle w:val="Randnummer"/>
        <w:framePr w:wrap="around"/>
      </w:pPr>
    </w:p>
    <w:p w14:paraId="3C768B40" w14:textId="77777777" w:rsidR="00936764" w:rsidRDefault="00936764" w:rsidP="00936764">
      <w:r w:rsidRPr="00936764">
        <w:t>Mithin liegen alle Sachurteilsvoraussetzungen vor. Bs Klage ist zulässig.</w:t>
      </w:r>
    </w:p>
    <w:p w14:paraId="64A0CC91" w14:textId="77777777" w:rsidR="000434BF" w:rsidRPr="00936764" w:rsidRDefault="000434BF" w:rsidP="00936764"/>
    <w:p w14:paraId="2AC8D86A" w14:textId="3F695C09" w:rsidR="00936764" w:rsidRPr="00817B65" w:rsidRDefault="00936764" w:rsidP="000434BF">
      <w:pPr>
        <w:pStyle w:val="berschrift4"/>
      </w:pPr>
      <w:bookmarkStart w:id="154" w:name="_Toc22133021"/>
      <w:r w:rsidRPr="00817B65">
        <w:t>B. Beiladung der N</w:t>
      </w:r>
      <w:bookmarkEnd w:id="154"/>
    </w:p>
    <w:p w14:paraId="516652C6" w14:textId="77777777" w:rsidR="00CB0429" w:rsidRPr="00CB0429" w:rsidRDefault="00CB0429" w:rsidP="00CB0429">
      <w:pPr>
        <w:pStyle w:val="Randnummer"/>
        <w:framePr w:wrap="around"/>
      </w:pPr>
    </w:p>
    <w:p w14:paraId="76231CE4" w14:textId="6B14E7EE" w:rsidR="00936764" w:rsidRPr="00936764" w:rsidRDefault="00936764" w:rsidP="00936764">
      <w:r w:rsidRPr="00936764">
        <w:t>N könnte nach § 65 II VwGO notwendig beizuladen sein. Eine Beiladung ist notwendig, wenn am streitgegenständlichen Rechtsverhältnis Dritte derart beteiligt sind, dass eine Entscheidung auch ihnen gegenüber nur einheitlich ergehen kann. Dies ist der Fall, wenn die Möglichkeit besteht, dass von der Entscheidung unmittelbar und zwangsläufig Rechte eines Dritten betroffen werden.</w:t>
      </w:r>
      <w:r w:rsidRPr="00936764">
        <w:rPr>
          <w:vertAlign w:val="superscript"/>
        </w:rPr>
        <w:footnoteReference w:id="104"/>
      </w:r>
      <w:r w:rsidRPr="00936764">
        <w:t xml:space="preserve"> Es erscheint jedenfalls nicht ausgeschlossen, dass die Erteilung der Baugenehmigung gegen nachbarschützende Vorschriften verstößt und damit N in ihren Rechten betrifft. Während bei einer Anfechtungsklage ein Verwaltungsakt auch mit unmittelbar rechtsgestaltender Wirkung für einen Drittbetroffenen aufgehoben wird, enthält ein Verpflichtungsurteil allerdings nur die Verpflichtung, einen Verwaltungsakt, der ggf. auch einen Dritten betrifft, zu erlassen. Der Dritte hat dann noch die Möglichkeit, den Verwaltungsakt nach seinem Erlass anzufechten. Jedenfalls wenn der Dritte nicht Adressat des begehrten </w:t>
      </w:r>
      <w:r w:rsidR="00DA1B70">
        <w:t>Verwaltungsakts</w:t>
      </w:r>
      <w:r w:rsidRPr="00936764">
        <w:t xml:space="preserve"> ist, ist die Beiladung nicht obligatorisch.</w:t>
      </w:r>
      <w:r w:rsidRPr="00936764">
        <w:rPr>
          <w:vertAlign w:val="superscript"/>
        </w:rPr>
        <w:footnoteReference w:id="105"/>
      </w:r>
      <w:r w:rsidRPr="00936764">
        <w:t xml:space="preserve"> Mithin ist N nicht notwendig beizuladen.</w:t>
      </w:r>
      <w:r w:rsidRPr="00936764">
        <w:rPr>
          <w:vertAlign w:val="superscript"/>
        </w:rPr>
        <w:footnoteReference w:id="106"/>
      </w:r>
    </w:p>
    <w:p w14:paraId="3C18547C" w14:textId="77777777" w:rsidR="00936764" w:rsidRDefault="00936764" w:rsidP="00936764">
      <w:r w:rsidRPr="00936764">
        <w:t>Die Entscheidung berührt aber jedenfalls die nachbarrechtlichen Interessen der N, so dass das Gericht sie nach seinem Ermessen gemäß § 65 I VwGO beiladen kann. Durch eine Beteiligung im Rahmen der bereits erhobenen Verpflichtungsklage, könnte einer späteren Anfechtungsklage der N vorgebeugt werden. Für ihre einfache Beiladung sprechen daher Gründe der Prozessökonomie.</w:t>
      </w:r>
      <w:r w:rsidRPr="00936764">
        <w:rPr>
          <w:vertAlign w:val="superscript"/>
        </w:rPr>
        <w:footnoteReference w:id="107"/>
      </w:r>
    </w:p>
    <w:p w14:paraId="06F79F24" w14:textId="77777777" w:rsidR="000434BF" w:rsidRPr="00936764" w:rsidRDefault="000434BF" w:rsidP="00936764"/>
    <w:p w14:paraId="0C6DE40E" w14:textId="77777777" w:rsidR="00936764" w:rsidRPr="00817B65" w:rsidRDefault="00936764" w:rsidP="000434BF">
      <w:pPr>
        <w:pStyle w:val="berschrift4"/>
      </w:pPr>
      <w:bookmarkStart w:id="155" w:name="_Toc22133022"/>
      <w:r w:rsidRPr="00817B65">
        <w:t>C. Begründetheit</w:t>
      </w:r>
      <w:bookmarkEnd w:id="155"/>
    </w:p>
    <w:p w14:paraId="1F808713" w14:textId="77777777" w:rsidR="00CB0429" w:rsidRPr="00CB0429" w:rsidRDefault="00CB0429" w:rsidP="00CB0429">
      <w:pPr>
        <w:pStyle w:val="Randnummer"/>
        <w:framePr w:wrap="around"/>
      </w:pPr>
    </w:p>
    <w:p w14:paraId="6ED299BE" w14:textId="77777777" w:rsidR="00936764" w:rsidRPr="00936764" w:rsidRDefault="00936764" w:rsidP="00936764">
      <w:r w:rsidRPr="00936764">
        <w:t>Bs Verpflichtungsklage ist nach § 113 V 1 VwGO begründet, soweit die Unterlassung der Baugenehmigung rechtswidrig, sie dadurch in ihren Rechten verletzt und die Sache spruchreif</w:t>
      </w:r>
      <w:r w:rsidRPr="00936764">
        <w:rPr>
          <w:vertAlign w:val="superscript"/>
        </w:rPr>
        <w:footnoteReference w:id="108"/>
      </w:r>
      <w:r w:rsidRPr="00936764">
        <w:t xml:space="preserve"> ist. Das ist der Fall, soweit B einen Anspruch auf die von ihr begehrte Baugenehmigung hat. Dies erfordert das Vorliegen einer Anspruchsgrundlage sowie ihrer formellen und materiellen Voraussetzungen.</w:t>
      </w:r>
      <w:r w:rsidRPr="00936764">
        <w:rPr>
          <w:vertAlign w:val="superscript"/>
        </w:rPr>
        <w:footnoteReference w:id="109"/>
      </w:r>
    </w:p>
    <w:p w14:paraId="2060F1C1" w14:textId="77777777" w:rsidR="00936764" w:rsidRPr="00817B65" w:rsidRDefault="00936764" w:rsidP="000434BF">
      <w:pPr>
        <w:pStyle w:val="berschrift5"/>
      </w:pPr>
      <w:bookmarkStart w:id="156" w:name="_Toc22133023"/>
      <w:r w:rsidRPr="00817B65">
        <w:t>I. Anspruchsgrundlage</w:t>
      </w:r>
      <w:bookmarkEnd w:id="156"/>
    </w:p>
    <w:p w14:paraId="0689795B" w14:textId="77777777" w:rsidR="00CB0429" w:rsidRPr="00CB0429" w:rsidRDefault="00CB0429" w:rsidP="00CB0429">
      <w:pPr>
        <w:pStyle w:val="Randnummer"/>
        <w:framePr w:wrap="around"/>
      </w:pPr>
    </w:p>
    <w:p w14:paraId="422749F6" w14:textId="77777777" w:rsidR="00936764" w:rsidRPr="00936764" w:rsidRDefault="00936764" w:rsidP="00936764">
      <w:r w:rsidRPr="00936764">
        <w:t>Anspruchsgrundlage ist § 70 I 1 LBauO RLP.</w:t>
      </w:r>
      <w:r w:rsidRPr="00936764">
        <w:rPr>
          <w:vertAlign w:val="superscript"/>
        </w:rPr>
        <w:footnoteReference w:id="110"/>
      </w:r>
    </w:p>
    <w:p w14:paraId="45FD2F93" w14:textId="77777777" w:rsidR="00936764" w:rsidRPr="00817B65" w:rsidRDefault="00936764" w:rsidP="000434BF">
      <w:pPr>
        <w:pStyle w:val="berschrift5"/>
      </w:pPr>
      <w:bookmarkStart w:id="157" w:name="_Toc22133024"/>
      <w:r w:rsidRPr="00817B65">
        <w:t>II. Formelle Anspruchsvoraussetzungen</w:t>
      </w:r>
      <w:bookmarkEnd w:id="157"/>
    </w:p>
    <w:p w14:paraId="6CEA60F6" w14:textId="77777777" w:rsidR="00CB0429" w:rsidRPr="00CB0429" w:rsidRDefault="00CB0429" w:rsidP="00CB0429">
      <w:pPr>
        <w:pStyle w:val="Randnummer"/>
        <w:framePr w:wrap="around"/>
      </w:pPr>
    </w:p>
    <w:p w14:paraId="1D16E21C" w14:textId="7E34B3D8" w:rsidR="00936764" w:rsidRPr="00936764" w:rsidRDefault="00936764" w:rsidP="00936764">
      <w:r w:rsidRPr="00936764">
        <w:t>In formeller Hinsicht setzt der Anspruch auf Erteilung der Baugenehmigung voraus, dass bei der richtigen Behörde ein formgemäßer Antrag auf Erteilung der Baugenehmigung gestellt wird und etwaige Verfahrenserfordernisse erfüllt sind.</w:t>
      </w:r>
      <w:r w:rsidR="00B259C2" w:rsidRPr="00B259C2">
        <w:rPr>
          <w:rStyle w:val="Funotenzeichen"/>
        </w:rPr>
        <w:t xml:space="preserve"> </w:t>
      </w:r>
      <w:r w:rsidR="00B259C2">
        <w:rPr>
          <w:rStyle w:val="Funotenzeichen"/>
        </w:rPr>
        <w:footnoteReference w:id="111"/>
      </w:r>
    </w:p>
    <w:p w14:paraId="11ED1F7F" w14:textId="77777777" w:rsidR="00936764" w:rsidRPr="00817B65" w:rsidRDefault="00936764" w:rsidP="000434BF">
      <w:pPr>
        <w:pStyle w:val="berschrift6"/>
      </w:pPr>
      <w:bookmarkStart w:id="158" w:name="_Toc22133025"/>
      <w:r w:rsidRPr="00817B65">
        <w:t>1. Antrag bei der richtigen Behörde</w:t>
      </w:r>
      <w:bookmarkEnd w:id="158"/>
    </w:p>
    <w:p w14:paraId="7E3B43FB" w14:textId="77777777" w:rsidR="00CB0429" w:rsidRPr="00CB0429" w:rsidRDefault="00CB0429" w:rsidP="00CB0429">
      <w:pPr>
        <w:pStyle w:val="Randnummer"/>
        <w:framePr w:wrap="around"/>
      </w:pPr>
    </w:p>
    <w:p w14:paraId="50DDFE03" w14:textId="77777777" w:rsidR="00936764" w:rsidRPr="00936764" w:rsidRDefault="00936764" w:rsidP="00936764">
      <w:r w:rsidRPr="00936764">
        <w:t>Der Antrag auf Erteilung einer Baugenehmigung ist nach § 63 I LBauO RLP bei der Gemeindeverwaltung, respektive Stadtverwaltung einzureichen, bei der B ihren Baugenehmigungsantrag auch gestellt hat.</w:t>
      </w:r>
    </w:p>
    <w:p w14:paraId="6F669FBD" w14:textId="77777777" w:rsidR="00936764" w:rsidRPr="00817B65" w:rsidRDefault="00936764" w:rsidP="000434BF">
      <w:pPr>
        <w:pStyle w:val="berschrift6"/>
      </w:pPr>
      <w:bookmarkStart w:id="159" w:name="_Toc22133026"/>
      <w:r w:rsidRPr="00817B65">
        <w:t>2. Verfahren</w:t>
      </w:r>
      <w:bookmarkEnd w:id="159"/>
    </w:p>
    <w:p w14:paraId="59B22C0D" w14:textId="77777777" w:rsidR="00CB0429" w:rsidRPr="00CB0429" w:rsidRDefault="00CB0429" w:rsidP="00CB0429">
      <w:pPr>
        <w:pStyle w:val="Randnummer"/>
        <w:framePr w:wrap="around"/>
      </w:pPr>
    </w:p>
    <w:p w14:paraId="4F0B1004" w14:textId="77777777" w:rsidR="00936764" w:rsidRPr="00936764" w:rsidRDefault="00936764" w:rsidP="00936764">
      <w:r w:rsidRPr="00936764">
        <w:t>Nach § 36 BauGB ist über Vorhaben nach den §§ 31, 33 bis 35 BauGB im bauaufsichtlichen Verfahren im Einvernehmen mit der Gemeinde zu entscheiden. Die Vorschrift dient dem Schutz der in der Selbstverwaltungsgarantie (Art. 28 II 1 GG) wurzelnden Planungshoheit der Gemeinde. Die Baugenehmigungsbehörde soll nicht durch die Genehmigung von Bauvorhaben eine spätere Bauleitplanung der Gemeinde vereiteln. Daher ist die Gemeinde so rechtzeitig von der beabsichtigten Genehmigung in Kenntnis zu setzen, dass sie von ihren Plansicherungsinstrumenten (§§ 14, 15 BauGB) Gebrauch machen kann. Dies ist allerdings nur insoweit erforderlich, als die Gemeinde nicht selbst Baugenehmigungsbehörde ist, so dass Bauleitplanung und Genehmigung einzelner Vorhaben bei ihr zusammenfallen.</w:t>
      </w:r>
      <w:r w:rsidRPr="00936764">
        <w:rPr>
          <w:vertAlign w:val="superscript"/>
        </w:rPr>
        <w:footnoteReference w:id="112"/>
      </w:r>
      <w:r w:rsidRPr="00936764">
        <w:t xml:space="preserve"> Vorliegend ist die Stadtverwaltung als untere Bauaufsichtsbehörde für die Erteilung der Baugenehmigung selbst zuständig (§§ 60, 58 I Nr. 3 LBauO RLP). Bei einer kreisfreien Stadt fallen also Bauleitplanung und Baugenehmigungsentscheidungen zusammen. § 36 BauGB kommt daher nicht zur Anwendung.</w:t>
      </w:r>
    </w:p>
    <w:p w14:paraId="76725B1E" w14:textId="77777777" w:rsidR="00936764" w:rsidRPr="00936764" w:rsidRDefault="00936764" w:rsidP="00936764">
      <w:r w:rsidRPr="00936764">
        <w:t>Gemäß § 68 II LBauO RLP ist Nachbarn eine Abweichung von nachbarschützenden Vorschriften mitzuteilen und ihnen Gelegenheit zu geben, innerhalb von zwei Wochen Einwendungen vorzutragen.</w:t>
      </w:r>
      <w:r w:rsidRPr="00936764">
        <w:rPr>
          <w:vertAlign w:val="superscript"/>
        </w:rPr>
        <w:footnoteReference w:id="113"/>
      </w:r>
      <w:r w:rsidRPr="00936764">
        <w:t xml:space="preserve"> Dies ist laut Sachverhalt geschehen.</w:t>
      </w:r>
    </w:p>
    <w:p w14:paraId="1C1E7CCB" w14:textId="77777777" w:rsidR="00936764" w:rsidRPr="00817B65" w:rsidRDefault="00936764" w:rsidP="000434BF">
      <w:pPr>
        <w:pStyle w:val="berschrift6"/>
      </w:pPr>
      <w:bookmarkStart w:id="160" w:name="_Toc22133027"/>
      <w:r w:rsidRPr="00817B65">
        <w:t>3. Form</w:t>
      </w:r>
      <w:bookmarkEnd w:id="160"/>
    </w:p>
    <w:p w14:paraId="2350C39E" w14:textId="77777777" w:rsidR="00CB0429" w:rsidRPr="00CB0429" w:rsidRDefault="00CB0429" w:rsidP="00CB0429">
      <w:pPr>
        <w:pStyle w:val="Randnummer"/>
        <w:framePr w:wrap="around"/>
      </w:pPr>
    </w:p>
    <w:p w14:paraId="58A64AFE" w14:textId="77777777" w:rsidR="00936764" w:rsidRPr="00936764" w:rsidRDefault="00936764" w:rsidP="00936764">
      <w:r w:rsidRPr="00936764">
        <w:t>Laut Sachverhalt hat B ihren Antrag formgemäß, d.h. gem. § 63 I LBauO RLP schriftlich, gestellt.</w:t>
      </w:r>
    </w:p>
    <w:p w14:paraId="7E97C48B" w14:textId="77777777" w:rsidR="00936764" w:rsidRPr="00817B65" w:rsidRDefault="00936764" w:rsidP="000434BF">
      <w:pPr>
        <w:pStyle w:val="berschrift6"/>
      </w:pPr>
      <w:bookmarkStart w:id="161" w:name="_Toc22133028"/>
      <w:r w:rsidRPr="00817B65">
        <w:t>4. Zwischenergebnis</w:t>
      </w:r>
      <w:bookmarkEnd w:id="161"/>
    </w:p>
    <w:p w14:paraId="6C6D5684" w14:textId="77777777" w:rsidR="00CB0429" w:rsidRPr="00CB0429" w:rsidRDefault="00CB0429" w:rsidP="00CB0429">
      <w:pPr>
        <w:pStyle w:val="Randnummer"/>
        <w:framePr w:wrap="around"/>
      </w:pPr>
    </w:p>
    <w:p w14:paraId="1F5BF345" w14:textId="77777777" w:rsidR="00936764" w:rsidRPr="00936764" w:rsidRDefault="00936764" w:rsidP="00936764">
      <w:r w:rsidRPr="00936764">
        <w:t>Die formellen Anspruchsvoraussetzungen liegen damit vor.</w:t>
      </w:r>
    </w:p>
    <w:p w14:paraId="259071C3" w14:textId="77777777" w:rsidR="00936764" w:rsidRPr="00817B65" w:rsidRDefault="00936764" w:rsidP="000434BF">
      <w:pPr>
        <w:pStyle w:val="berschrift5"/>
      </w:pPr>
      <w:bookmarkStart w:id="162" w:name="_Toc22133029"/>
      <w:r w:rsidRPr="00817B65">
        <w:t>III. Materielle Anspruchsvoraussetzungen</w:t>
      </w:r>
      <w:bookmarkEnd w:id="162"/>
    </w:p>
    <w:p w14:paraId="1A8555C8" w14:textId="77777777" w:rsidR="00CB0429" w:rsidRPr="00CB0429" w:rsidRDefault="00CB0429" w:rsidP="00CB0429">
      <w:pPr>
        <w:pStyle w:val="Randnummer"/>
        <w:framePr w:wrap="around"/>
      </w:pPr>
    </w:p>
    <w:p w14:paraId="31691B8F" w14:textId="77777777" w:rsidR="00936764" w:rsidRPr="00936764" w:rsidRDefault="00936764" w:rsidP="00936764">
      <w:pPr>
        <w:rPr>
          <w:b/>
        </w:rPr>
      </w:pPr>
      <w:r w:rsidRPr="00936764">
        <w:t>In materieller Hinsicht setzt ein Baugenehmigungsanspruch voraus, dass das geplante Vorhaben genehmigungsbedürftig und genehmigungsfähig ist.</w:t>
      </w:r>
      <w:r w:rsidRPr="00936764">
        <w:rPr>
          <w:vertAlign w:val="superscript"/>
        </w:rPr>
        <w:footnoteReference w:id="114"/>
      </w:r>
    </w:p>
    <w:p w14:paraId="7CFF8ED8" w14:textId="77777777" w:rsidR="00936764" w:rsidRPr="00817B65" w:rsidRDefault="00936764" w:rsidP="000434BF">
      <w:pPr>
        <w:pStyle w:val="berschrift6"/>
      </w:pPr>
      <w:bookmarkStart w:id="163" w:name="_Toc22133030"/>
      <w:r w:rsidRPr="00817B65">
        <w:t>1. Genehmigungsbedürftigkeit</w:t>
      </w:r>
      <w:bookmarkEnd w:id="163"/>
    </w:p>
    <w:p w14:paraId="320B53AA" w14:textId="77777777" w:rsidR="00CB0429" w:rsidRPr="00CB0429" w:rsidRDefault="00CB0429" w:rsidP="00CB0429">
      <w:pPr>
        <w:pStyle w:val="Randnummer"/>
        <w:framePr w:wrap="around"/>
      </w:pPr>
    </w:p>
    <w:p w14:paraId="7317E874" w14:textId="4E34D7C6" w:rsidR="00936764" w:rsidRPr="00936764" w:rsidRDefault="00936764" w:rsidP="00936764">
      <w:r w:rsidRPr="00936764">
        <w:t>Gemäß § 61 LBauO RLP bedürfen die Errichtung, Änderung, Nutzungsänderung und der Abbruch baulicher Anlagen sowie anderer Anlagen und Einrichtungen im Sinne des § 1 I 2 LBauO der Genehmigung, soweit in den §§ 62, 67 und 84 nichts anderes bestimmt ist. Das bisher als Callcenter genutzte Gebäude auf Bs Grundstück ist eine mit dem Erdboden verbundene, aus Bauprodukten hergestellte Anlage. Es handelt sich damit um eine bauliche Anlage i.S.v. § 2 I LBauO RLP.</w:t>
      </w:r>
      <w:r w:rsidRPr="00936764">
        <w:rPr>
          <w:vertAlign w:val="superscript"/>
        </w:rPr>
        <w:footnoteReference w:id="115"/>
      </w:r>
      <w:r w:rsidRPr="00936764">
        <w:t xml:space="preserve"> Genehmigungsbedürftig ist nicht nur die Errichtung, sondern auch die Nutzungsänderung einer baulichen Anlage. Eine Nutzungsänderung ist genehmigungsbedürftig, wenn die neue Nutzung von der ursprünglich genehmigten derart abweicht, dass sich die Genehmigungsfrage erneut stellt. Dies ist der Fall, wenn die neue Nutzung baurechtlich anders zu beurteilen sein kann, als die ursprüngliche Nutzung.</w:t>
      </w:r>
      <w:r w:rsidRPr="00936764">
        <w:rPr>
          <w:vertAlign w:val="superscript"/>
        </w:rPr>
        <w:footnoteReference w:id="116"/>
      </w:r>
      <w:r w:rsidRPr="00936764">
        <w:t xml:space="preserve"> Dementsprechend</w:t>
      </w:r>
      <w:r w:rsidR="00A566D1">
        <w:t xml:space="preserve"> </w:t>
      </w:r>
      <w:r w:rsidRPr="00936764">
        <w:t>bestimmt etwa § 62 II Nr. 5 a) LBauO RLP ausdrücklich, dass Nutzungsänderungen von Gebäuden, die nicht im Außenbereich liegen, nur genehmigungsfrei sind, wenn für die neue Nutzung keine anderen bedeutsamen öffentlich-rechtlichen Anforderungen als für die bisherige Nutzung gelten.</w:t>
      </w:r>
      <w:r w:rsidRPr="00936764">
        <w:rPr>
          <w:vertAlign w:val="superscript"/>
        </w:rPr>
        <w:footnoteReference w:id="117"/>
      </w:r>
      <w:r w:rsidRPr="00936764">
        <w:t xml:space="preserve"> Während sich das genehmigte Callcenter als gewerbliche Nutzung darstellt, ist die Nutzung als Gemeinschaftsunterkunft für Asylbegehrende als wohnungsähnlich einzuordnen. Insbesondere die BauNVO differenziert u.a. zwischen den Kategorien gewerbliche und Wohnnutzung. Sie unterliegen unterschiedlichen bauplanungsrechtlichen Anforderungen, sodass ihre baurechtliche Zulässigkeit anders zu beurteilen sein kann. Mithin liegt eine genehmigungsbedürftige Nutzungsänderung vor.</w:t>
      </w:r>
    </w:p>
    <w:p w14:paraId="773DB13C" w14:textId="77777777" w:rsidR="00936764" w:rsidRPr="00817B65" w:rsidRDefault="00936764" w:rsidP="000434BF">
      <w:pPr>
        <w:pStyle w:val="berschrift6"/>
      </w:pPr>
      <w:bookmarkStart w:id="164" w:name="_Toc22133031"/>
      <w:r w:rsidRPr="00817B65">
        <w:t>2. Genehmigungsfähigkeit</w:t>
      </w:r>
      <w:bookmarkEnd w:id="164"/>
    </w:p>
    <w:p w14:paraId="77956B4F" w14:textId="77777777" w:rsidR="00CB0429" w:rsidRPr="00CB0429" w:rsidRDefault="00CB0429" w:rsidP="00CB0429">
      <w:pPr>
        <w:pStyle w:val="Randnummer"/>
        <w:framePr w:wrap="around"/>
      </w:pPr>
    </w:p>
    <w:p w14:paraId="14C537D2" w14:textId="77777777" w:rsidR="00936764" w:rsidRPr="00936764" w:rsidRDefault="00936764" w:rsidP="00936764">
      <w:r w:rsidRPr="00936764">
        <w:t>Des Weiteren müsste die von B geplante Nutzungsänderung auch genehmigungsfähig sein. Nach § 70 I 1 LBauO RLP ist eine Baugenehmigung zu erteilen, wenn dem Vorhaben keine baurechtlichen oder sonstigen öffentlich-rechtlichen Vorschriften entgegenstehen.</w:t>
      </w:r>
    </w:p>
    <w:p w14:paraId="6CFB31DA" w14:textId="77777777" w:rsidR="00936764" w:rsidRPr="00817B65" w:rsidRDefault="00936764" w:rsidP="000434BF">
      <w:pPr>
        <w:pStyle w:val="berschrift7"/>
      </w:pPr>
      <w:bookmarkStart w:id="165" w:name="_Toc22133032"/>
      <w:r w:rsidRPr="00817B65">
        <w:t>a) Vereinbarkeit mit Bauplanungsrecht</w:t>
      </w:r>
      <w:bookmarkEnd w:id="165"/>
    </w:p>
    <w:p w14:paraId="7BB46BBB" w14:textId="77777777" w:rsidR="00936764" w:rsidRPr="00817B65" w:rsidRDefault="00936764" w:rsidP="000434BF">
      <w:pPr>
        <w:pStyle w:val="berschrift8"/>
      </w:pPr>
      <w:bookmarkStart w:id="166" w:name="_Toc22133033"/>
      <w:r w:rsidRPr="00817B65">
        <w:t>aa) Anwendbarkeit der §§ 29 ff. BauGB</w:t>
      </w:r>
      <w:bookmarkEnd w:id="166"/>
    </w:p>
    <w:p w14:paraId="0B877E26" w14:textId="77777777" w:rsidR="00CB0429" w:rsidRPr="00CB0429" w:rsidRDefault="00CB0429" w:rsidP="00CB0429">
      <w:pPr>
        <w:pStyle w:val="Randnummer"/>
        <w:framePr w:wrap="around"/>
      </w:pPr>
    </w:p>
    <w:p w14:paraId="5395E8BB" w14:textId="77777777" w:rsidR="00936764" w:rsidRPr="00936764" w:rsidRDefault="00936764" w:rsidP="00936764">
      <w:r w:rsidRPr="00936764">
        <w:t>Zunächst müsste das Vorhaben mit den bauplanungsrechtlichen Vorgaben der §§ 29 ff. BauGB vereinbar sein. Diese sind nach § 29 I BauGB anwendbar für Vorhaben, die die Errichtung, Änderung oder Nutzungsänderung von baulichen Anlagen zum Inhalt haben, und für Aufschüttungen und Abgrabungen größeren Umfangs sowie für Ausschachtungen, Ablagerungen einschließlich Lagerstätten. Der planungsrechtliche Begriff der baulichen Anlage ist nicht deckungsgleich mit dem bauordnungsrechtlichen Begriff der LBauO. Eine bauliche Anlage im Sinne des § 29 I BauGB zeichnet sich im Unterschied zur bauordnungsrechtlichen nicht nur durch ein Element des Bauens, sondern zusätzlich durch ein Element des Planens aus.</w:t>
      </w:r>
      <w:r w:rsidRPr="00936764">
        <w:rPr>
          <w:vertAlign w:val="superscript"/>
        </w:rPr>
        <w:footnoteReference w:id="118"/>
      </w:r>
      <w:r w:rsidRPr="00936764">
        <w:t xml:space="preserve"> Erforderlich ist zum einen eine auf Dauer angelegte künstliche Verbindung mit dem Erdboden. Zum anderen müssen bei einer gedachten unbestimmt häufigen Vornahme bauplanungsrechtliche Belange im Sinne des § 1 VI BauGB berührt werden, so dass ein Bedürfnis nach einer Bauleitplanung hervorgerufen wird (bodenrechtliche Relevanz).</w:t>
      </w:r>
      <w:r w:rsidRPr="00936764">
        <w:rPr>
          <w:vertAlign w:val="superscript"/>
        </w:rPr>
        <w:footnoteReference w:id="119"/>
      </w:r>
      <w:r w:rsidRPr="00936764">
        <w:t xml:space="preserve"> Eine bauplanungsrechtliche Nutzungsänderung liegt demnach vor, wenn durch die Änderung der Nutzung andere oder zusätzliche Belange berührt werden.</w:t>
      </w:r>
      <w:r w:rsidRPr="00936764">
        <w:rPr>
          <w:vertAlign w:val="superscript"/>
        </w:rPr>
        <w:footnoteReference w:id="120"/>
      </w:r>
      <w:r w:rsidRPr="00936764">
        <w:t xml:space="preserve"> Während die gewerbliche Nutzung als Callcenter vor allem Anforderungen an die Arbeitsverhältnisse und Belange der Wirtschaft berührten (§ 1 VI Nr. 1 Var. 2, Nr. 8 a) BauGB), berührt die Nutzung als Gemeinschaftsunterkunft zumindest zusätzlich Anforderungen an Wohnverhältnisse sowie Belange der Asylbegehrenden (§ 1 VI Nr. 1 Var. 1, Nr. 13 BauGB). Mithin liegt auch eine Nutzungsänderung im Sinne des § 29 I BauGB vor, so dass die §§ 30 ff. BauGB anzuwenden sind.</w:t>
      </w:r>
    </w:p>
    <w:p w14:paraId="390E3B41" w14:textId="77777777" w:rsidR="00936764" w:rsidRPr="00817B65" w:rsidRDefault="00936764" w:rsidP="000434BF">
      <w:pPr>
        <w:pStyle w:val="berschrift8"/>
      </w:pPr>
      <w:bookmarkStart w:id="167" w:name="_Toc22133034"/>
      <w:r w:rsidRPr="00817B65">
        <w:t>bb) Feststellung des Baugebiets</w:t>
      </w:r>
      <w:bookmarkEnd w:id="167"/>
    </w:p>
    <w:p w14:paraId="40F756A6" w14:textId="77777777" w:rsidR="00CB0429" w:rsidRPr="00CB0429" w:rsidRDefault="00CB0429" w:rsidP="00CB0429">
      <w:pPr>
        <w:pStyle w:val="Randnummer"/>
        <w:framePr w:wrap="around"/>
      </w:pPr>
    </w:p>
    <w:p w14:paraId="720406F9" w14:textId="77777777" w:rsidR="00936764" w:rsidRPr="00936764" w:rsidRDefault="00936764" w:rsidP="00936764">
      <w:r w:rsidRPr="00936764">
        <w:t>Die planungsrechtliche Zulässigkeit der Nutzungsänderung könnte sich nach § 34 BauGB richten. Dies ist der Fall, wenn sich Bs Grundstück im unbeplanten Innenbereich befindet. Für Bs Grundstück gilt kein Bebauungsplan. Der Innenbereich ist vom Außenbereich nach den Tatbestandsmerkmalen des § 34 I BauGB abzugrenzen. Ein Grundstück liegt im Innenbereich, wenn es sich in einem im Zusammenhang bebauten Ortsteil befindet. Ist dies nicht der Fall, so liegt es im Außenbereich. Ein Ortsteil ist ein Bebauungskomplex, der nach der Zahl der vorhandenen Bauten ein gewisses Gewicht aufweist und Ausdruck einer organischen Siedlungsstruktur ist. Ein Bebauungszusammenhang ist gegeben, wenn trotz etwaiger Baulücken der Eindruck der Geschlossenheit besteht.</w:t>
      </w:r>
      <w:r w:rsidRPr="00936764">
        <w:rPr>
          <w:vertAlign w:val="superscript"/>
        </w:rPr>
        <w:footnoteReference w:id="121"/>
      </w:r>
      <w:r w:rsidRPr="00936764">
        <w:t xml:space="preserve"> Für die Annahme eines Bebauungszusammenhangs sind vereinzelte Baulücken von drei bis vier Grundstücken unschädlich.</w:t>
      </w:r>
      <w:r w:rsidRPr="00936764">
        <w:rPr>
          <w:vertAlign w:val="superscript"/>
        </w:rPr>
        <w:footnoteReference w:id="122"/>
      </w:r>
      <w:r w:rsidRPr="00936764">
        <w:t xml:space="preserve"> Bs Grundstück befindet sich in einem Gebiet, in dem sich eine Vielzahl von Bauten befinden, mithin in einem Bebauungskomplex von einigem Gewicht. Allen Bauten war bisher eine gewerbliche Nutzung gemein, sodass das Gebiet eine organische Siedlungsstruktur aufweist. Die Bebauungen folgen unmittelbar aneinander. Nur vereinzelt bestehen Baulücken von maximal einem Grundstück. Mithin liegt Bs Grundstück in einem im Zusammenhang bebauten Ortsteil (Innenbereich).</w:t>
      </w:r>
    </w:p>
    <w:p w14:paraId="1F8C80E9" w14:textId="77777777" w:rsidR="00936764" w:rsidRPr="00817B65" w:rsidRDefault="00936764" w:rsidP="000434BF">
      <w:pPr>
        <w:pStyle w:val="berschrift8"/>
      </w:pPr>
      <w:bookmarkStart w:id="168" w:name="_Toc22133035"/>
      <w:r w:rsidRPr="00817B65">
        <w:t>cc) Zulässigkeit des Vorhabens im Innenbereich nach § 34 I, II BauGB</w:t>
      </w:r>
      <w:bookmarkEnd w:id="168"/>
    </w:p>
    <w:p w14:paraId="5DFA6C04" w14:textId="77777777" w:rsidR="00CB0429" w:rsidRPr="00CB0429" w:rsidRDefault="00CB0429" w:rsidP="00CB0429">
      <w:pPr>
        <w:pStyle w:val="Randnummer"/>
        <w:framePr w:wrap="around"/>
      </w:pPr>
    </w:p>
    <w:p w14:paraId="6C3A2742" w14:textId="77777777" w:rsidR="00936764" w:rsidRPr="00936764" w:rsidRDefault="00936764" w:rsidP="00936764">
      <w:r w:rsidRPr="00936764">
        <w:t>Im unbeplanten Innenbereich ist ein Vorhaben gemäß § 34 I 1 BauGB zulässig, wenn es sich nach Art und Maß der baulichen Nutzung, der Bauweise und der Grundstücksfläche, die überbaut werden soll, in die Eigenart der näheren Umgebung einfügt und die Erschließung gesichert ist. Fraglich erscheint, ob sich die von B vorgesehen Unterkunft nach der Art der baulichen Nutzung in die Eigenart der näheren Umgebung einfügt. Entspricht die Eigenart der näheren Umgebung einem der Baugebiete, die in der Baunutzungsverordnung bezeichnet sind (faktisches Baugebiet</w:t>
      </w:r>
      <w:r w:rsidRPr="00936764">
        <w:rPr>
          <w:vertAlign w:val="superscript"/>
        </w:rPr>
        <w:footnoteReference w:id="123"/>
      </w:r>
      <w:r w:rsidRPr="00936764">
        <w:t>), beurteilt sich die Zulässigkeit des Vorhabens nach seiner Art allein danach, ob es nach der BauNVO in dem Baugebiet allgemein zulässig wäre. Die vorhandene Bebauung – Gewerbebetriebe, Lagerhäuser und -plätze, Geschäfts-, Büro- und Verwaltungsgebäude, eine Tankstelle – entspricht der Beschreibung eines Gewerbegebiets in § 8 I, II BauNVO. Die Zulässigkeit der Art der baulichen Nutzung richtet sich daher danach, ob in einem Gewerbegebiet eine Gemeinschaftsunterkunft für Asylbegehrende zulässig ist.</w:t>
      </w:r>
    </w:p>
    <w:p w14:paraId="0E010D29" w14:textId="77777777" w:rsidR="00936764" w:rsidRPr="00817B65" w:rsidRDefault="00936764" w:rsidP="000434BF">
      <w:pPr>
        <w:pStyle w:val="berschrift9"/>
      </w:pPr>
      <w:bookmarkStart w:id="169" w:name="_Toc22133036"/>
      <w:r w:rsidRPr="00817B65">
        <w:t>(1) Regelzulässigkeit</w:t>
      </w:r>
      <w:bookmarkEnd w:id="169"/>
    </w:p>
    <w:p w14:paraId="0450B48D" w14:textId="77777777" w:rsidR="00CB0429" w:rsidRPr="00936764" w:rsidRDefault="00CB0429" w:rsidP="00CB0429">
      <w:pPr>
        <w:pStyle w:val="Randnummer"/>
        <w:framePr w:wrap="around"/>
      </w:pPr>
    </w:p>
    <w:p w14:paraId="59628CE0" w14:textId="77777777" w:rsidR="00936764" w:rsidRPr="00936764" w:rsidRDefault="00936764" w:rsidP="00936764">
      <w:r w:rsidRPr="00936764">
        <w:t>§ 34 II BauGB i.V.m. § 8 II BauNVO zählt Vorhaben auf, die in einem faktischen Gewerbegebiet regelmäßig zulässig sind. Unterkünfte für Asylbegehrende werden jedoch nicht genannt.</w:t>
      </w:r>
    </w:p>
    <w:p w14:paraId="34C342F2" w14:textId="77777777" w:rsidR="00936764" w:rsidRPr="00817B65" w:rsidRDefault="00936764" w:rsidP="000434BF">
      <w:pPr>
        <w:pStyle w:val="berschrift9"/>
      </w:pPr>
      <w:bookmarkStart w:id="170" w:name="_Toc22133037"/>
      <w:r w:rsidRPr="00817B65">
        <w:t>(2) Ausnahmsweise Zulässigkeit</w:t>
      </w:r>
      <w:bookmarkEnd w:id="170"/>
    </w:p>
    <w:p w14:paraId="1F187AC6" w14:textId="77777777" w:rsidR="00CB0429" w:rsidRPr="00936764" w:rsidRDefault="00CB0429" w:rsidP="00CB0429">
      <w:pPr>
        <w:pStyle w:val="Randnummer"/>
        <w:framePr w:wrap="around"/>
      </w:pPr>
    </w:p>
    <w:p w14:paraId="41EC0206" w14:textId="77777777" w:rsidR="00936764" w:rsidRPr="00936764" w:rsidRDefault="00936764" w:rsidP="00936764">
      <w:r w:rsidRPr="00936764">
        <w:t>§§ 34 II, 31 I BauGB i.V.m. § 8 III BauNVO zählt Vorhaben auf, die in faktischen Gewerbegebieten ausnahmsweise zulässig sein können. Bei einer Gemeinschaftsunterkunft für Asylbegehrende könnte es sich um eine Anlage für soziale Zwecke i.S.v. § 8 III Nr. 2 Var. 3 BauNVO handeln. Unter Anlagen für soziale Zwecke versteht man im Allgemeinen solche Anlagen, die in einem weiteren Sinn der sozialen Fürsorge und der öffentlichen Wohlfahrt dienen und deren Nutzungen auf Hilfe, Unterstützung, Betreuung und ähnliche fürsorgerische Maßnahmen ausgerichtet sind.</w:t>
      </w:r>
      <w:r w:rsidRPr="00936764">
        <w:rPr>
          <w:vertAlign w:val="superscript"/>
        </w:rPr>
        <w:footnoteReference w:id="124"/>
      </w:r>
      <w:r w:rsidRPr="00936764">
        <w:t xml:space="preserve"> Gemeinschaftsunterkünfte für Asylbegehrende dienen der Fürsorge von Menschen, die Asyl beantragt haben und daher auf Hilfe angewiesen sind. Auf den ersten Blick könnte es sich daher um Anlagen für soziale Zwecke handeln. Jedenfalls für die Zeit des Asylverfahrens bildet die Gemeinschaftsunterkunft für die Asylbegehrenden allerdings auch ihren Lebensmittelpunkt. Sie könnten daher auch als Wohnungen zu klassifizieren sein. Im Umkehrschluss zu § 8 III Nr. 1 BauNVO sind Wohnungen, die nur insoweit ausnahmsweise zulässig sind als es sich um betriebsbezogene Wohnungen handelt, gerade keine Anlagen für soziale Zwecke. Wohnen ist durch einen auf Dauer angelegten freiwilligen Aufenthalt gekennzeichnet, der mit der Eigengestaltung der Haushaltsführung und des häuslichen Wirkungskreises verbunden ist.</w:t>
      </w:r>
      <w:r w:rsidRPr="00936764">
        <w:rPr>
          <w:vertAlign w:val="superscript"/>
        </w:rPr>
        <w:footnoteReference w:id="125"/>
      </w:r>
      <w:r w:rsidRPr="00936764">
        <w:t xml:space="preserve"> Asylbegehrenden sind nach § 53 AsylG verpflichtet in einer Gemeinschaftsunterkunft zu wohnen. Ein Asylbegehrender hält sich in einer Gemeinschaftsunterkunft daher nicht freiwillig auf. Sein Aufenthalt ist auch nicht auf Dauer angelegt, sondern auf die Zeit des Asylverfahrens beschränkt. Das stark reglementierte Zusammenleben mit einer Vielzahl anderer Asylbegehrender in einer Gemeinschaftsunterkunft lässt allenfalls eine eingeschränkte Eigengestaltung der Haushaltsführung und des häuslichen Wirkungskreises zu. Gemeinschaftsunterkünfte sind daher, auch wenn sie für Asylbewerber für die Dauer des Asylverfahrens den räumlichen Lebensmittelpunkt bilden und damit einen wohnähnlichen Charakter haben, keine Wohnungen.</w:t>
      </w:r>
      <w:r w:rsidRPr="00936764">
        <w:rPr>
          <w:vertAlign w:val="superscript"/>
        </w:rPr>
        <w:footnoteReference w:id="126"/>
      </w:r>
      <w:r w:rsidRPr="00936764">
        <w:t xml:space="preserve"> In § 246 X bis XII BauGB kommt dann auch die gesetzgeberische Wertung zum Ausdruck, dass Gemeinschaftsunterkünfte trotz ihres wohnähnlichen Charakters als Anlagen für soziale Zweck angesehen werden sollen.</w:t>
      </w:r>
      <w:r w:rsidRPr="00936764">
        <w:rPr>
          <w:vertAlign w:val="superscript"/>
        </w:rPr>
        <w:footnoteReference w:id="127"/>
      </w:r>
    </w:p>
    <w:p w14:paraId="16167E4B" w14:textId="2D6F5A0D" w:rsidR="00936764" w:rsidRPr="00936764" w:rsidRDefault="00936764" w:rsidP="00936764">
      <w:r w:rsidRPr="00936764">
        <w:t>Die Zulässigkeit eines Vorhabens in einem bestimmten Baugebiet steht allerdings stets unter dem Vorbehalt des ungeschriebenen Tatbestandsmerkmals der Gebietsverträglichkeit.</w:t>
      </w:r>
      <w:r w:rsidRPr="00936764">
        <w:rPr>
          <w:vertAlign w:val="superscript"/>
        </w:rPr>
        <w:footnoteReference w:id="128"/>
      </w:r>
      <w:r w:rsidR="00A566D1">
        <w:t xml:space="preserve"> </w:t>
      </w:r>
      <w:r w:rsidRPr="00936764">
        <w:t xml:space="preserve">Dieses setzt voraus, dass die Nutzung nicht der allgemeinen Zwecksetzung des Baugebiets zuwiderläuft. § 8 I BauNVO bestimmt insoweit, dass Gewerbegebiete vorwiegend der Unterbringung von nicht erheblich belästigenden Gewerbebetrieben dienen sollen. In einem Gewerbegebiet, das für die Unterbringung belästigender Gewerbebetriebe bestimmt ist, ist eine nicht nur untergeordnete wohnähnliche Einrichtung generell geeignet, ein bodenrechtliches Störpotential zu entfalten. Gemeinschaftsunterkünfte für Asylbegehrende widersprechen damit dem allgemeinen Charakter eines Gewerbegebiets. Mithin ist die </w:t>
      </w:r>
      <w:r w:rsidR="00EF0786">
        <w:t>Einrichtung</w:t>
      </w:r>
      <w:r w:rsidRPr="00936764">
        <w:t xml:space="preserve"> einer Gemeinschaftsunterkunft in einem faktischen Gewerbegebiet auch nicht ausnahmsweise zulässig.</w:t>
      </w:r>
      <w:r w:rsidRPr="00936764">
        <w:rPr>
          <w:vertAlign w:val="superscript"/>
        </w:rPr>
        <w:footnoteReference w:id="129"/>
      </w:r>
    </w:p>
    <w:p w14:paraId="75F89F91" w14:textId="77777777" w:rsidR="00936764" w:rsidRPr="00817B65" w:rsidRDefault="00936764" w:rsidP="000434BF">
      <w:pPr>
        <w:pStyle w:val="berschrift9"/>
      </w:pPr>
      <w:bookmarkStart w:id="171" w:name="_Toc22133038"/>
      <w:r w:rsidRPr="00817B65">
        <w:t>(3) Befreiung nach § 31 II BauGB</w:t>
      </w:r>
      <w:bookmarkEnd w:id="171"/>
    </w:p>
    <w:p w14:paraId="65895E4A" w14:textId="77777777" w:rsidR="00CB0429" w:rsidRPr="00936764" w:rsidRDefault="00CB0429" w:rsidP="00CB0429">
      <w:pPr>
        <w:pStyle w:val="Randnummer"/>
        <w:framePr w:wrap="around"/>
      </w:pPr>
    </w:p>
    <w:p w14:paraId="5E0E6167" w14:textId="77777777" w:rsidR="00936764" w:rsidRPr="00936764" w:rsidRDefault="00936764" w:rsidP="00936764">
      <w:r w:rsidRPr="00936764">
        <w:t>Bs Vorhaben könnte daher nur noch zulässig sein, soweit eine Befreiung von den Vorgaben des § 34 II BauGB i.V.m. § 8 BauNVO in Betracht kommt. Nach § 34 II Hs. 2 a.E., 31 II BauGB kann von den Bestimmungen der BauNVO, die für die Zulässigkeit eines Vorhabens in einem faktischen Gewerbegebiet gelten, befreit werden, wenn die Grundzüge der Planung nicht berührt werden, einer der Befreiungsgründe der Nr. 1 bis 3 vorliegt und die Abweichung auch unter Würdigung nachbarlicher Interessen mit den öffentlichen Belangen vereinbar ist. § 246 X bis XII BauGB enthalten für Gemeinschaftsunterkünfte für Asylbegehrende Sonderregelungen, die neben den allgemeinen Befreiungstatbestand des § 34 II, 31 II BauGB treten.</w:t>
      </w:r>
      <w:r w:rsidRPr="00936764">
        <w:rPr>
          <w:vertAlign w:val="superscript"/>
        </w:rPr>
        <w:footnoteReference w:id="130"/>
      </w:r>
    </w:p>
    <w:p w14:paraId="68BBA3A0" w14:textId="238EA530" w:rsidR="00936764" w:rsidRPr="00936764" w:rsidRDefault="00936764" w:rsidP="00936764">
      <w:r w:rsidRPr="00936764">
        <w:t>In Betracht kommt eine Befreiung nach § 246 X BauGB, der explizit für Gewerbegebiete gilt. Fraglich erscheint allerdings, ob er auch auf eine Nutzungsänderung Anwendung findet. Dagegen könnte ein Umkehrschluss zu § 246 XII Nr. 2 BauGB sprechen, der ausdrücklich für Nutzungsänderungen gilt. Dieser will allerdings nicht die Zulassungsmöglichkeit einer Nutzungsänderung beschränken, sondern im Gegenteil</w:t>
      </w:r>
      <w:r w:rsidR="00A566D1">
        <w:t xml:space="preserve"> </w:t>
      </w:r>
      <w:r w:rsidRPr="00936764">
        <w:t>über § 246 X BauGB hinausgehend eine zumindest befristete Nutzungsänderung selbst</w:t>
      </w:r>
      <w:r w:rsidR="00A566D1">
        <w:t xml:space="preserve"> </w:t>
      </w:r>
      <w:r w:rsidRPr="00936764">
        <w:t>in solchen Gewerbegebiete ermöglichen, in denen Anlagen für soziale Zwecke weder allgemein zulässig sind noch ausnahmsweise zugelassen werden können. Für ein weites Verständnis spricht letztlich auch der Sinn und Zweck, möglichst zeitnah Unterbringungseinrichtungen für Geflüchtete zu schaffen.</w:t>
      </w:r>
      <w:r w:rsidRPr="00936764">
        <w:rPr>
          <w:vertAlign w:val="superscript"/>
        </w:rPr>
        <w:footnoteReference w:id="131"/>
      </w:r>
    </w:p>
    <w:p w14:paraId="018130F5" w14:textId="77777777" w:rsidR="00936764" w:rsidRPr="00936764" w:rsidRDefault="00936764" w:rsidP="00936764">
      <w:r w:rsidRPr="00936764">
        <w:t>§ 246 X BauGB setzt voraus, dass Anlagen für soziale Zwecke allgemein zulässig sind oder an dem Standort der Unterkunft ausnahmsweise zugelassen werden können. Wie bereits dargelegt wurde, sind Anlagen für soziale Zwecke in einem faktischen Gewerbegebiet nach § 34 II BauGB i.V.m. § 8 III BauNVO zwar nicht allgemein zulässig, können grundsätzlich aber ausnahmsweise zugelassen werden. Des Weiteren müsste die Abweichung unter Würdigung nachbarlicher Interessen mit öffentlichen Belangen vereinbar sein. Zu den öffentlichen Belangen zählen insbesondere die in § 1 VI BauGB genannten Anforderungen an gesunde Wohnverhältnisse (Nr. 1), Belange der Wirtschaft (Nr. 8 a) und Belange der Asylbegehrenden (Nr. 13). Dabei sind auch die von N vorgebrachten Bedenken zu berücksichtigen. Für nachträgliche Lärmschutzanordnungen gegenüber N besteht entgegen ihrer Befürchtung keine Rechtsgrundlage. Es ist nicht Aufgabe des Gewerbetreibenden, sondern der Genehmigungsbehörde sicherzustellen, dass Asylbegehrende in Gemeinschaftsunterkünften in einem Gewerbegebiet keinem gesundheitsschädlichen Lärm ausgesetzt werden, etwa durch die Verpflichtung der Bauherrin zu Schallschutzvorkehrungen.</w:t>
      </w:r>
      <w:r w:rsidRPr="00936764">
        <w:rPr>
          <w:vertAlign w:val="superscript"/>
        </w:rPr>
        <w:footnoteReference w:id="132"/>
      </w:r>
      <w:r w:rsidRPr="00936764">
        <w:t xml:space="preserve"> Durch die von B vorgesehenen Schallschutzfenster kann jedenfalls bei geschlossenen Fenstern eine gesundheitsgefährdende Lärmbelästigung der Bewohner ausgeschlossen werden. Diese müssen dafür die Fenster zwar grundsätzlich geschlossen halten. Auch wenn die Möglichkeit, tagsüber oder auch nachts beim Schlafen ein Fenster zu öffnen, grundsätzlich zu den Anforderungen an gesunde Wohnverhältnisse zählen mag, gilt dies allerdings nicht im gleichen Maße im Rahmen von § 246 X BauGB. Nach dessen Konzeption sind Bewohnern von Gemeinschaftsunterkünften in Gewerbegebieten nicht-gesundheitsschädliche Immissionen von Gewerbebetrieben und damit verbundenen Einschränkungen zuzumuten. Ein über den Schutz vor gesundheitsschädlichen Lärmbelästigungen hinausgehendes Schutzgebot besteht nicht.</w:t>
      </w:r>
      <w:r w:rsidRPr="00936764">
        <w:rPr>
          <w:vertAlign w:val="superscript"/>
        </w:rPr>
        <w:footnoteReference w:id="133"/>
      </w:r>
      <w:r w:rsidRPr="00936764">
        <w:t xml:space="preserve"> Die auf die Gemeinschaftsunterkunft einwirkenden Lärmbelästigungen stehen auch unter Würdigung von Ns Interessen einer Befreiung daher nicht entgegen. Schließlich ist in die Interessensabwägung auch die § 1 VI Nr. 13 BauGB und den Sonderregelungen in § 246 BauGB zu entnehmende gesetzgeberische Wertung einzustellen, der Aufgabe der Flüchtlingsunterbringung eine herausgehobene Bedeutung beizumessen.</w:t>
      </w:r>
      <w:r w:rsidRPr="00936764">
        <w:rPr>
          <w:vertAlign w:val="superscript"/>
        </w:rPr>
        <w:footnoteReference w:id="134"/>
      </w:r>
      <w:r w:rsidRPr="00936764">
        <w:t xml:space="preserve"> In der Gesamtschau fällt die Interessensabwägung daher zugunsten des von B vorgesehenen Vorhabens aus. Für ihr Vorhaben kann somit von § 34 II BauGB i.V.m. § 8 BauNVO befreit werden, womit es bauplanungsrechtlich zulässig ist. Auf ein zusätzliches Einfügen im Sinne des § 34 I BauGB kommt es nach dem eindeutigen Wortlaut des § 34 II BauGB („allein“) nicht an.</w:t>
      </w:r>
      <w:r w:rsidRPr="00936764">
        <w:rPr>
          <w:vertAlign w:val="superscript"/>
        </w:rPr>
        <w:footnoteReference w:id="135"/>
      </w:r>
    </w:p>
    <w:p w14:paraId="543FD5D5" w14:textId="77777777" w:rsidR="00936764" w:rsidRPr="00817B65" w:rsidRDefault="00936764" w:rsidP="000434BF">
      <w:pPr>
        <w:pStyle w:val="berschrift7"/>
      </w:pPr>
      <w:bookmarkStart w:id="172" w:name="_Toc22133039"/>
      <w:r w:rsidRPr="00817B65">
        <w:t>b) Vereinbarkeit mit Bauordnungsrecht und sonstigem öffentlichem Recht</w:t>
      </w:r>
      <w:bookmarkEnd w:id="172"/>
    </w:p>
    <w:p w14:paraId="61F33045" w14:textId="77777777" w:rsidR="00CB0429" w:rsidRPr="00CB0429" w:rsidRDefault="00CB0429" w:rsidP="00CB0429">
      <w:pPr>
        <w:pStyle w:val="Randnummer"/>
        <w:framePr w:wrap="around"/>
      </w:pPr>
    </w:p>
    <w:p w14:paraId="2FFB3A60" w14:textId="77777777" w:rsidR="00936764" w:rsidRPr="00936764" w:rsidRDefault="00936764" w:rsidP="00936764">
      <w:r w:rsidRPr="00936764">
        <w:t>Verstöße gegen bauordnungsrechtliche Vorschriften der LBauO oder sonstiges dem Vorhaben entgegenstehendes öffentliches Recht sind nicht ersichtlich.</w:t>
      </w:r>
    </w:p>
    <w:p w14:paraId="53FB4CB1" w14:textId="77777777" w:rsidR="00936764" w:rsidRPr="00817B65" w:rsidRDefault="00936764" w:rsidP="000434BF">
      <w:pPr>
        <w:pStyle w:val="berschrift6"/>
      </w:pPr>
      <w:bookmarkStart w:id="173" w:name="_Toc22133040"/>
      <w:r w:rsidRPr="00817B65">
        <w:t>3. Rechtfolge</w:t>
      </w:r>
      <w:bookmarkEnd w:id="173"/>
    </w:p>
    <w:p w14:paraId="74CF0A5B" w14:textId="77777777" w:rsidR="00CB0429" w:rsidRPr="00CB0429" w:rsidRDefault="00CB0429" w:rsidP="00CB0429">
      <w:pPr>
        <w:pStyle w:val="Randnummer"/>
        <w:framePr w:wrap="around"/>
      </w:pPr>
    </w:p>
    <w:p w14:paraId="6AB9F7A4" w14:textId="43691C19" w:rsidR="00936764" w:rsidRPr="00936764" w:rsidRDefault="00936764" w:rsidP="00936764">
      <w:r w:rsidRPr="00936764">
        <w:t>§ 70 I 1 LBauO RLP sieht als Rechtfolge eine gebundene Entscheidung vor („ist“) und gewährt beim Vorliegen seiner Voraussetzungen daher einen Anspruch auf Erteilung der Baugenehmigung. Die Befreiung nach § 246 X BauGB steht allerdings im Ermessen der Behörde („kann“). Begehrt eine Klägerin wie B die Verpflichtung zum Erlass eines bestimmten Verwaltungsakts (</w:t>
      </w:r>
      <w:r w:rsidRPr="00936764">
        <w:rPr>
          <w:i/>
        </w:rPr>
        <w:t>Vornahmeurteil</w:t>
      </w:r>
      <w:r w:rsidRPr="00936764">
        <w:t>), so muss nach § 113 V VwGO „die Sache spruchreif“ sein. Andernfalls spricht das Gericht lediglich die Verpflichtung aus, die Klägerin unter Beachtung der Rechtsauffassung des Gerichts zu bescheiden (</w:t>
      </w:r>
      <w:r w:rsidRPr="00936764">
        <w:rPr>
          <w:i/>
        </w:rPr>
        <w:t>Bescheidungsurteil</w:t>
      </w:r>
      <w:r w:rsidRPr="00936764">
        <w:t xml:space="preserve">), § 113 V 2 VwGO. Spruchreife liegt vor, wenn das Verwaltungsgericht zu einer abschließenden Entscheidung über den Erlass des begehrten </w:t>
      </w:r>
      <w:r w:rsidR="00DA1B70">
        <w:t>Verwaltungsakts</w:t>
      </w:r>
      <w:r w:rsidRPr="00936764">
        <w:t xml:space="preserve"> in der Lage ist. Dies ist dann nicht der Fall, wenn der Verwaltung hinsichtlich des Erlasses des begehrten </w:t>
      </w:r>
      <w:r w:rsidR="00DA1B70">
        <w:t>Verwaltungsakts</w:t>
      </w:r>
      <w:r w:rsidRPr="00936764">
        <w:t xml:space="preserve"> noch ein Ermessens- oder Beurteilungsspielraum zusteht.</w:t>
      </w:r>
      <w:r w:rsidRPr="00936764">
        <w:rPr>
          <w:vertAlign w:val="superscript"/>
        </w:rPr>
        <w:footnoteReference w:id="136"/>
      </w:r>
      <w:r w:rsidRPr="00936764">
        <w:t xml:space="preserve"> Einem Vornahmeurteil könnte also das der Behörde von § 246 X BauGB eingeräumte Ermessen entgegenstehen. Dann wäre Bs Klage nur teilweise begründet. Liegen die Voraussetzungen des Befreiungstatbestandes vor und stehen weder öffentliche noch nachbarliche Belange entgegen, so ist das Ermessen allerdings auf null reduziert.</w:t>
      </w:r>
      <w:r w:rsidRPr="00936764">
        <w:rPr>
          <w:vertAlign w:val="superscript"/>
        </w:rPr>
        <w:footnoteReference w:id="137"/>
      </w:r>
      <w:r w:rsidRPr="00936764">
        <w:t xml:space="preserve"> In Betracht kommen könnte allenfalls eine Befristung der Baugenehmigung. Die in § 246 X BauGB vorgesehene Befristung gilt ausweislich § 246 XVII BauGB aber nur für die Anwendung der Sonderreglung, nicht für die Baugenehmigung. Mithin ist Bs Anspruch auch nicht auf eine befristete Genehmigung beschränkt. Damit steht B der geltend gemachte Anspruch auf Genehmigung der Nutzungsänderung zu.</w:t>
      </w:r>
    </w:p>
    <w:p w14:paraId="7B5E4A82" w14:textId="77777777" w:rsidR="00936764" w:rsidRPr="00817B65" w:rsidRDefault="00936764" w:rsidP="000434BF">
      <w:pPr>
        <w:pStyle w:val="berschrift5"/>
      </w:pPr>
      <w:bookmarkStart w:id="174" w:name="_Toc22133041"/>
      <w:r w:rsidRPr="00817B65">
        <w:t>IV. Zwischenergebnis</w:t>
      </w:r>
      <w:bookmarkEnd w:id="174"/>
    </w:p>
    <w:p w14:paraId="642CFFA5" w14:textId="77777777" w:rsidR="00CB0429" w:rsidRPr="00CB0429" w:rsidRDefault="00CB0429" w:rsidP="00CB0429">
      <w:pPr>
        <w:pStyle w:val="Randnummer"/>
        <w:framePr w:wrap="around"/>
      </w:pPr>
    </w:p>
    <w:p w14:paraId="6B5D47B3" w14:textId="77777777" w:rsidR="00936764" w:rsidRDefault="00936764" w:rsidP="00936764">
      <w:r w:rsidRPr="00936764">
        <w:t>Das Verwaltungsgericht kann abschließend über Bs Anspruch entscheiden, sodass die Sache auch spruchreif ist. Bs Klage ist damit begründet.</w:t>
      </w:r>
    </w:p>
    <w:p w14:paraId="5B156DD4" w14:textId="77777777" w:rsidR="000434BF" w:rsidRPr="00936764" w:rsidRDefault="000434BF" w:rsidP="00936764"/>
    <w:p w14:paraId="74947C36" w14:textId="77777777" w:rsidR="00936764" w:rsidRPr="00817B65" w:rsidRDefault="00936764" w:rsidP="000434BF">
      <w:pPr>
        <w:pStyle w:val="berschrift4"/>
      </w:pPr>
      <w:bookmarkStart w:id="175" w:name="_Toc22133042"/>
      <w:r w:rsidRPr="00817B65">
        <w:t>D. Ergebnis</w:t>
      </w:r>
      <w:bookmarkEnd w:id="175"/>
    </w:p>
    <w:p w14:paraId="4733D738" w14:textId="77777777" w:rsidR="00CB0429" w:rsidRPr="00CB0429" w:rsidRDefault="00CB0429" w:rsidP="00CB0429">
      <w:pPr>
        <w:pStyle w:val="Randnummer"/>
        <w:framePr w:wrap="around"/>
      </w:pPr>
    </w:p>
    <w:p w14:paraId="7F6E09E4" w14:textId="77777777" w:rsidR="00936764" w:rsidRPr="00936764" w:rsidRDefault="00936764" w:rsidP="00936764">
      <w:r w:rsidRPr="00936764">
        <w:t>Bs Klage ist zulässig und begründet. Das Gericht wird die Stadt verpflichten die von B beantrage Baugenehmigung für die Nutzungsänderung zu erteilen.</w:t>
      </w:r>
    </w:p>
    <w:p w14:paraId="3B7E6DC8" w14:textId="77777777" w:rsidR="00936764" w:rsidRPr="00936764" w:rsidRDefault="00936764" w:rsidP="00936764">
      <w:pPr>
        <w:rPr>
          <w:b/>
        </w:rPr>
      </w:pPr>
    </w:p>
    <w:p w14:paraId="7C467888" w14:textId="484056CD" w:rsidR="00936764" w:rsidRPr="00817B65" w:rsidRDefault="00936764" w:rsidP="0001383E">
      <w:pPr>
        <w:pStyle w:val="berschrift3"/>
      </w:pPr>
      <w:bookmarkStart w:id="176" w:name="_Toc22133043"/>
      <w:r w:rsidRPr="00817B65">
        <w:t>Lösung</w:t>
      </w:r>
      <w:r w:rsidR="00817B65" w:rsidRPr="00817B65">
        <w:t>svorschlag</w:t>
      </w:r>
      <w:r w:rsidRPr="00817B65">
        <w:t xml:space="preserve"> Abwandlung</w:t>
      </w:r>
      <w:bookmarkEnd w:id="176"/>
    </w:p>
    <w:p w14:paraId="2AD45417" w14:textId="77777777" w:rsidR="00CB0429" w:rsidRPr="00CB0429" w:rsidRDefault="00CB0429" w:rsidP="00CB0429">
      <w:pPr>
        <w:pStyle w:val="Randnummer"/>
        <w:framePr w:wrap="around"/>
      </w:pPr>
    </w:p>
    <w:p w14:paraId="1FE2CA04" w14:textId="2353C3AD" w:rsidR="0001383E" w:rsidRPr="00772351" w:rsidRDefault="00936764" w:rsidP="00772351">
      <w:r w:rsidRPr="00936764">
        <w:t>Für Bs Begehren (§ 88 VwGO) kommt als statthafte Klageart wie im Ausgangsfall eine Verpflichtungsklage in Gestalt der Untätigkeitsklage in Betracht, § 42 I Alt. 2 Hs. 2 VwGO.</w:t>
      </w:r>
      <w:r w:rsidR="00A566D1">
        <w:t xml:space="preserve"> </w:t>
      </w:r>
      <w:r w:rsidRPr="00936764">
        <w:t>Anders als im Ausgangsfall begehrt B allerdings nicht die Verpflichtung zur Erteilung einer Baugenehmigung, sondern die bloße Bescheidung des von N gegen ihre Baugenehmigung eingelegten Widerspruchs. Es ist fraglich, ob die Untätigkeitsklage darauf beschränkt werden kann, die Widerspruchsbehörde zur Bescheidung eines Widerspruchs zu verpflichten. Hat der Kläger einen Anspruch auf die von ihm in der Sache begehrte Entscheidung, so gibt es keinen Grund für ihn, sein Begehren auf ein Weniger – die bloße Bescheidung – zu beschränken. Bei einer gebundenen Entscheidung fehlt es daher am Rechtsschutzbedürfnis für eine bloße Bescheidungsklage, so dass diese unzulässig ist. Bei einer Ermessensentscheidung kann hingegen ein berechtigtes Interesse an einer Zweckmäßigkeitsprüfung durch die Widerspruchsbehörde bestehen. Diese Möglichkeit darf dem Kläger durch die Untätigkeit der Behörde nicht genommen werden.</w:t>
      </w:r>
      <w:r w:rsidRPr="00936764">
        <w:rPr>
          <w:vertAlign w:val="superscript"/>
        </w:rPr>
        <w:footnoteReference w:id="138"/>
      </w:r>
      <w:r w:rsidRPr="00936764">
        <w:t xml:space="preserve"> Schließlich kann auch in der vorliegenden Konstellation für den Adressaten eines begünstigenden </w:t>
      </w:r>
      <w:r w:rsidR="00DA1B70">
        <w:t>Verwaltungsakts</w:t>
      </w:r>
      <w:r w:rsidRPr="00936764">
        <w:t xml:space="preserve"> ein Bedürfnis an der Bescheidung eines Drittwiderspruchs bestehen. Dem Widerspruch kommt hier nach § 212a I BauGB zwar keine aufschiebende Wirkung zu, so dass B von ihrer Baugenehmigung gleichwohl Gebrauch machen kann. Solange über Ns Widerspruch nicht entschieden ist, erwächst ihre Baugenehmigung aber nicht in Bestandskraft. Für sie besteht also die Unsicherheit, ob ihre Baugenehmigung fortbestehen oder doch noch aufgebhoben wird. Dieser Schwebezustand begründet ihr Rechtsschutzbedürfnis. Daher kann auch der Adressat eines begünstigten </w:t>
      </w:r>
      <w:r w:rsidR="00DA1B70">
        <w:t>Verwaltungsakts</w:t>
      </w:r>
      <w:r w:rsidRPr="00936764">
        <w:t xml:space="preserve"> die Bescheidung eines Drittwiderspruchs im Wege einer Untätigkeitsklage begehren. Statthaft ist dann eine Verpflichtungsklage in Gestalt einer Untätigkeitsklage, die auf ein Bescheidungsurteil gerichtet ist.</w:t>
      </w:r>
      <w:r w:rsidRPr="00936764">
        <w:rPr>
          <w:vertAlign w:val="superscript"/>
        </w:rPr>
        <w:footnoteReference w:id="139"/>
      </w:r>
      <w:bookmarkStart w:id="177" w:name="_Toc10463985"/>
      <w:bookmarkStart w:id="178" w:name="_Toc13833402"/>
      <w:bookmarkEnd w:id="143"/>
      <w:r w:rsidR="0001383E">
        <w:br w:type="page"/>
      </w:r>
    </w:p>
    <w:p w14:paraId="0D37848A" w14:textId="3C90F3B9" w:rsidR="00296147" w:rsidRDefault="00F1012B" w:rsidP="008779DD">
      <w:pPr>
        <w:pStyle w:val="berschrift2"/>
      </w:pPr>
      <w:bookmarkStart w:id="179" w:name="_Toc22132773"/>
      <w:r>
        <w:t>Fall 5</w:t>
      </w:r>
      <w:r w:rsidR="00296147" w:rsidRPr="00FD1D5D">
        <w:t xml:space="preserve">: </w:t>
      </w:r>
      <w:r w:rsidR="00FD1D5D" w:rsidRPr="00FD1D5D">
        <w:t xml:space="preserve">Verpflichtungsklage auf polizeiliches Einschreiten wegen Schmähkritik </w:t>
      </w:r>
      <w:r w:rsidR="00296147" w:rsidRPr="00FD1D5D">
        <w:t>(Eva Skobel)</w:t>
      </w:r>
      <w:bookmarkEnd w:id="177"/>
      <w:bookmarkEnd w:id="178"/>
      <w:bookmarkEnd w:id="179"/>
    </w:p>
    <w:p w14:paraId="56D60DD8" w14:textId="6CDDFCD8" w:rsidR="0017745A" w:rsidRPr="0017745A" w:rsidRDefault="0017745A" w:rsidP="0017745A">
      <w:pPr>
        <w:pStyle w:val="Autorin"/>
      </w:pPr>
      <w:r w:rsidRPr="00FD1D5D">
        <w:t>Eva Skobel</w:t>
      </w:r>
    </w:p>
    <w:p w14:paraId="3985C2FE" w14:textId="77777777" w:rsidR="00FD1D5D" w:rsidRPr="00FD1D5D" w:rsidRDefault="00FD1D5D" w:rsidP="00FD1D5D">
      <w:pPr>
        <w:pStyle w:val="Randnummer"/>
        <w:framePr w:wrap="around"/>
      </w:pPr>
    </w:p>
    <w:p w14:paraId="28A05E2F" w14:textId="5268366C" w:rsidR="00FD1D5D" w:rsidRDefault="009E471F" w:rsidP="00FD1D5D">
      <w:r>
        <w:t>Der Fall ist a</w:t>
      </w:r>
      <w:r w:rsidR="00FD1D5D" w:rsidRPr="00FD1D5D">
        <w:t xml:space="preserve">ngelehnt an </w:t>
      </w:r>
      <w:hyperlink r:id="rId48" w:history="1">
        <w:r w:rsidR="00B855DA" w:rsidRPr="00E438F8">
          <w:rPr>
            <w:rStyle w:val="Hyperlink"/>
          </w:rPr>
          <w:t>VG Düsseldorf, Urt</w:t>
        </w:r>
        <w:r w:rsidR="00B855DA">
          <w:rPr>
            <w:rStyle w:val="Hyperlink"/>
          </w:rPr>
          <w:t>.</w:t>
        </w:r>
        <w:r w:rsidR="00B855DA" w:rsidRPr="00E438F8">
          <w:rPr>
            <w:rStyle w:val="Hyperlink"/>
          </w:rPr>
          <w:t xml:space="preserve"> v</w:t>
        </w:r>
        <w:r w:rsidR="00B855DA">
          <w:rPr>
            <w:rStyle w:val="Hyperlink"/>
          </w:rPr>
          <w:t>. 24.6.2014, Az.</w:t>
        </w:r>
        <w:r w:rsidR="000A4EE4">
          <w:rPr>
            <w:rStyle w:val="Hyperlink"/>
          </w:rPr>
          <w:t>:</w:t>
        </w:r>
        <w:r w:rsidR="00B855DA">
          <w:rPr>
            <w:rStyle w:val="Hyperlink"/>
          </w:rPr>
          <w:t xml:space="preserve"> </w:t>
        </w:r>
        <w:r w:rsidR="00B855DA" w:rsidRPr="00E438F8">
          <w:rPr>
            <w:rStyle w:val="Hyperlink"/>
          </w:rPr>
          <w:t>27 K 7499/13</w:t>
        </w:r>
      </w:hyperlink>
      <w:r w:rsidR="00B855DA">
        <w:t xml:space="preserve"> = MMR 2015, 352</w:t>
      </w:r>
      <w:r>
        <w:t>.</w:t>
      </w:r>
    </w:p>
    <w:p w14:paraId="5B965F77" w14:textId="77777777" w:rsidR="00FD1D5D" w:rsidRPr="00FD1D5D" w:rsidRDefault="00FD1D5D" w:rsidP="00FD1D5D">
      <w:pPr>
        <w:pStyle w:val="Randnummer"/>
        <w:framePr w:wrap="around"/>
      </w:pPr>
    </w:p>
    <w:p w14:paraId="2B49E85F" w14:textId="77777777" w:rsidR="00FD1D5D" w:rsidRDefault="00FD1D5D" w:rsidP="00FD1D5D">
      <w:r w:rsidRPr="00FD1D5D">
        <w:t>Lernziele/Schwerpunkte: Verpflichtungsklage, Schutznormtheorie, Wiedereinsetzung in den vorigen Stand, Anwendungsbereich von § 59 III RStV, Rückgriff auf die Generalklausel bei fehlender spezialgesetzlicher Eingriffsbefugnis, Anspruch auf polizeiliches Einschreiten, Schmähkritik und unwahre Tatsachenbehauptungen, Ermessensreduzierung auf Null</w:t>
      </w:r>
    </w:p>
    <w:p w14:paraId="5A6CABB5" w14:textId="77777777" w:rsidR="0001383E" w:rsidRPr="00FD1D5D" w:rsidRDefault="0001383E" w:rsidP="00FD1D5D"/>
    <w:p w14:paraId="4D64604C" w14:textId="034CEA48" w:rsidR="00FD1D5D" w:rsidRPr="002C6282" w:rsidRDefault="009E471F" w:rsidP="0001383E">
      <w:pPr>
        <w:pStyle w:val="berschrift3"/>
      </w:pPr>
      <w:r w:rsidRPr="002C6282">
        <w:t>Sachverhalt</w:t>
      </w:r>
    </w:p>
    <w:p w14:paraId="6CCE1843" w14:textId="77777777" w:rsidR="00FD1D5D" w:rsidRDefault="00FD1D5D" w:rsidP="00FD1D5D">
      <w:pPr>
        <w:pStyle w:val="Randnummer"/>
        <w:framePr w:wrap="around"/>
      </w:pPr>
    </w:p>
    <w:p w14:paraId="1ECF3102" w14:textId="6934645E" w:rsidR="00FD1D5D" w:rsidRPr="00FD1D5D" w:rsidRDefault="00FD1D5D" w:rsidP="00FD1D5D">
      <w:r w:rsidRPr="00FD1D5D">
        <w:t>Die 16-jährige Schülerin Johanna Jarsson (J) organisiert in der rheinland-pfälzischen Stadt M die jeden Freitag während der Schulzeit stattfindenden „Fridays for Future“-Demonstrationen, in denen Schüler</w:t>
      </w:r>
      <w:r w:rsidR="00B855DA">
        <w:t>*innen</w:t>
      </w:r>
      <w:r w:rsidRPr="00FD1D5D">
        <w:t xml:space="preserve"> Maßnahmen zur Bekämpfung des Klimawandels fordern. Auf diesen Demonstrationen hält J auch Reden. In ihrer Freizeit liest J gerne den Blog des wie sie in M wohnenden Xaver Xantl (X), der eine über Rheinland-Pfalz hinausgehende Verbreitung findet.</w:t>
      </w:r>
    </w:p>
    <w:p w14:paraId="116F0ED1" w14:textId="77777777" w:rsidR="00B855DA" w:rsidRPr="00FD1D5D" w:rsidRDefault="00B855DA" w:rsidP="00B855DA">
      <w:r w:rsidRPr="00FD1D5D">
        <w:t xml:space="preserve">Zu ihrem Entsetzen muss J eines Tages feststellen, dass X auf seinem Blog auch über die „Fridays for Future“-Demonstrationen in M berichtet und diese scharf kritisiert. In seinem Beitrag bezeichnet </w:t>
      </w:r>
      <w:r>
        <w:t>X</w:t>
      </w:r>
      <w:r w:rsidRPr="00FD1D5D">
        <w:t xml:space="preserve"> J unter Namensnennung als „dumme Sau“, „nicht lebenswert“, „Dreck“ und „Abschaum“. </w:t>
      </w:r>
      <w:r>
        <w:t xml:space="preserve">Dabei bezieht er sich ausdrücklich nicht auf deren politisches Engagement. </w:t>
      </w:r>
      <w:r w:rsidRPr="00FD1D5D">
        <w:t>Weiterhin behauptet er, J sei wegen dem freitäglichen Schuleschwänzen von der Schule verwiesen worden. Dies trifft nicht zu, was dem mit einem an Js Schule unterrichtenden Lehrer bekannten X auch bewusst war.</w:t>
      </w:r>
    </w:p>
    <w:p w14:paraId="14C788A2" w14:textId="6C9812C8" w:rsidR="00FD1D5D" w:rsidRPr="00FD1D5D" w:rsidRDefault="00B855DA" w:rsidP="00B855DA">
      <w:r w:rsidRPr="00FD1D5D">
        <w:t>Darauf schreibt J dem X</w:t>
      </w:r>
      <w:r>
        <w:t>, dessen Anschrift und sonstige Kontaktdaten sie dem Blog entnommen hat,</w:t>
      </w:r>
      <w:r w:rsidRPr="00FD1D5D">
        <w:t xml:space="preserve"> eine </w:t>
      </w:r>
      <w:r>
        <w:t xml:space="preserve">E-Mail. Darin </w:t>
      </w:r>
      <w:r w:rsidRPr="00FD1D5D">
        <w:t xml:space="preserve">fordert </w:t>
      </w:r>
      <w:r>
        <w:t>sie i</w:t>
      </w:r>
      <w:r w:rsidRPr="00FD1D5D">
        <w:t>hn auf, den Beitrag oder zumindest die oben dargestellten Formulierungen sowie die Behauptung, sie sei von der Schule verwiesen worden, zu löschen und deren Verbreitung auch in Zukunft zu unterlassen.</w:t>
      </w:r>
    </w:p>
    <w:p w14:paraId="45D16BC5" w14:textId="77777777" w:rsidR="00FD1D5D" w:rsidRPr="00FD1D5D" w:rsidRDefault="00FD1D5D" w:rsidP="00FD1D5D">
      <w:r w:rsidRPr="00FD1D5D">
        <w:t>Nachdem X sich weigert hält J jeden weiteren Versuch, ihn zu den gewünschten Löschungen zu bewegen, für aussichtslos. Sie wendet sich daher an die Aufsichts- und Dienstleistungsdirektion (ADD) als der nach § 3 I des rheinland-pfälzischen Landesgesetzes zu dem Staatsvertrag über den Rundfunk im vereinten Deutschland zuständigen Aufsichtsbehörde</w:t>
      </w:r>
      <w:r w:rsidRPr="00FD1D5D">
        <w:rPr>
          <w:vertAlign w:val="superscript"/>
        </w:rPr>
        <w:footnoteReference w:id="140"/>
      </w:r>
      <w:r w:rsidRPr="00FD1D5D">
        <w:t xml:space="preserve"> und beantragt den Erlass einer Löschungsanordnung gegen X bezüglich der von ihr in dem Antrag aufgeführten genannten Äußerungen.</w:t>
      </w:r>
    </w:p>
    <w:p w14:paraId="0E2031E5" w14:textId="50B48A65" w:rsidR="00FD1D5D" w:rsidRPr="00FD1D5D" w:rsidRDefault="00FD1D5D" w:rsidP="00FD1D5D">
      <w:r w:rsidRPr="00FD1D5D">
        <w:t>Die ADD lehnt dies mit J am 06.02.2019 bekanntgegebenen Verwaltungsakt ab. Sie ist der Ansicht, J müsse vor den Zivilgerichten gegen X vorgehen. Außerdem könne sie bereits mangels einschlägiger Ermächtigungsgrundlage keine Löschungsanordnung treffen. § 59 III RStV ermächtige sie gerade nicht, bei Verstößen gegen die allgemeinen Gesetze bzw. gesetzliche Bestimmungen zum Schutz der persönlichen Ehre Maßnahmen zu ergreifen. Weitere Ermächtigungsgrundlagen kämen nicht in Betracht. Desweiterem seien die von X getätigten Äußerungen von dessen Meinungsfreiheit sowie der In</w:t>
      </w:r>
      <w:r w:rsidR="00B855DA">
        <w:t xml:space="preserve">formationsfreiheit der Besucher*innen </w:t>
      </w:r>
      <w:r w:rsidRPr="00FD1D5D">
        <w:t>des Blogs geschützt. Durch das Organisieren der Demonstrationen und das öffentliche Auftreten auf diesen habe sich J in die Öffentlichkeit begeben und müsse daher auch scharfe Kritik hinnehmen.</w:t>
      </w:r>
    </w:p>
    <w:p w14:paraId="0426E30E" w14:textId="77777777" w:rsidR="00FD1D5D" w:rsidRPr="00FD1D5D" w:rsidRDefault="00FD1D5D" w:rsidP="00FD1D5D">
      <w:r w:rsidRPr="00FD1D5D">
        <w:t>J formuliert sofort nach Bekanntgabe des Bescheids ein Widerspruchsschreiben. Als sie dieses am folgenden Tag zur Post bringen will erleidet sie auf dem Weg zum Briefkasten unverschuldet einen Verkehrsunfall. Dessen Folgen machen es ihr für die nächsten Wochen unmöglich, sich weiter um die Angelegenheit zu kümmern. Auch Js Eltern sind unverschuldet am Einlegen eines Widerspruchs gehindert. Erst am 07.03.2019 geht es J gut genug, dass sie, vertreten durch ihre Eltern, Widerspruch einlegen kann. Die ADD weist den Widerspruch als unzulässig zurück.</w:t>
      </w:r>
    </w:p>
    <w:p w14:paraId="62E140CA" w14:textId="77777777" w:rsidR="00FD1D5D" w:rsidRPr="00FD1D5D" w:rsidRDefault="00FD1D5D" w:rsidP="00FD1D5D">
      <w:r w:rsidRPr="00FD1D5D">
        <w:t>Zwei Tage nach Erhalt des Widerspruchsbescheids erhebt J, vertreten durch ihre Eltern, Klage beim zuständigen Verwaltungsgericht. Sie trägt vor, dass die ADD, selbst wenn sie sich nicht auf § 59 III RStV stützen könne, zumindest nach der ordnungsbehördlichen Generalklausel des § 9 I POG Rheinland-Pfalz gegen X vorgehen könne. Dessen Beleidigungen und Verleumdungen seien auch nicht von der Meinungsfreiheit geschützt.</w:t>
      </w:r>
    </w:p>
    <w:p w14:paraId="767F61C4" w14:textId="77777777" w:rsidR="00FD1D5D" w:rsidRPr="00FD1D5D" w:rsidRDefault="00FD1D5D" w:rsidP="00FD1D5D">
      <w:r w:rsidRPr="00FD1D5D">
        <w:t>Die ADD hält die Klage bereits für unzulässig. J habe das Widerspruchsverfahren nicht fristgerecht durchgeführt und Wiedereinsetzung in den vorigen Stand sei mangels Antrag der J nicht möglich. Weiterhin sei es, unterstellt sie könne gegen den Beitrag des X vorgehen, allein ihre Sache, ob und in welcher Form sie dies auch tatsächlich tue. J habe keinen Anspruch auf Erlass einer Löschungsanordnung.</w:t>
      </w:r>
    </w:p>
    <w:p w14:paraId="370475E9" w14:textId="77777777" w:rsidR="00FD1D5D" w:rsidRDefault="00FD1D5D" w:rsidP="00FD1D5D">
      <w:pPr>
        <w:rPr>
          <w:b/>
        </w:rPr>
      </w:pPr>
      <w:r w:rsidRPr="00FD1D5D">
        <w:rPr>
          <w:b/>
        </w:rPr>
        <w:t>Hat die Klage der J Aussicht auf Erfolg?</w:t>
      </w:r>
    </w:p>
    <w:p w14:paraId="79367FEA" w14:textId="77777777" w:rsidR="00772351" w:rsidRPr="00FD1D5D" w:rsidRDefault="00772351" w:rsidP="00FD1D5D">
      <w:pPr>
        <w:rPr>
          <w:b/>
        </w:rPr>
      </w:pPr>
    </w:p>
    <w:p w14:paraId="5A9D95C7" w14:textId="2932674C" w:rsidR="00FD1D5D" w:rsidRDefault="00FD1D5D" w:rsidP="00FD1D5D">
      <w:r w:rsidRPr="00FD1D5D">
        <w:rPr>
          <w:b/>
        </w:rPr>
        <w:t xml:space="preserve">Bearbeitungshinweis: </w:t>
      </w:r>
      <w:r w:rsidRPr="00FD1D5D">
        <w:t>Es ist davon auszugehen, dass es sich bei dem Blog des X um ein Telemedium im Sinne von §§ 54 ff. RStV handelt.</w:t>
      </w:r>
      <w:r w:rsidR="000A4EE4">
        <w:t xml:space="preserve"> Normen des Jugendmedienschutzstaatsvertrags sind außer Acht zu lassen.</w:t>
      </w:r>
    </w:p>
    <w:p w14:paraId="11049E38" w14:textId="77777777" w:rsidR="00772351" w:rsidRDefault="00772351" w:rsidP="00FD1D5D">
      <w:pPr>
        <w:rPr>
          <w:b/>
        </w:rPr>
      </w:pPr>
    </w:p>
    <w:p w14:paraId="3AD62F57" w14:textId="77777777" w:rsidR="00772351" w:rsidRDefault="00772351" w:rsidP="00FD1D5D">
      <w:pPr>
        <w:rPr>
          <w:b/>
        </w:rPr>
      </w:pPr>
    </w:p>
    <w:p w14:paraId="45E2F5D8" w14:textId="77777777" w:rsidR="00772351" w:rsidRDefault="00772351" w:rsidP="00FD1D5D">
      <w:pPr>
        <w:rPr>
          <w:b/>
        </w:rPr>
      </w:pPr>
    </w:p>
    <w:p w14:paraId="79002A0F" w14:textId="77777777" w:rsidR="00FD1D5D" w:rsidRPr="00FD1D5D" w:rsidRDefault="00FD1D5D" w:rsidP="00FD1D5D">
      <w:pPr>
        <w:rPr>
          <w:b/>
        </w:rPr>
      </w:pPr>
      <w:r w:rsidRPr="00FD1D5D">
        <w:rPr>
          <w:b/>
        </w:rPr>
        <w:t>Auszug Rundfunkstaatsvertrag (RStV)</w:t>
      </w:r>
    </w:p>
    <w:p w14:paraId="2AA5448D" w14:textId="77777777" w:rsidR="00FD1D5D" w:rsidRPr="00095F85" w:rsidRDefault="00FD1D5D" w:rsidP="00FD1D5D">
      <w:pPr>
        <w:rPr>
          <w:b/>
        </w:rPr>
      </w:pPr>
      <w:r w:rsidRPr="00095F85">
        <w:rPr>
          <w:b/>
        </w:rPr>
        <w:t>§ 54 Allgemeine Bestimmungen</w:t>
      </w:r>
    </w:p>
    <w:p w14:paraId="2143936A" w14:textId="77777777" w:rsidR="00FD1D5D" w:rsidRDefault="00FD1D5D" w:rsidP="00FD1D5D">
      <w:r w:rsidRPr="00FD1D5D">
        <w:t xml:space="preserve">(1) </w:t>
      </w:r>
      <w:r w:rsidRPr="00FD1D5D">
        <w:rPr>
          <w:vertAlign w:val="superscript"/>
        </w:rPr>
        <w:t>1</w:t>
      </w:r>
      <w:r w:rsidRPr="00FD1D5D">
        <w:t xml:space="preserve">Telemedien sind im Rahmen der Gesetze zulassungs- und anmeldefrei. </w:t>
      </w:r>
      <w:r w:rsidRPr="00FD1D5D">
        <w:rPr>
          <w:vertAlign w:val="superscript"/>
        </w:rPr>
        <w:t>2</w:t>
      </w:r>
      <w:r w:rsidRPr="00FD1D5D">
        <w:t xml:space="preserve">Für die Angebote gilt die verfassungsmäßige Ordnung. </w:t>
      </w:r>
      <w:r w:rsidRPr="00FD1D5D">
        <w:rPr>
          <w:vertAlign w:val="superscript"/>
        </w:rPr>
        <w:t>3</w:t>
      </w:r>
      <w:r w:rsidRPr="00FD1D5D">
        <w:t>Die Vorschriften der allgemeinen Gesetze und die gesetzlichen Bestimmungen zum Schutz der persönlichen Ehre sind einzuhalten.</w:t>
      </w:r>
    </w:p>
    <w:p w14:paraId="65A92EC8" w14:textId="77777777" w:rsidR="00FD1D5D" w:rsidRPr="00095F85" w:rsidRDefault="00FD1D5D" w:rsidP="00FD1D5D">
      <w:pPr>
        <w:rPr>
          <w:b/>
        </w:rPr>
      </w:pPr>
      <w:r w:rsidRPr="00095F85">
        <w:rPr>
          <w:b/>
        </w:rPr>
        <w:t>§ 59 Aufsicht</w:t>
      </w:r>
    </w:p>
    <w:p w14:paraId="26748C18" w14:textId="77777777" w:rsidR="00FD1D5D" w:rsidRPr="00FD1D5D" w:rsidRDefault="00FD1D5D" w:rsidP="00FD1D5D">
      <w:r w:rsidRPr="00FD1D5D">
        <w:t>(2) Die Einhaltung der Bestimmungen für Telemedien einschließlich der allgemeinen Gesetze und der gesetzlichen Bestimmungen zum Schutz der persönlichen Ehre mit Ausnahme des Datenschutzes wird durch nach Landesrecht bestimmte Aufsichtsbehörden überwacht.</w:t>
      </w:r>
    </w:p>
    <w:p w14:paraId="602F3B99" w14:textId="04A68498" w:rsidR="00FD1D5D" w:rsidRPr="00FD1D5D" w:rsidRDefault="00FD1D5D" w:rsidP="00FD1D5D">
      <w:r w:rsidRPr="00FD1D5D">
        <w:t xml:space="preserve">(3) </w:t>
      </w:r>
      <w:r w:rsidRPr="00FD1D5D">
        <w:rPr>
          <w:vertAlign w:val="superscript"/>
        </w:rPr>
        <w:t>1</w:t>
      </w:r>
      <w:r w:rsidR="00B855DA" w:rsidRPr="00B855DA">
        <w:t xml:space="preserve"> </w:t>
      </w:r>
      <w:r w:rsidR="00B855DA" w:rsidRPr="00FD1D5D">
        <w:t xml:space="preserve">Stellt die jeweils zuständige Aufsichtsbehörde einen Verstoß gegen die Bestimmungen mit Ausnahme der § 54, § 55 </w:t>
      </w:r>
      <w:r w:rsidR="00B855DA">
        <w:t>Abs. 2</w:t>
      </w:r>
      <w:r w:rsidR="00B855DA" w:rsidRPr="00FD1D5D">
        <w:t xml:space="preserve"> und 3, § 56, § 57 </w:t>
      </w:r>
      <w:r w:rsidR="00B855DA">
        <w:t>Abs. 2</w:t>
      </w:r>
      <w:r w:rsidR="00B855DA" w:rsidRPr="00FD1D5D">
        <w:t xml:space="preserve"> oder</w:t>
      </w:r>
      <w:r w:rsidRPr="00FD1D5D">
        <w:t xml:space="preserve"> der Datenschutzbestimmungen des Telemediengesetzes fest, trifft sie die zur Beseitigung des Verstoßes erforderlichen Maßnahmen gegenüber dem Anbieter. </w:t>
      </w:r>
      <w:r w:rsidRPr="00FD1D5D">
        <w:rPr>
          <w:vertAlign w:val="superscript"/>
        </w:rPr>
        <w:t>2</w:t>
      </w:r>
      <w:r w:rsidRPr="00FD1D5D">
        <w:t xml:space="preserve">Sie kann insbesondere Angebote untersagen und deren Sperrung anordnen. </w:t>
      </w:r>
      <w:r w:rsidRPr="00FD1D5D">
        <w:rPr>
          <w:vertAlign w:val="superscript"/>
        </w:rPr>
        <w:t>3</w:t>
      </w:r>
      <w:r w:rsidRPr="00FD1D5D">
        <w:t xml:space="preserve">Die Untersagung darf nicht erfolgen, wenn die Maßnahme außer Verhältnis zur Bedeutung des Angebots für den Anbieter und die Allgemeinheit steht. </w:t>
      </w:r>
      <w:r w:rsidRPr="00FD1D5D">
        <w:rPr>
          <w:vertAlign w:val="superscript"/>
        </w:rPr>
        <w:t>4</w:t>
      </w:r>
      <w:r w:rsidRPr="00FD1D5D">
        <w:t xml:space="preserve">Eine Untersagung darf nur erfolgen, wenn ihr Zweck nicht in anderer Weise erreicht werden kann. </w:t>
      </w:r>
      <w:r w:rsidRPr="00FD1D5D">
        <w:rPr>
          <w:vertAlign w:val="superscript"/>
        </w:rPr>
        <w:t>5</w:t>
      </w:r>
      <w:r w:rsidRPr="00FD1D5D">
        <w:t>Die Untersagung ist, soweit ihr Zweck dadurch erreicht werden kann, auf bestimmte Arten und Teile von Angeboten oder zeitlich zu beschränken. […].</w:t>
      </w:r>
      <w:r w:rsidRPr="00FD1D5D">
        <w:rPr>
          <w:vertAlign w:val="superscript"/>
        </w:rPr>
        <w:t>7</w:t>
      </w:r>
      <w:r w:rsidRPr="00FD1D5D">
        <w:t>Die Befugnisse der Aufsichtsbehörden zur Durchsetzung der Vorschriften der allgemeinen Gesetze und der gesetzlichen Bestimmungen zum Schutz der persönlichen Ehre bleiben unberührt.</w:t>
      </w:r>
    </w:p>
    <w:p w14:paraId="0F0E5658" w14:textId="77777777" w:rsidR="00FD1D5D" w:rsidRPr="00FD1D5D" w:rsidRDefault="00FD1D5D" w:rsidP="00FD1D5D">
      <w:r w:rsidRPr="00FD1D5D">
        <w:t xml:space="preserve">(4) </w:t>
      </w:r>
      <w:r w:rsidRPr="00FD1D5D">
        <w:rPr>
          <w:vertAlign w:val="superscript"/>
        </w:rPr>
        <w:t>1</w:t>
      </w:r>
      <w:r w:rsidRPr="00FD1D5D">
        <w:t>Erweisen sich Maßnahmen gegenüber dem Verantwortlichen nach § 7 des Telemediengesetzes als nicht durchführbar oder nicht Erfolg versprechend, können Maßnahmen zur Sperrung von Angeboten nach Absatz 3 auch gegen den Diensteanbieter von fremden Inhalten nach den §§ 8 bis 10 des Telemediengesetzes gerichtet werden, sofern eine Sperrung technisch möglich und zumutbar ist.</w:t>
      </w:r>
    </w:p>
    <w:p w14:paraId="341327D0" w14:textId="77777777" w:rsidR="00FD1D5D" w:rsidRPr="00FD1D5D" w:rsidRDefault="00FD1D5D" w:rsidP="00FD1D5D">
      <w:r w:rsidRPr="00FD1D5D">
        <w:t>(5) Wird durch ein Angebot in Rechte Dritter eingegriffen und ist für den Dritten hiergegen der Rechtsweg eröffnet, sollen Anordnungen der Aufsichtsbehörde im Sinne von Absatz 3 nur erfolgen, wenn dies aus Gründen des Gemeinwohls geboten ist.</w:t>
      </w:r>
    </w:p>
    <w:p w14:paraId="3DF2F4ED" w14:textId="77777777" w:rsidR="00B855DA" w:rsidRDefault="00B855DA" w:rsidP="00B855DA">
      <w:r w:rsidRPr="00FD1D5D">
        <w:t xml:space="preserve">(6) </w:t>
      </w:r>
      <w:r w:rsidRPr="00FD1D5D">
        <w:rPr>
          <w:vertAlign w:val="superscript"/>
        </w:rPr>
        <w:t>1</w:t>
      </w:r>
      <w:r w:rsidRPr="00FD1D5D">
        <w:t xml:space="preserve">Für den Vollzug dieses Abschnitts ist die Aufsichtsbehörde des Landes zuständig, in dem der betroffene Anbieter seinen </w:t>
      </w:r>
      <w:r>
        <w:t>[…]</w:t>
      </w:r>
      <w:r w:rsidRPr="00FD1D5D">
        <w:t xml:space="preserve"> Wohnsitz </w:t>
      </w:r>
      <w:r>
        <w:t>[…]</w:t>
      </w:r>
      <w:r w:rsidRPr="00FD1D5D">
        <w:t xml:space="preserve"> hat. […]</w:t>
      </w:r>
    </w:p>
    <w:p w14:paraId="4DFA9410" w14:textId="77777777" w:rsidR="00FD1D5D" w:rsidRPr="00FD1D5D" w:rsidRDefault="00FD1D5D" w:rsidP="00FD1D5D">
      <w:pPr>
        <w:rPr>
          <w:b/>
        </w:rPr>
      </w:pPr>
      <w:r w:rsidRPr="00FD1D5D">
        <w:rPr>
          <w:b/>
        </w:rPr>
        <w:t>Auszug Telemediengesetz (TMG)</w:t>
      </w:r>
    </w:p>
    <w:p w14:paraId="5711DA97" w14:textId="77777777" w:rsidR="00FD1D5D" w:rsidRPr="00095F85" w:rsidRDefault="00FD1D5D" w:rsidP="00FD1D5D">
      <w:pPr>
        <w:rPr>
          <w:b/>
        </w:rPr>
      </w:pPr>
      <w:r w:rsidRPr="00095F85">
        <w:rPr>
          <w:b/>
        </w:rPr>
        <w:t>§ 7 Allgemeine Grundsätze</w:t>
      </w:r>
    </w:p>
    <w:p w14:paraId="62FBB981" w14:textId="77777777" w:rsidR="00FD1D5D" w:rsidRDefault="00FD1D5D" w:rsidP="00FD1D5D">
      <w:r w:rsidRPr="00FD1D5D">
        <w:t>(1) Diensteanbieter sind für eigene Informationen, die sie zur Nutzung bereithalten, nach den allgemeinen Gesetzen verantwortlich.</w:t>
      </w:r>
    </w:p>
    <w:p w14:paraId="57C549EF" w14:textId="77777777" w:rsidR="00FD1D5D" w:rsidRPr="00FD1D5D" w:rsidRDefault="00FD1D5D" w:rsidP="00FD1D5D">
      <w:pPr>
        <w:rPr>
          <w:b/>
        </w:rPr>
      </w:pPr>
      <w:r w:rsidRPr="00FD1D5D">
        <w:rPr>
          <w:b/>
        </w:rPr>
        <w:t>Auszug Polizei- und Ordnungsbehördengesetz (POG) Rheinland-Pfalz</w:t>
      </w:r>
    </w:p>
    <w:p w14:paraId="3EF7C61E" w14:textId="77777777" w:rsidR="00FD1D5D" w:rsidRPr="00095F85" w:rsidRDefault="00FD1D5D" w:rsidP="00FD1D5D">
      <w:pPr>
        <w:rPr>
          <w:b/>
        </w:rPr>
      </w:pPr>
      <w:r w:rsidRPr="00095F85">
        <w:rPr>
          <w:b/>
        </w:rPr>
        <w:t xml:space="preserve">§ 1 Aufgaben der allgemeinen Ordnungsbehörden und der Polizei </w:t>
      </w:r>
    </w:p>
    <w:p w14:paraId="42783ECC" w14:textId="77777777" w:rsidR="00FD1D5D" w:rsidRPr="00FD1D5D" w:rsidRDefault="00FD1D5D" w:rsidP="00FD1D5D">
      <w:r w:rsidRPr="00FD1D5D">
        <w:t xml:space="preserve">(1) </w:t>
      </w:r>
      <w:r w:rsidRPr="00FD1D5D">
        <w:rPr>
          <w:vertAlign w:val="superscript"/>
        </w:rPr>
        <w:t>1</w:t>
      </w:r>
      <w:r w:rsidRPr="00FD1D5D">
        <w:t>Die allgemeinen Ordnungsbehörden und die Polizei haben die Aufgabe, Gefahren für die öffentliche Sicherheit oder Ordnung abzuwehren. […]</w:t>
      </w:r>
    </w:p>
    <w:p w14:paraId="1A0DE00B" w14:textId="77777777" w:rsidR="00FD1D5D" w:rsidRPr="00FD1D5D" w:rsidRDefault="00FD1D5D" w:rsidP="00FD1D5D">
      <w:r w:rsidRPr="00FD1D5D">
        <w:t>(2) Die allgemeinen Ordnungsbehörden und die Polizei haben ferner die Aufgaben zu erfüllen, die ihnen durch andere Rechtsvorschriften übertragen sind.</w:t>
      </w:r>
    </w:p>
    <w:p w14:paraId="2158C7DC" w14:textId="77777777" w:rsidR="00FD1D5D" w:rsidRPr="00FD1D5D" w:rsidRDefault="00FD1D5D" w:rsidP="00FD1D5D">
      <w:r w:rsidRPr="00FD1D5D">
        <w:t>(3) Der Schutz privater Rechte obliegt den allgemeinen Ordnungsbehörden und der Polizei nach diesem Gesetz nur dann, wenn gerichtlicher Schutz nicht rechtzeitig zu erlangen ist und wenn ohne ordnungsbehördliche oder polizeiliche Hilfe die Verwirklichung des Rechts vereitelt oder wesentlich erschwert werden würde.</w:t>
      </w:r>
    </w:p>
    <w:p w14:paraId="7882ECE2" w14:textId="77777777" w:rsidR="00FD1D5D" w:rsidRPr="00095F85" w:rsidRDefault="00FD1D5D" w:rsidP="00FD1D5D">
      <w:pPr>
        <w:rPr>
          <w:b/>
        </w:rPr>
      </w:pPr>
      <w:r w:rsidRPr="00095F85">
        <w:rPr>
          <w:b/>
        </w:rPr>
        <w:t>§ 2 Grundsatz der Verhältnismäßigkeit</w:t>
      </w:r>
    </w:p>
    <w:p w14:paraId="51C689E5" w14:textId="354E1E4A" w:rsidR="00FD1D5D" w:rsidRPr="00FD1D5D" w:rsidRDefault="00FD1D5D" w:rsidP="00FD1D5D">
      <w:r w:rsidRPr="00FD1D5D">
        <w:t>(1) Von mehreren möglichen und geeigneten Maßnahmen haben die allgemeinen Ordnungsbehörden und die Polizei diejenige zu treffen, die den Einzelnen und die Allgemeinheit voraussichtli</w:t>
      </w:r>
      <w:r w:rsidR="00B855DA">
        <w:t>ch am wenigsten beeinträchtigt.</w:t>
      </w:r>
    </w:p>
    <w:p w14:paraId="48A4F054" w14:textId="676F5A77" w:rsidR="00FD1D5D" w:rsidRPr="00FD1D5D" w:rsidRDefault="00FD1D5D" w:rsidP="00FD1D5D">
      <w:r w:rsidRPr="00FD1D5D">
        <w:t>(2) Eine Maßnahme darf nicht zu einem Nachteil führen, der zu dem erstrebten Erfolg erkennbar außer Verh</w:t>
      </w:r>
      <w:r w:rsidR="00B855DA">
        <w:t>ältnis steht.</w:t>
      </w:r>
    </w:p>
    <w:p w14:paraId="60B56CA4" w14:textId="77777777" w:rsidR="00FD1D5D" w:rsidRPr="00095F85" w:rsidRDefault="00FD1D5D" w:rsidP="00FD1D5D">
      <w:pPr>
        <w:rPr>
          <w:b/>
        </w:rPr>
      </w:pPr>
      <w:r w:rsidRPr="00095F85">
        <w:rPr>
          <w:b/>
        </w:rPr>
        <w:t>§ 4 Verantwortlichkeit für das Verhalten von Personen</w:t>
      </w:r>
    </w:p>
    <w:p w14:paraId="2B15BA94" w14:textId="77777777" w:rsidR="00FD1D5D" w:rsidRPr="00FD1D5D" w:rsidRDefault="00FD1D5D" w:rsidP="00FD1D5D">
      <w:r w:rsidRPr="00FD1D5D">
        <w:t>(1) Verursacht eine Person eine Gefahr, so sind die Maßnahmen gegen sie zu richten.</w:t>
      </w:r>
    </w:p>
    <w:p w14:paraId="4ABC49D9" w14:textId="77777777" w:rsidR="00FD1D5D" w:rsidRPr="00095F85" w:rsidRDefault="00FD1D5D" w:rsidP="00FD1D5D">
      <w:pPr>
        <w:rPr>
          <w:b/>
        </w:rPr>
      </w:pPr>
      <w:r w:rsidRPr="00095F85">
        <w:rPr>
          <w:b/>
        </w:rPr>
        <w:t>§ 9 Allgemeine Befugnisse</w:t>
      </w:r>
    </w:p>
    <w:p w14:paraId="3469E146" w14:textId="77777777" w:rsidR="00FD1D5D" w:rsidRPr="00FD1D5D" w:rsidRDefault="00FD1D5D" w:rsidP="00FD1D5D">
      <w:r w:rsidRPr="00FD1D5D">
        <w:t xml:space="preserve">(1) </w:t>
      </w:r>
      <w:r w:rsidRPr="00FD1D5D">
        <w:rPr>
          <w:vertAlign w:val="superscript"/>
        </w:rPr>
        <w:t>1</w:t>
      </w:r>
      <w:r w:rsidRPr="00FD1D5D">
        <w:t xml:space="preserve">Die allgemeinen Ordnungsbehörden und die Polizei können die notwendigen Maßnahmen treffen, um eine im einzelnen Fall bestehende Gefahr für die öffentliche Sicherheit oder Ordnung abzuwehren, soweit nicht die §§ 9a bis 42 ihre Befugnisse besonders regeln. […] </w:t>
      </w:r>
    </w:p>
    <w:p w14:paraId="5CF4134B" w14:textId="4241A08D" w:rsidR="00FD1D5D" w:rsidRPr="00FD1D5D" w:rsidRDefault="00FD1D5D" w:rsidP="00FD1D5D">
      <w:r w:rsidRPr="00FD1D5D">
        <w:t xml:space="preserve">(2) </w:t>
      </w:r>
      <w:r w:rsidRPr="00FD1D5D">
        <w:rPr>
          <w:vertAlign w:val="superscript"/>
        </w:rPr>
        <w:t>1</w:t>
      </w:r>
      <w:r w:rsidRPr="00FD1D5D">
        <w:t xml:space="preserve">Zur Erfüllung der Aufgaben, die den allgemeinen Ordnungsbehörden oder der Polizei durch andere Rechtsvorschriften übertragen sind (§ 1 </w:t>
      </w:r>
      <w:r w:rsidR="00B855DA">
        <w:t>Abs. 2</w:t>
      </w:r>
      <w:r w:rsidRPr="00FD1D5D">
        <w:t xml:space="preserve">), haben diese die dort vorgesehenen Befugnisse. </w:t>
      </w:r>
      <w:r w:rsidRPr="00FD1D5D">
        <w:rPr>
          <w:vertAlign w:val="superscript"/>
        </w:rPr>
        <w:t>2</w:t>
      </w:r>
      <w:r w:rsidRPr="00FD1D5D">
        <w:t>Soweit solche Rechtsvorschriften Befugnisse nicht regeln, haben diese die Befugnisse, die ihnen nach diesem Gesetz zustehen.</w:t>
      </w:r>
    </w:p>
    <w:p w14:paraId="63570778" w14:textId="77777777" w:rsidR="00FD1D5D" w:rsidRPr="00095F85" w:rsidRDefault="00FD1D5D" w:rsidP="00FD1D5D">
      <w:pPr>
        <w:rPr>
          <w:b/>
        </w:rPr>
      </w:pPr>
      <w:r w:rsidRPr="00095F85">
        <w:rPr>
          <w:b/>
        </w:rPr>
        <w:t>§ 89 Allgemeine Ordnungsbehörden</w:t>
      </w:r>
    </w:p>
    <w:p w14:paraId="40F52AA2" w14:textId="61B89A34" w:rsidR="0001383E" w:rsidRPr="00095F85" w:rsidRDefault="00FD1D5D" w:rsidP="00095F85">
      <w:r w:rsidRPr="00FD1D5D">
        <w:t>(3) Landesordnungsbehörde ist die Aufsichts</w:t>
      </w:r>
      <w:r w:rsidR="00095F85">
        <w:t>- und Dienstleistungsdirektion.</w:t>
      </w:r>
      <w:r w:rsidR="0001383E">
        <w:br w:type="page"/>
      </w:r>
    </w:p>
    <w:p w14:paraId="1C7D811C" w14:textId="67DDBEFF" w:rsidR="002C6282" w:rsidRDefault="002C6282" w:rsidP="0001383E">
      <w:pPr>
        <w:pStyle w:val="berschrift3"/>
      </w:pPr>
      <w:r w:rsidRPr="002C6282">
        <w:t>Lösungsgliederung</w:t>
      </w:r>
    </w:p>
    <w:p w14:paraId="2598D1A6" w14:textId="77777777" w:rsidR="00CA43AE" w:rsidRPr="00CA43AE" w:rsidRDefault="00CA43AE" w:rsidP="00CA43AE">
      <w:pPr>
        <w:pStyle w:val="Randnummer"/>
        <w:framePr w:wrap="around"/>
      </w:pPr>
    </w:p>
    <w:p w14:paraId="59014174" w14:textId="1789D682" w:rsidR="007537A8" w:rsidRDefault="00CA43AE">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"Fall5" </w:instrText>
      </w:r>
      <w:r>
        <w:rPr>
          <w:rFonts w:eastAsiaTheme="majorEastAsia"/>
        </w:rPr>
        <w:fldChar w:fldCharType="separate"/>
      </w:r>
      <w:hyperlink w:anchor="_Toc22133044" w:history="1">
        <w:r w:rsidR="007537A8" w:rsidRPr="00B85486">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_Toc22133044 \h </w:instrText>
        </w:r>
        <w:r w:rsidR="007537A8">
          <w:rPr>
            <w:noProof/>
            <w:webHidden/>
          </w:rPr>
        </w:r>
        <w:r w:rsidR="007537A8">
          <w:rPr>
            <w:noProof/>
            <w:webHidden/>
          </w:rPr>
          <w:fldChar w:fldCharType="separate"/>
        </w:r>
        <w:r w:rsidR="007537A8">
          <w:rPr>
            <w:noProof/>
            <w:webHidden/>
          </w:rPr>
          <w:t>65</w:t>
        </w:r>
        <w:r w:rsidR="007537A8">
          <w:rPr>
            <w:noProof/>
            <w:webHidden/>
          </w:rPr>
          <w:fldChar w:fldCharType="end"/>
        </w:r>
      </w:hyperlink>
    </w:p>
    <w:p w14:paraId="2038F3BB" w14:textId="1BD4884F" w:rsidR="007537A8" w:rsidRDefault="00091FED">
      <w:pPr>
        <w:pStyle w:val="Verzeichnis4"/>
        <w:tabs>
          <w:tab w:val="right" w:leader="dot" w:pos="7361"/>
        </w:tabs>
        <w:rPr>
          <w:rFonts w:eastAsiaTheme="minorEastAsia"/>
          <w:noProof/>
          <w:sz w:val="22"/>
          <w:szCs w:val="22"/>
          <w:lang w:eastAsia="de-DE"/>
        </w:rPr>
      </w:pPr>
      <w:hyperlink w:anchor="_Toc22133045" w:history="1">
        <w:r w:rsidR="007537A8" w:rsidRPr="00B85486">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_Toc22133045 \h </w:instrText>
        </w:r>
        <w:r w:rsidR="007537A8">
          <w:rPr>
            <w:noProof/>
            <w:webHidden/>
          </w:rPr>
        </w:r>
        <w:r w:rsidR="007537A8">
          <w:rPr>
            <w:noProof/>
            <w:webHidden/>
          </w:rPr>
          <w:fldChar w:fldCharType="separate"/>
        </w:r>
        <w:r w:rsidR="007537A8">
          <w:rPr>
            <w:noProof/>
            <w:webHidden/>
          </w:rPr>
          <w:t>65</w:t>
        </w:r>
        <w:r w:rsidR="007537A8">
          <w:rPr>
            <w:noProof/>
            <w:webHidden/>
          </w:rPr>
          <w:fldChar w:fldCharType="end"/>
        </w:r>
      </w:hyperlink>
    </w:p>
    <w:p w14:paraId="43EB18B0" w14:textId="3A7EBABC" w:rsidR="007537A8" w:rsidRDefault="00091FED">
      <w:pPr>
        <w:pStyle w:val="Verzeichnis5"/>
        <w:tabs>
          <w:tab w:val="right" w:leader="dot" w:pos="7361"/>
        </w:tabs>
        <w:rPr>
          <w:rFonts w:eastAsiaTheme="minorEastAsia"/>
          <w:noProof/>
          <w:sz w:val="22"/>
          <w:szCs w:val="22"/>
          <w:lang w:eastAsia="de-DE"/>
        </w:rPr>
      </w:pPr>
      <w:hyperlink w:anchor="_Toc22133046" w:history="1">
        <w:r w:rsidR="007537A8" w:rsidRPr="00B85486">
          <w:rPr>
            <w:rStyle w:val="Hyperlink"/>
            <w:noProof/>
          </w:rPr>
          <w:t>I. Verwaltungsrechtsweg</w:t>
        </w:r>
        <w:r w:rsidR="007537A8">
          <w:rPr>
            <w:noProof/>
            <w:webHidden/>
          </w:rPr>
          <w:tab/>
        </w:r>
        <w:r w:rsidR="007537A8">
          <w:rPr>
            <w:noProof/>
            <w:webHidden/>
          </w:rPr>
          <w:fldChar w:fldCharType="begin"/>
        </w:r>
        <w:r w:rsidR="007537A8">
          <w:rPr>
            <w:noProof/>
            <w:webHidden/>
          </w:rPr>
          <w:instrText xml:space="preserve"> PAGEREF _Toc22133046 \h </w:instrText>
        </w:r>
        <w:r w:rsidR="007537A8">
          <w:rPr>
            <w:noProof/>
            <w:webHidden/>
          </w:rPr>
        </w:r>
        <w:r w:rsidR="007537A8">
          <w:rPr>
            <w:noProof/>
            <w:webHidden/>
          </w:rPr>
          <w:fldChar w:fldCharType="separate"/>
        </w:r>
        <w:r w:rsidR="007537A8">
          <w:rPr>
            <w:noProof/>
            <w:webHidden/>
          </w:rPr>
          <w:t>65</w:t>
        </w:r>
        <w:r w:rsidR="007537A8">
          <w:rPr>
            <w:noProof/>
            <w:webHidden/>
          </w:rPr>
          <w:fldChar w:fldCharType="end"/>
        </w:r>
      </w:hyperlink>
    </w:p>
    <w:p w14:paraId="2D1EE3EB" w14:textId="693122DC" w:rsidR="007537A8" w:rsidRDefault="00091FED">
      <w:pPr>
        <w:pStyle w:val="Verzeichnis5"/>
        <w:tabs>
          <w:tab w:val="right" w:leader="dot" w:pos="7361"/>
        </w:tabs>
        <w:rPr>
          <w:rFonts w:eastAsiaTheme="minorEastAsia"/>
          <w:noProof/>
          <w:sz w:val="22"/>
          <w:szCs w:val="22"/>
          <w:lang w:eastAsia="de-DE"/>
        </w:rPr>
      </w:pPr>
      <w:hyperlink w:anchor="_Toc22133047" w:history="1">
        <w:r w:rsidR="007537A8" w:rsidRPr="00B85486">
          <w:rPr>
            <w:rStyle w:val="Hyperlink"/>
            <w:noProof/>
          </w:rPr>
          <w:t>II. Statthafte Klageart</w:t>
        </w:r>
        <w:r w:rsidR="007537A8">
          <w:rPr>
            <w:noProof/>
            <w:webHidden/>
          </w:rPr>
          <w:tab/>
        </w:r>
        <w:r w:rsidR="007537A8">
          <w:rPr>
            <w:noProof/>
            <w:webHidden/>
          </w:rPr>
          <w:fldChar w:fldCharType="begin"/>
        </w:r>
        <w:r w:rsidR="007537A8">
          <w:rPr>
            <w:noProof/>
            <w:webHidden/>
          </w:rPr>
          <w:instrText xml:space="preserve"> PAGEREF _Toc22133047 \h </w:instrText>
        </w:r>
        <w:r w:rsidR="007537A8">
          <w:rPr>
            <w:noProof/>
            <w:webHidden/>
          </w:rPr>
        </w:r>
        <w:r w:rsidR="007537A8">
          <w:rPr>
            <w:noProof/>
            <w:webHidden/>
          </w:rPr>
          <w:fldChar w:fldCharType="separate"/>
        </w:r>
        <w:r w:rsidR="007537A8">
          <w:rPr>
            <w:noProof/>
            <w:webHidden/>
          </w:rPr>
          <w:t>65</w:t>
        </w:r>
        <w:r w:rsidR="007537A8">
          <w:rPr>
            <w:noProof/>
            <w:webHidden/>
          </w:rPr>
          <w:fldChar w:fldCharType="end"/>
        </w:r>
      </w:hyperlink>
    </w:p>
    <w:p w14:paraId="151A68E5" w14:textId="16864210" w:rsidR="007537A8" w:rsidRDefault="00091FED">
      <w:pPr>
        <w:pStyle w:val="Verzeichnis5"/>
        <w:tabs>
          <w:tab w:val="right" w:leader="dot" w:pos="7361"/>
        </w:tabs>
        <w:rPr>
          <w:rFonts w:eastAsiaTheme="minorEastAsia"/>
          <w:noProof/>
          <w:sz w:val="22"/>
          <w:szCs w:val="22"/>
          <w:lang w:eastAsia="de-DE"/>
        </w:rPr>
      </w:pPr>
      <w:hyperlink w:anchor="_Toc22133048" w:history="1">
        <w:r w:rsidR="007537A8" w:rsidRPr="00B85486">
          <w:rPr>
            <w:rStyle w:val="Hyperlink"/>
            <w:noProof/>
          </w:rPr>
          <w:t>III. Klagebefugnis</w:t>
        </w:r>
        <w:r w:rsidR="007537A8">
          <w:rPr>
            <w:noProof/>
            <w:webHidden/>
          </w:rPr>
          <w:tab/>
        </w:r>
        <w:r w:rsidR="007537A8">
          <w:rPr>
            <w:noProof/>
            <w:webHidden/>
          </w:rPr>
          <w:fldChar w:fldCharType="begin"/>
        </w:r>
        <w:r w:rsidR="007537A8">
          <w:rPr>
            <w:noProof/>
            <w:webHidden/>
          </w:rPr>
          <w:instrText xml:space="preserve"> PAGEREF _Toc22133048 \h </w:instrText>
        </w:r>
        <w:r w:rsidR="007537A8">
          <w:rPr>
            <w:noProof/>
            <w:webHidden/>
          </w:rPr>
        </w:r>
        <w:r w:rsidR="007537A8">
          <w:rPr>
            <w:noProof/>
            <w:webHidden/>
          </w:rPr>
          <w:fldChar w:fldCharType="separate"/>
        </w:r>
        <w:r w:rsidR="007537A8">
          <w:rPr>
            <w:noProof/>
            <w:webHidden/>
          </w:rPr>
          <w:t>65</w:t>
        </w:r>
        <w:r w:rsidR="007537A8">
          <w:rPr>
            <w:noProof/>
            <w:webHidden/>
          </w:rPr>
          <w:fldChar w:fldCharType="end"/>
        </w:r>
      </w:hyperlink>
    </w:p>
    <w:p w14:paraId="3136C759" w14:textId="4CCA1E62" w:rsidR="007537A8" w:rsidRDefault="00091FED">
      <w:pPr>
        <w:pStyle w:val="Verzeichnis5"/>
        <w:tabs>
          <w:tab w:val="right" w:leader="dot" w:pos="7361"/>
        </w:tabs>
        <w:rPr>
          <w:rFonts w:eastAsiaTheme="minorEastAsia"/>
          <w:noProof/>
          <w:sz w:val="22"/>
          <w:szCs w:val="22"/>
          <w:lang w:eastAsia="de-DE"/>
        </w:rPr>
      </w:pPr>
      <w:hyperlink w:anchor="_Toc22133049" w:history="1">
        <w:r w:rsidR="007537A8" w:rsidRPr="00B85486">
          <w:rPr>
            <w:rStyle w:val="Hyperlink"/>
            <w:noProof/>
          </w:rPr>
          <w:t>IV. Vorverfahren</w:t>
        </w:r>
        <w:r w:rsidR="007537A8">
          <w:rPr>
            <w:noProof/>
            <w:webHidden/>
          </w:rPr>
          <w:tab/>
        </w:r>
        <w:r w:rsidR="007537A8">
          <w:rPr>
            <w:noProof/>
            <w:webHidden/>
          </w:rPr>
          <w:fldChar w:fldCharType="begin"/>
        </w:r>
        <w:r w:rsidR="007537A8">
          <w:rPr>
            <w:noProof/>
            <w:webHidden/>
          </w:rPr>
          <w:instrText xml:space="preserve"> PAGEREF _Toc22133049 \h </w:instrText>
        </w:r>
        <w:r w:rsidR="007537A8">
          <w:rPr>
            <w:noProof/>
            <w:webHidden/>
          </w:rPr>
        </w:r>
        <w:r w:rsidR="007537A8">
          <w:rPr>
            <w:noProof/>
            <w:webHidden/>
          </w:rPr>
          <w:fldChar w:fldCharType="separate"/>
        </w:r>
        <w:r w:rsidR="007537A8">
          <w:rPr>
            <w:noProof/>
            <w:webHidden/>
          </w:rPr>
          <w:t>66</w:t>
        </w:r>
        <w:r w:rsidR="007537A8">
          <w:rPr>
            <w:noProof/>
            <w:webHidden/>
          </w:rPr>
          <w:fldChar w:fldCharType="end"/>
        </w:r>
      </w:hyperlink>
    </w:p>
    <w:p w14:paraId="1D8A76FA" w14:textId="19E764D0" w:rsidR="007537A8" w:rsidRDefault="00091FED">
      <w:pPr>
        <w:pStyle w:val="Verzeichnis5"/>
        <w:tabs>
          <w:tab w:val="right" w:leader="dot" w:pos="7361"/>
        </w:tabs>
        <w:rPr>
          <w:rFonts w:eastAsiaTheme="minorEastAsia"/>
          <w:noProof/>
          <w:sz w:val="22"/>
          <w:szCs w:val="22"/>
          <w:lang w:eastAsia="de-DE"/>
        </w:rPr>
      </w:pPr>
      <w:hyperlink w:anchor="_Toc22133050" w:history="1">
        <w:r w:rsidR="007537A8" w:rsidRPr="00B85486">
          <w:rPr>
            <w:rStyle w:val="Hyperlink"/>
            <w:noProof/>
          </w:rPr>
          <w:t>V. Klagegegner</w:t>
        </w:r>
        <w:r w:rsidR="007537A8">
          <w:rPr>
            <w:noProof/>
            <w:webHidden/>
          </w:rPr>
          <w:tab/>
        </w:r>
        <w:r w:rsidR="007537A8">
          <w:rPr>
            <w:noProof/>
            <w:webHidden/>
          </w:rPr>
          <w:fldChar w:fldCharType="begin"/>
        </w:r>
        <w:r w:rsidR="007537A8">
          <w:rPr>
            <w:noProof/>
            <w:webHidden/>
          </w:rPr>
          <w:instrText xml:space="preserve"> PAGEREF _Toc22133050 \h </w:instrText>
        </w:r>
        <w:r w:rsidR="007537A8">
          <w:rPr>
            <w:noProof/>
            <w:webHidden/>
          </w:rPr>
        </w:r>
        <w:r w:rsidR="007537A8">
          <w:rPr>
            <w:noProof/>
            <w:webHidden/>
          </w:rPr>
          <w:fldChar w:fldCharType="separate"/>
        </w:r>
        <w:r w:rsidR="007537A8">
          <w:rPr>
            <w:noProof/>
            <w:webHidden/>
          </w:rPr>
          <w:t>68</w:t>
        </w:r>
        <w:r w:rsidR="007537A8">
          <w:rPr>
            <w:noProof/>
            <w:webHidden/>
          </w:rPr>
          <w:fldChar w:fldCharType="end"/>
        </w:r>
      </w:hyperlink>
    </w:p>
    <w:p w14:paraId="64031FE6" w14:textId="1D2B76C1" w:rsidR="007537A8" w:rsidRDefault="00091FED">
      <w:pPr>
        <w:pStyle w:val="Verzeichnis5"/>
        <w:tabs>
          <w:tab w:val="right" w:leader="dot" w:pos="7361"/>
        </w:tabs>
        <w:rPr>
          <w:rFonts w:eastAsiaTheme="minorEastAsia"/>
          <w:noProof/>
          <w:sz w:val="22"/>
          <w:szCs w:val="22"/>
          <w:lang w:eastAsia="de-DE"/>
        </w:rPr>
      </w:pPr>
      <w:hyperlink w:anchor="_Toc22133051" w:history="1">
        <w:r w:rsidR="007537A8" w:rsidRPr="00B85486">
          <w:rPr>
            <w:rStyle w:val="Hyperlink"/>
            <w:noProof/>
          </w:rPr>
          <w:t>VI. Beteiligungs- und Prozessfähigkeit</w:t>
        </w:r>
        <w:r w:rsidR="007537A8">
          <w:rPr>
            <w:noProof/>
            <w:webHidden/>
          </w:rPr>
          <w:tab/>
        </w:r>
        <w:r w:rsidR="007537A8">
          <w:rPr>
            <w:noProof/>
            <w:webHidden/>
          </w:rPr>
          <w:fldChar w:fldCharType="begin"/>
        </w:r>
        <w:r w:rsidR="007537A8">
          <w:rPr>
            <w:noProof/>
            <w:webHidden/>
          </w:rPr>
          <w:instrText xml:space="preserve"> PAGEREF _Toc22133051 \h </w:instrText>
        </w:r>
        <w:r w:rsidR="007537A8">
          <w:rPr>
            <w:noProof/>
            <w:webHidden/>
          </w:rPr>
        </w:r>
        <w:r w:rsidR="007537A8">
          <w:rPr>
            <w:noProof/>
            <w:webHidden/>
          </w:rPr>
          <w:fldChar w:fldCharType="separate"/>
        </w:r>
        <w:r w:rsidR="007537A8">
          <w:rPr>
            <w:noProof/>
            <w:webHidden/>
          </w:rPr>
          <w:t>68</w:t>
        </w:r>
        <w:r w:rsidR="007537A8">
          <w:rPr>
            <w:noProof/>
            <w:webHidden/>
          </w:rPr>
          <w:fldChar w:fldCharType="end"/>
        </w:r>
      </w:hyperlink>
    </w:p>
    <w:p w14:paraId="66EB948B" w14:textId="43D43FF8" w:rsidR="007537A8" w:rsidRDefault="00091FED">
      <w:pPr>
        <w:pStyle w:val="Verzeichnis5"/>
        <w:tabs>
          <w:tab w:val="right" w:leader="dot" w:pos="7361"/>
        </w:tabs>
        <w:rPr>
          <w:rFonts w:eastAsiaTheme="minorEastAsia"/>
          <w:noProof/>
          <w:sz w:val="22"/>
          <w:szCs w:val="22"/>
          <w:lang w:eastAsia="de-DE"/>
        </w:rPr>
      </w:pPr>
      <w:hyperlink w:anchor="_Toc22133052" w:history="1">
        <w:r w:rsidR="007537A8" w:rsidRPr="00B85486">
          <w:rPr>
            <w:rStyle w:val="Hyperlink"/>
            <w:noProof/>
          </w:rPr>
          <w:t>VII. Form und Frist</w:t>
        </w:r>
        <w:r w:rsidR="007537A8">
          <w:rPr>
            <w:noProof/>
            <w:webHidden/>
          </w:rPr>
          <w:tab/>
        </w:r>
        <w:r w:rsidR="007537A8">
          <w:rPr>
            <w:noProof/>
            <w:webHidden/>
          </w:rPr>
          <w:fldChar w:fldCharType="begin"/>
        </w:r>
        <w:r w:rsidR="007537A8">
          <w:rPr>
            <w:noProof/>
            <w:webHidden/>
          </w:rPr>
          <w:instrText xml:space="preserve"> PAGEREF _Toc22133052 \h </w:instrText>
        </w:r>
        <w:r w:rsidR="007537A8">
          <w:rPr>
            <w:noProof/>
            <w:webHidden/>
          </w:rPr>
        </w:r>
        <w:r w:rsidR="007537A8">
          <w:rPr>
            <w:noProof/>
            <w:webHidden/>
          </w:rPr>
          <w:fldChar w:fldCharType="separate"/>
        </w:r>
        <w:r w:rsidR="007537A8">
          <w:rPr>
            <w:noProof/>
            <w:webHidden/>
          </w:rPr>
          <w:t>68</w:t>
        </w:r>
        <w:r w:rsidR="007537A8">
          <w:rPr>
            <w:noProof/>
            <w:webHidden/>
          </w:rPr>
          <w:fldChar w:fldCharType="end"/>
        </w:r>
      </w:hyperlink>
    </w:p>
    <w:p w14:paraId="76AE781A" w14:textId="5591DC2D" w:rsidR="007537A8" w:rsidRDefault="00091FED">
      <w:pPr>
        <w:pStyle w:val="Verzeichnis5"/>
        <w:tabs>
          <w:tab w:val="right" w:leader="dot" w:pos="7361"/>
        </w:tabs>
        <w:rPr>
          <w:rFonts w:eastAsiaTheme="minorEastAsia"/>
          <w:noProof/>
          <w:sz w:val="22"/>
          <w:szCs w:val="22"/>
          <w:lang w:eastAsia="de-DE"/>
        </w:rPr>
      </w:pPr>
      <w:hyperlink w:anchor="_Toc22133053" w:history="1">
        <w:r w:rsidR="007537A8" w:rsidRPr="00B85486">
          <w:rPr>
            <w:rStyle w:val="Hyperlink"/>
            <w:noProof/>
          </w:rPr>
          <w:t>VIII. Zwischenergebnis</w:t>
        </w:r>
        <w:r w:rsidR="007537A8">
          <w:rPr>
            <w:noProof/>
            <w:webHidden/>
          </w:rPr>
          <w:tab/>
        </w:r>
        <w:r w:rsidR="007537A8">
          <w:rPr>
            <w:noProof/>
            <w:webHidden/>
          </w:rPr>
          <w:fldChar w:fldCharType="begin"/>
        </w:r>
        <w:r w:rsidR="007537A8">
          <w:rPr>
            <w:noProof/>
            <w:webHidden/>
          </w:rPr>
          <w:instrText xml:space="preserve"> PAGEREF _Toc22133053 \h </w:instrText>
        </w:r>
        <w:r w:rsidR="007537A8">
          <w:rPr>
            <w:noProof/>
            <w:webHidden/>
          </w:rPr>
        </w:r>
        <w:r w:rsidR="007537A8">
          <w:rPr>
            <w:noProof/>
            <w:webHidden/>
          </w:rPr>
          <w:fldChar w:fldCharType="separate"/>
        </w:r>
        <w:r w:rsidR="007537A8">
          <w:rPr>
            <w:noProof/>
            <w:webHidden/>
          </w:rPr>
          <w:t>68</w:t>
        </w:r>
        <w:r w:rsidR="007537A8">
          <w:rPr>
            <w:noProof/>
            <w:webHidden/>
          </w:rPr>
          <w:fldChar w:fldCharType="end"/>
        </w:r>
      </w:hyperlink>
    </w:p>
    <w:p w14:paraId="1E4274F5" w14:textId="29CB9ED2" w:rsidR="007537A8" w:rsidRDefault="00091FED">
      <w:pPr>
        <w:pStyle w:val="Verzeichnis4"/>
        <w:tabs>
          <w:tab w:val="right" w:leader="dot" w:pos="7361"/>
        </w:tabs>
        <w:rPr>
          <w:rFonts w:eastAsiaTheme="minorEastAsia"/>
          <w:noProof/>
          <w:sz w:val="22"/>
          <w:szCs w:val="22"/>
          <w:lang w:eastAsia="de-DE"/>
        </w:rPr>
      </w:pPr>
      <w:hyperlink w:anchor="_Toc22133054" w:history="1">
        <w:r w:rsidR="007537A8" w:rsidRPr="00B85486">
          <w:rPr>
            <w:rStyle w:val="Hyperlink"/>
            <w:noProof/>
          </w:rPr>
          <w:t>B. Notwendige Beiladung des X</w:t>
        </w:r>
        <w:r w:rsidR="007537A8">
          <w:rPr>
            <w:noProof/>
            <w:webHidden/>
          </w:rPr>
          <w:tab/>
        </w:r>
        <w:r w:rsidR="007537A8">
          <w:rPr>
            <w:noProof/>
            <w:webHidden/>
          </w:rPr>
          <w:fldChar w:fldCharType="begin"/>
        </w:r>
        <w:r w:rsidR="007537A8">
          <w:rPr>
            <w:noProof/>
            <w:webHidden/>
          </w:rPr>
          <w:instrText xml:space="preserve"> PAGEREF _Toc22133054 \h </w:instrText>
        </w:r>
        <w:r w:rsidR="007537A8">
          <w:rPr>
            <w:noProof/>
            <w:webHidden/>
          </w:rPr>
        </w:r>
        <w:r w:rsidR="007537A8">
          <w:rPr>
            <w:noProof/>
            <w:webHidden/>
          </w:rPr>
          <w:fldChar w:fldCharType="separate"/>
        </w:r>
        <w:r w:rsidR="007537A8">
          <w:rPr>
            <w:noProof/>
            <w:webHidden/>
          </w:rPr>
          <w:t>68</w:t>
        </w:r>
        <w:r w:rsidR="007537A8">
          <w:rPr>
            <w:noProof/>
            <w:webHidden/>
          </w:rPr>
          <w:fldChar w:fldCharType="end"/>
        </w:r>
      </w:hyperlink>
    </w:p>
    <w:p w14:paraId="768DAA0D" w14:textId="118FC6C2" w:rsidR="007537A8" w:rsidRDefault="00091FED">
      <w:pPr>
        <w:pStyle w:val="Verzeichnis4"/>
        <w:tabs>
          <w:tab w:val="right" w:leader="dot" w:pos="7361"/>
        </w:tabs>
        <w:rPr>
          <w:rFonts w:eastAsiaTheme="minorEastAsia"/>
          <w:noProof/>
          <w:sz w:val="22"/>
          <w:szCs w:val="22"/>
          <w:lang w:eastAsia="de-DE"/>
        </w:rPr>
      </w:pPr>
      <w:hyperlink w:anchor="_Toc22133055" w:history="1">
        <w:r w:rsidR="007537A8" w:rsidRPr="00B85486">
          <w:rPr>
            <w:rStyle w:val="Hyperlink"/>
            <w:noProof/>
          </w:rPr>
          <w:t>C. Begründetheit</w:t>
        </w:r>
        <w:r w:rsidR="007537A8">
          <w:rPr>
            <w:noProof/>
            <w:webHidden/>
          </w:rPr>
          <w:tab/>
        </w:r>
        <w:r w:rsidR="007537A8">
          <w:rPr>
            <w:noProof/>
            <w:webHidden/>
          </w:rPr>
          <w:fldChar w:fldCharType="begin"/>
        </w:r>
        <w:r w:rsidR="007537A8">
          <w:rPr>
            <w:noProof/>
            <w:webHidden/>
          </w:rPr>
          <w:instrText xml:space="preserve"> PAGEREF _Toc22133055 \h </w:instrText>
        </w:r>
        <w:r w:rsidR="007537A8">
          <w:rPr>
            <w:noProof/>
            <w:webHidden/>
          </w:rPr>
        </w:r>
        <w:r w:rsidR="007537A8">
          <w:rPr>
            <w:noProof/>
            <w:webHidden/>
          </w:rPr>
          <w:fldChar w:fldCharType="separate"/>
        </w:r>
        <w:r w:rsidR="007537A8">
          <w:rPr>
            <w:noProof/>
            <w:webHidden/>
          </w:rPr>
          <w:t>69</w:t>
        </w:r>
        <w:r w:rsidR="007537A8">
          <w:rPr>
            <w:noProof/>
            <w:webHidden/>
          </w:rPr>
          <w:fldChar w:fldCharType="end"/>
        </w:r>
      </w:hyperlink>
    </w:p>
    <w:p w14:paraId="33C1A6C4" w14:textId="309684D1" w:rsidR="007537A8" w:rsidRDefault="00091FED">
      <w:pPr>
        <w:pStyle w:val="Verzeichnis5"/>
        <w:tabs>
          <w:tab w:val="right" w:leader="dot" w:pos="7361"/>
        </w:tabs>
        <w:rPr>
          <w:rFonts w:eastAsiaTheme="minorEastAsia"/>
          <w:noProof/>
          <w:sz w:val="22"/>
          <w:szCs w:val="22"/>
          <w:lang w:eastAsia="de-DE"/>
        </w:rPr>
      </w:pPr>
      <w:hyperlink w:anchor="_Toc22133056" w:history="1">
        <w:r w:rsidR="007537A8" w:rsidRPr="00B85486">
          <w:rPr>
            <w:rStyle w:val="Hyperlink"/>
            <w:noProof/>
          </w:rPr>
          <w:t>I. Rechtmäßigkeit einer Löschungsanordnung</w:t>
        </w:r>
        <w:r w:rsidR="007537A8">
          <w:rPr>
            <w:noProof/>
            <w:webHidden/>
          </w:rPr>
          <w:tab/>
        </w:r>
        <w:r w:rsidR="007537A8">
          <w:rPr>
            <w:noProof/>
            <w:webHidden/>
          </w:rPr>
          <w:fldChar w:fldCharType="begin"/>
        </w:r>
        <w:r w:rsidR="007537A8">
          <w:rPr>
            <w:noProof/>
            <w:webHidden/>
          </w:rPr>
          <w:instrText xml:space="preserve"> PAGEREF _Toc22133056 \h </w:instrText>
        </w:r>
        <w:r w:rsidR="007537A8">
          <w:rPr>
            <w:noProof/>
            <w:webHidden/>
          </w:rPr>
        </w:r>
        <w:r w:rsidR="007537A8">
          <w:rPr>
            <w:noProof/>
            <w:webHidden/>
          </w:rPr>
          <w:fldChar w:fldCharType="separate"/>
        </w:r>
        <w:r w:rsidR="007537A8">
          <w:rPr>
            <w:noProof/>
            <w:webHidden/>
          </w:rPr>
          <w:t>69</w:t>
        </w:r>
        <w:r w:rsidR="007537A8">
          <w:rPr>
            <w:noProof/>
            <w:webHidden/>
          </w:rPr>
          <w:fldChar w:fldCharType="end"/>
        </w:r>
      </w:hyperlink>
    </w:p>
    <w:p w14:paraId="2727725D" w14:textId="7DF1AA8D" w:rsidR="007537A8" w:rsidRDefault="00091FED">
      <w:pPr>
        <w:pStyle w:val="Verzeichnis6"/>
        <w:tabs>
          <w:tab w:val="right" w:leader="dot" w:pos="7361"/>
        </w:tabs>
        <w:rPr>
          <w:noProof/>
          <w:sz w:val="22"/>
          <w:szCs w:val="22"/>
          <w:lang w:eastAsia="de-DE"/>
        </w:rPr>
      </w:pPr>
      <w:hyperlink w:anchor="_Toc22133057" w:history="1">
        <w:r w:rsidR="007537A8" w:rsidRPr="00B85486">
          <w:rPr>
            <w:rStyle w:val="Hyperlink"/>
            <w:noProof/>
          </w:rPr>
          <w:t>1. Ermächtigungsgrundlage</w:t>
        </w:r>
        <w:r w:rsidR="007537A8">
          <w:rPr>
            <w:noProof/>
            <w:webHidden/>
          </w:rPr>
          <w:tab/>
        </w:r>
        <w:r w:rsidR="007537A8">
          <w:rPr>
            <w:noProof/>
            <w:webHidden/>
          </w:rPr>
          <w:fldChar w:fldCharType="begin"/>
        </w:r>
        <w:r w:rsidR="007537A8">
          <w:rPr>
            <w:noProof/>
            <w:webHidden/>
          </w:rPr>
          <w:instrText xml:space="preserve"> PAGEREF _Toc22133057 \h </w:instrText>
        </w:r>
        <w:r w:rsidR="007537A8">
          <w:rPr>
            <w:noProof/>
            <w:webHidden/>
          </w:rPr>
        </w:r>
        <w:r w:rsidR="007537A8">
          <w:rPr>
            <w:noProof/>
            <w:webHidden/>
          </w:rPr>
          <w:fldChar w:fldCharType="separate"/>
        </w:r>
        <w:r w:rsidR="007537A8">
          <w:rPr>
            <w:noProof/>
            <w:webHidden/>
          </w:rPr>
          <w:t>69</w:t>
        </w:r>
        <w:r w:rsidR="007537A8">
          <w:rPr>
            <w:noProof/>
            <w:webHidden/>
          </w:rPr>
          <w:fldChar w:fldCharType="end"/>
        </w:r>
      </w:hyperlink>
    </w:p>
    <w:p w14:paraId="2F5B265D" w14:textId="059ACC29" w:rsidR="007537A8" w:rsidRDefault="00091FED">
      <w:pPr>
        <w:pStyle w:val="Verzeichnis6"/>
        <w:tabs>
          <w:tab w:val="right" w:leader="dot" w:pos="7361"/>
        </w:tabs>
        <w:rPr>
          <w:noProof/>
          <w:sz w:val="22"/>
          <w:szCs w:val="22"/>
          <w:lang w:eastAsia="de-DE"/>
        </w:rPr>
      </w:pPr>
      <w:hyperlink w:anchor="_Toc22133058" w:history="1">
        <w:r w:rsidR="007537A8" w:rsidRPr="00B85486">
          <w:rPr>
            <w:rStyle w:val="Hyperlink"/>
            <w:noProof/>
          </w:rPr>
          <w:t>2. Formelle Rechtmäßigkeit</w:t>
        </w:r>
        <w:r w:rsidR="007537A8">
          <w:rPr>
            <w:noProof/>
            <w:webHidden/>
          </w:rPr>
          <w:tab/>
        </w:r>
        <w:r w:rsidR="007537A8">
          <w:rPr>
            <w:noProof/>
            <w:webHidden/>
          </w:rPr>
          <w:fldChar w:fldCharType="begin"/>
        </w:r>
        <w:r w:rsidR="007537A8">
          <w:rPr>
            <w:noProof/>
            <w:webHidden/>
          </w:rPr>
          <w:instrText xml:space="preserve"> PAGEREF _Toc22133058 \h </w:instrText>
        </w:r>
        <w:r w:rsidR="007537A8">
          <w:rPr>
            <w:noProof/>
            <w:webHidden/>
          </w:rPr>
        </w:r>
        <w:r w:rsidR="007537A8">
          <w:rPr>
            <w:noProof/>
            <w:webHidden/>
          </w:rPr>
          <w:fldChar w:fldCharType="separate"/>
        </w:r>
        <w:r w:rsidR="007537A8">
          <w:rPr>
            <w:noProof/>
            <w:webHidden/>
          </w:rPr>
          <w:t>70</w:t>
        </w:r>
        <w:r w:rsidR="007537A8">
          <w:rPr>
            <w:noProof/>
            <w:webHidden/>
          </w:rPr>
          <w:fldChar w:fldCharType="end"/>
        </w:r>
      </w:hyperlink>
    </w:p>
    <w:p w14:paraId="56DB89B0" w14:textId="01134DD1" w:rsidR="007537A8" w:rsidRDefault="00091FED">
      <w:pPr>
        <w:pStyle w:val="Verzeichnis6"/>
        <w:tabs>
          <w:tab w:val="right" w:leader="dot" w:pos="7361"/>
        </w:tabs>
        <w:rPr>
          <w:noProof/>
          <w:sz w:val="22"/>
          <w:szCs w:val="22"/>
          <w:lang w:eastAsia="de-DE"/>
        </w:rPr>
      </w:pPr>
      <w:hyperlink w:anchor="_Toc22133059" w:history="1">
        <w:r w:rsidR="007537A8" w:rsidRPr="00B85486">
          <w:rPr>
            <w:rStyle w:val="Hyperlink"/>
            <w:noProof/>
          </w:rPr>
          <w:t>3. Materielle Rechtmäßigkeit</w:t>
        </w:r>
        <w:r w:rsidR="007537A8">
          <w:rPr>
            <w:noProof/>
            <w:webHidden/>
          </w:rPr>
          <w:tab/>
        </w:r>
        <w:r w:rsidR="007537A8">
          <w:rPr>
            <w:noProof/>
            <w:webHidden/>
          </w:rPr>
          <w:fldChar w:fldCharType="begin"/>
        </w:r>
        <w:r w:rsidR="007537A8">
          <w:rPr>
            <w:noProof/>
            <w:webHidden/>
          </w:rPr>
          <w:instrText xml:space="preserve"> PAGEREF _Toc22133059 \h </w:instrText>
        </w:r>
        <w:r w:rsidR="007537A8">
          <w:rPr>
            <w:noProof/>
            <w:webHidden/>
          </w:rPr>
        </w:r>
        <w:r w:rsidR="007537A8">
          <w:rPr>
            <w:noProof/>
            <w:webHidden/>
          </w:rPr>
          <w:fldChar w:fldCharType="separate"/>
        </w:r>
        <w:r w:rsidR="007537A8">
          <w:rPr>
            <w:noProof/>
            <w:webHidden/>
          </w:rPr>
          <w:t>72</w:t>
        </w:r>
        <w:r w:rsidR="007537A8">
          <w:rPr>
            <w:noProof/>
            <w:webHidden/>
          </w:rPr>
          <w:fldChar w:fldCharType="end"/>
        </w:r>
      </w:hyperlink>
    </w:p>
    <w:p w14:paraId="3F3DFEDA" w14:textId="77C0F377" w:rsidR="007537A8" w:rsidRDefault="00091FED">
      <w:pPr>
        <w:pStyle w:val="Verzeichnis7"/>
        <w:tabs>
          <w:tab w:val="right" w:leader="dot" w:pos="7361"/>
        </w:tabs>
        <w:rPr>
          <w:noProof/>
          <w:sz w:val="22"/>
          <w:szCs w:val="22"/>
          <w:lang w:eastAsia="de-DE"/>
        </w:rPr>
      </w:pPr>
      <w:hyperlink w:anchor="_Toc22133060" w:history="1">
        <w:r w:rsidR="007537A8" w:rsidRPr="00B85486">
          <w:rPr>
            <w:rStyle w:val="Hyperlink"/>
            <w:noProof/>
          </w:rPr>
          <w:t>a) Öffentliche Sicherheit und Ordnung</w:t>
        </w:r>
        <w:r w:rsidR="007537A8">
          <w:rPr>
            <w:noProof/>
            <w:webHidden/>
          </w:rPr>
          <w:tab/>
        </w:r>
        <w:r w:rsidR="007537A8">
          <w:rPr>
            <w:noProof/>
            <w:webHidden/>
          </w:rPr>
          <w:fldChar w:fldCharType="begin"/>
        </w:r>
        <w:r w:rsidR="007537A8">
          <w:rPr>
            <w:noProof/>
            <w:webHidden/>
          </w:rPr>
          <w:instrText xml:space="preserve"> PAGEREF _Toc22133060 \h </w:instrText>
        </w:r>
        <w:r w:rsidR="007537A8">
          <w:rPr>
            <w:noProof/>
            <w:webHidden/>
          </w:rPr>
        </w:r>
        <w:r w:rsidR="007537A8">
          <w:rPr>
            <w:noProof/>
            <w:webHidden/>
          </w:rPr>
          <w:fldChar w:fldCharType="separate"/>
        </w:r>
        <w:r w:rsidR="007537A8">
          <w:rPr>
            <w:noProof/>
            <w:webHidden/>
          </w:rPr>
          <w:t>72</w:t>
        </w:r>
        <w:r w:rsidR="007537A8">
          <w:rPr>
            <w:noProof/>
            <w:webHidden/>
          </w:rPr>
          <w:fldChar w:fldCharType="end"/>
        </w:r>
      </w:hyperlink>
    </w:p>
    <w:p w14:paraId="4866C9D6" w14:textId="3F618E8E" w:rsidR="007537A8" w:rsidRDefault="00091FED">
      <w:pPr>
        <w:pStyle w:val="Verzeichnis7"/>
        <w:tabs>
          <w:tab w:val="right" w:leader="dot" w:pos="7361"/>
        </w:tabs>
        <w:rPr>
          <w:noProof/>
          <w:sz w:val="22"/>
          <w:szCs w:val="22"/>
          <w:lang w:eastAsia="de-DE"/>
        </w:rPr>
      </w:pPr>
      <w:hyperlink w:anchor="_Toc22133061" w:history="1">
        <w:r w:rsidR="007537A8" w:rsidRPr="00B85486">
          <w:rPr>
            <w:rStyle w:val="Hyperlink"/>
            <w:noProof/>
          </w:rPr>
          <w:t>b) Gefahr</w:t>
        </w:r>
        <w:r w:rsidR="007537A8">
          <w:rPr>
            <w:noProof/>
            <w:webHidden/>
          </w:rPr>
          <w:tab/>
        </w:r>
        <w:r w:rsidR="007537A8">
          <w:rPr>
            <w:noProof/>
            <w:webHidden/>
          </w:rPr>
          <w:fldChar w:fldCharType="begin"/>
        </w:r>
        <w:r w:rsidR="007537A8">
          <w:rPr>
            <w:noProof/>
            <w:webHidden/>
          </w:rPr>
          <w:instrText xml:space="preserve"> PAGEREF _Toc22133061 \h </w:instrText>
        </w:r>
        <w:r w:rsidR="007537A8">
          <w:rPr>
            <w:noProof/>
            <w:webHidden/>
          </w:rPr>
        </w:r>
        <w:r w:rsidR="007537A8">
          <w:rPr>
            <w:noProof/>
            <w:webHidden/>
          </w:rPr>
          <w:fldChar w:fldCharType="separate"/>
        </w:r>
        <w:r w:rsidR="007537A8">
          <w:rPr>
            <w:noProof/>
            <w:webHidden/>
          </w:rPr>
          <w:t>73</w:t>
        </w:r>
        <w:r w:rsidR="007537A8">
          <w:rPr>
            <w:noProof/>
            <w:webHidden/>
          </w:rPr>
          <w:fldChar w:fldCharType="end"/>
        </w:r>
      </w:hyperlink>
    </w:p>
    <w:p w14:paraId="2A59EC03" w14:textId="793A9372" w:rsidR="007537A8" w:rsidRDefault="00091FED">
      <w:pPr>
        <w:pStyle w:val="Verzeichnis7"/>
        <w:tabs>
          <w:tab w:val="right" w:leader="dot" w:pos="7361"/>
        </w:tabs>
        <w:rPr>
          <w:noProof/>
          <w:sz w:val="22"/>
          <w:szCs w:val="22"/>
          <w:lang w:eastAsia="de-DE"/>
        </w:rPr>
      </w:pPr>
      <w:hyperlink w:anchor="_Toc22133062" w:history="1">
        <w:r w:rsidR="007537A8" w:rsidRPr="00B85486">
          <w:rPr>
            <w:rStyle w:val="Hyperlink"/>
            <w:noProof/>
          </w:rPr>
          <w:t>c) Störer</w:t>
        </w:r>
        <w:r w:rsidR="007537A8">
          <w:rPr>
            <w:noProof/>
            <w:webHidden/>
          </w:rPr>
          <w:tab/>
        </w:r>
        <w:r w:rsidR="007537A8">
          <w:rPr>
            <w:noProof/>
            <w:webHidden/>
          </w:rPr>
          <w:fldChar w:fldCharType="begin"/>
        </w:r>
        <w:r w:rsidR="007537A8">
          <w:rPr>
            <w:noProof/>
            <w:webHidden/>
          </w:rPr>
          <w:instrText xml:space="preserve"> PAGEREF _Toc22133062 \h </w:instrText>
        </w:r>
        <w:r w:rsidR="007537A8">
          <w:rPr>
            <w:noProof/>
            <w:webHidden/>
          </w:rPr>
        </w:r>
        <w:r w:rsidR="007537A8">
          <w:rPr>
            <w:noProof/>
            <w:webHidden/>
          </w:rPr>
          <w:fldChar w:fldCharType="separate"/>
        </w:r>
        <w:r w:rsidR="007537A8">
          <w:rPr>
            <w:noProof/>
            <w:webHidden/>
          </w:rPr>
          <w:t>74</w:t>
        </w:r>
        <w:r w:rsidR="007537A8">
          <w:rPr>
            <w:noProof/>
            <w:webHidden/>
          </w:rPr>
          <w:fldChar w:fldCharType="end"/>
        </w:r>
      </w:hyperlink>
    </w:p>
    <w:p w14:paraId="56BFFDB0" w14:textId="08D46B49" w:rsidR="007537A8" w:rsidRDefault="00091FED">
      <w:pPr>
        <w:pStyle w:val="Verzeichnis7"/>
        <w:tabs>
          <w:tab w:val="right" w:leader="dot" w:pos="7361"/>
        </w:tabs>
        <w:rPr>
          <w:noProof/>
          <w:sz w:val="22"/>
          <w:szCs w:val="22"/>
          <w:lang w:eastAsia="de-DE"/>
        </w:rPr>
      </w:pPr>
      <w:hyperlink w:anchor="_Toc22133063" w:history="1">
        <w:r w:rsidR="007537A8" w:rsidRPr="00B85486">
          <w:rPr>
            <w:rStyle w:val="Hyperlink"/>
            <w:noProof/>
          </w:rPr>
          <w:t>d) Ermessen</w:t>
        </w:r>
        <w:r w:rsidR="007537A8">
          <w:rPr>
            <w:noProof/>
            <w:webHidden/>
          </w:rPr>
          <w:tab/>
        </w:r>
        <w:r w:rsidR="007537A8">
          <w:rPr>
            <w:noProof/>
            <w:webHidden/>
          </w:rPr>
          <w:fldChar w:fldCharType="begin"/>
        </w:r>
        <w:r w:rsidR="007537A8">
          <w:rPr>
            <w:noProof/>
            <w:webHidden/>
          </w:rPr>
          <w:instrText xml:space="preserve"> PAGEREF _Toc22133063 \h </w:instrText>
        </w:r>
        <w:r w:rsidR="007537A8">
          <w:rPr>
            <w:noProof/>
            <w:webHidden/>
          </w:rPr>
        </w:r>
        <w:r w:rsidR="007537A8">
          <w:rPr>
            <w:noProof/>
            <w:webHidden/>
          </w:rPr>
          <w:fldChar w:fldCharType="separate"/>
        </w:r>
        <w:r w:rsidR="007537A8">
          <w:rPr>
            <w:noProof/>
            <w:webHidden/>
          </w:rPr>
          <w:t>74</w:t>
        </w:r>
        <w:r w:rsidR="007537A8">
          <w:rPr>
            <w:noProof/>
            <w:webHidden/>
          </w:rPr>
          <w:fldChar w:fldCharType="end"/>
        </w:r>
      </w:hyperlink>
    </w:p>
    <w:p w14:paraId="1E743789" w14:textId="12C8AD44" w:rsidR="007537A8" w:rsidRDefault="00091FED">
      <w:pPr>
        <w:pStyle w:val="Verzeichnis8"/>
        <w:tabs>
          <w:tab w:val="right" w:leader="dot" w:pos="7361"/>
        </w:tabs>
        <w:rPr>
          <w:noProof/>
          <w:sz w:val="22"/>
          <w:szCs w:val="22"/>
          <w:lang w:eastAsia="de-DE"/>
        </w:rPr>
      </w:pPr>
      <w:hyperlink w:anchor="_Toc22133064" w:history="1">
        <w:r w:rsidR="007537A8" w:rsidRPr="00B85486">
          <w:rPr>
            <w:rStyle w:val="Hyperlink"/>
            <w:noProof/>
          </w:rPr>
          <w:t>aa) Entschließungsermessen</w:t>
        </w:r>
        <w:r w:rsidR="007537A8">
          <w:rPr>
            <w:noProof/>
            <w:webHidden/>
          </w:rPr>
          <w:tab/>
        </w:r>
        <w:r w:rsidR="007537A8">
          <w:rPr>
            <w:noProof/>
            <w:webHidden/>
          </w:rPr>
          <w:fldChar w:fldCharType="begin"/>
        </w:r>
        <w:r w:rsidR="007537A8">
          <w:rPr>
            <w:noProof/>
            <w:webHidden/>
          </w:rPr>
          <w:instrText xml:space="preserve"> PAGEREF _Toc22133064 \h </w:instrText>
        </w:r>
        <w:r w:rsidR="007537A8">
          <w:rPr>
            <w:noProof/>
            <w:webHidden/>
          </w:rPr>
        </w:r>
        <w:r w:rsidR="007537A8">
          <w:rPr>
            <w:noProof/>
            <w:webHidden/>
          </w:rPr>
          <w:fldChar w:fldCharType="separate"/>
        </w:r>
        <w:r w:rsidR="007537A8">
          <w:rPr>
            <w:noProof/>
            <w:webHidden/>
          </w:rPr>
          <w:t>74</w:t>
        </w:r>
        <w:r w:rsidR="007537A8">
          <w:rPr>
            <w:noProof/>
            <w:webHidden/>
          </w:rPr>
          <w:fldChar w:fldCharType="end"/>
        </w:r>
      </w:hyperlink>
    </w:p>
    <w:p w14:paraId="6B833A24" w14:textId="5A1AACB2" w:rsidR="007537A8" w:rsidRDefault="00091FED">
      <w:pPr>
        <w:pStyle w:val="Verzeichnis8"/>
        <w:tabs>
          <w:tab w:val="right" w:leader="dot" w:pos="7361"/>
        </w:tabs>
        <w:rPr>
          <w:noProof/>
          <w:sz w:val="22"/>
          <w:szCs w:val="22"/>
          <w:lang w:eastAsia="de-DE"/>
        </w:rPr>
      </w:pPr>
      <w:hyperlink w:anchor="_Toc22133065" w:history="1">
        <w:r w:rsidR="007537A8" w:rsidRPr="00B85486">
          <w:rPr>
            <w:rStyle w:val="Hyperlink"/>
            <w:noProof/>
          </w:rPr>
          <w:t>bb) Auswahlermessen</w:t>
        </w:r>
        <w:r w:rsidR="007537A8">
          <w:rPr>
            <w:noProof/>
            <w:webHidden/>
          </w:rPr>
          <w:tab/>
        </w:r>
        <w:r w:rsidR="007537A8">
          <w:rPr>
            <w:noProof/>
            <w:webHidden/>
          </w:rPr>
          <w:fldChar w:fldCharType="begin"/>
        </w:r>
        <w:r w:rsidR="007537A8">
          <w:rPr>
            <w:noProof/>
            <w:webHidden/>
          </w:rPr>
          <w:instrText xml:space="preserve"> PAGEREF _Toc22133065 \h </w:instrText>
        </w:r>
        <w:r w:rsidR="007537A8">
          <w:rPr>
            <w:noProof/>
            <w:webHidden/>
          </w:rPr>
        </w:r>
        <w:r w:rsidR="007537A8">
          <w:rPr>
            <w:noProof/>
            <w:webHidden/>
          </w:rPr>
          <w:fldChar w:fldCharType="separate"/>
        </w:r>
        <w:r w:rsidR="007537A8">
          <w:rPr>
            <w:noProof/>
            <w:webHidden/>
          </w:rPr>
          <w:t>75</w:t>
        </w:r>
        <w:r w:rsidR="007537A8">
          <w:rPr>
            <w:noProof/>
            <w:webHidden/>
          </w:rPr>
          <w:fldChar w:fldCharType="end"/>
        </w:r>
      </w:hyperlink>
    </w:p>
    <w:p w14:paraId="245A59D6" w14:textId="37875DAE" w:rsidR="007537A8" w:rsidRDefault="00091FED">
      <w:pPr>
        <w:pStyle w:val="Verzeichnis9"/>
        <w:tabs>
          <w:tab w:val="right" w:leader="dot" w:pos="7361"/>
        </w:tabs>
        <w:rPr>
          <w:noProof/>
          <w:sz w:val="22"/>
          <w:szCs w:val="22"/>
          <w:lang w:eastAsia="de-DE"/>
        </w:rPr>
      </w:pPr>
      <w:hyperlink w:anchor="_Toc22133066" w:history="1">
        <w:r w:rsidR="007537A8" w:rsidRPr="00B85486">
          <w:rPr>
            <w:rStyle w:val="Hyperlink"/>
            <w:noProof/>
          </w:rPr>
          <w:t>(1) Legitimer Zweck</w:t>
        </w:r>
        <w:r w:rsidR="007537A8">
          <w:rPr>
            <w:noProof/>
            <w:webHidden/>
          </w:rPr>
          <w:tab/>
        </w:r>
        <w:r w:rsidR="007537A8">
          <w:rPr>
            <w:noProof/>
            <w:webHidden/>
          </w:rPr>
          <w:fldChar w:fldCharType="begin"/>
        </w:r>
        <w:r w:rsidR="007537A8">
          <w:rPr>
            <w:noProof/>
            <w:webHidden/>
          </w:rPr>
          <w:instrText xml:space="preserve"> PAGEREF _Toc22133066 \h </w:instrText>
        </w:r>
        <w:r w:rsidR="007537A8">
          <w:rPr>
            <w:noProof/>
            <w:webHidden/>
          </w:rPr>
        </w:r>
        <w:r w:rsidR="007537A8">
          <w:rPr>
            <w:noProof/>
            <w:webHidden/>
          </w:rPr>
          <w:fldChar w:fldCharType="separate"/>
        </w:r>
        <w:r w:rsidR="007537A8">
          <w:rPr>
            <w:noProof/>
            <w:webHidden/>
          </w:rPr>
          <w:t>75</w:t>
        </w:r>
        <w:r w:rsidR="007537A8">
          <w:rPr>
            <w:noProof/>
            <w:webHidden/>
          </w:rPr>
          <w:fldChar w:fldCharType="end"/>
        </w:r>
      </w:hyperlink>
    </w:p>
    <w:p w14:paraId="393529CE" w14:textId="07DBE04A" w:rsidR="007537A8" w:rsidRDefault="00091FED">
      <w:pPr>
        <w:pStyle w:val="Verzeichnis9"/>
        <w:tabs>
          <w:tab w:val="right" w:leader="dot" w:pos="7361"/>
        </w:tabs>
        <w:rPr>
          <w:noProof/>
          <w:sz w:val="22"/>
          <w:szCs w:val="22"/>
          <w:lang w:eastAsia="de-DE"/>
        </w:rPr>
      </w:pPr>
      <w:hyperlink w:anchor="_Toc22133067" w:history="1">
        <w:r w:rsidR="007537A8" w:rsidRPr="00B85486">
          <w:rPr>
            <w:rStyle w:val="Hyperlink"/>
            <w:noProof/>
          </w:rPr>
          <w:t>(2) Geeignetheit</w:t>
        </w:r>
        <w:r w:rsidR="007537A8">
          <w:rPr>
            <w:noProof/>
            <w:webHidden/>
          </w:rPr>
          <w:tab/>
        </w:r>
        <w:r w:rsidR="007537A8">
          <w:rPr>
            <w:noProof/>
            <w:webHidden/>
          </w:rPr>
          <w:fldChar w:fldCharType="begin"/>
        </w:r>
        <w:r w:rsidR="007537A8">
          <w:rPr>
            <w:noProof/>
            <w:webHidden/>
          </w:rPr>
          <w:instrText xml:space="preserve"> PAGEREF _Toc22133067 \h </w:instrText>
        </w:r>
        <w:r w:rsidR="007537A8">
          <w:rPr>
            <w:noProof/>
            <w:webHidden/>
          </w:rPr>
        </w:r>
        <w:r w:rsidR="007537A8">
          <w:rPr>
            <w:noProof/>
            <w:webHidden/>
          </w:rPr>
          <w:fldChar w:fldCharType="separate"/>
        </w:r>
        <w:r w:rsidR="007537A8">
          <w:rPr>
            <w:noProof/>
            <w:webHidden/>
          </w:rPr>
          <w:t>75</w:t>
        </w:r>
        <w:r w:rsidR="007537A8">
          <w:rPr>
            <w:noProof/>
            <w:webHidden/>
          </w:rPr>
          <w:fldChar w:fldCharType="end"/>
        </w:r>
      </w:hyperlink>
    </w:p>
    <w:p w14:paraId="47918D1E" w14:textId="62CC3A0E" w:rsidR="007537A8" w:rsidRDefault="00091FED">
      <w:pPr>
        <w:pStyle w:val="Verzeichnis9"/>
        <w:tabs>
          <w:tab w:val="right" w:leader="dot" w:pos="7361"/>
        </w:tabs>
        <w:rPr>
          <w:noProof/>
          <w:sz w:val="22"/>
          <w:szCs w:val="22"/>
          <w:lang w:eastAsia="de-DE"/>
        </w:rPr>
      </w:pPr>
      <w:hyperlink w:anchor="_Toc22133068" w:history="1">
        <w:r w:rsidR="007537A8" w:rsidRPr="00B85486">
          <w:rPr>
            <w:rStyle w:val="Hyperlink"/>
            <w:noProof/>
          </w:rPr>
          <w:t>(3) Erforderlichkeit</w:t>
        </w:r>
        <w:r w:rsidR="007537A8">
          <w:rPr>
            <w:noProof/>
            <w:webHidden/>
          </w:rPr>
          <w:tab/>
        </w:r>
        <w:r w:rsidR="007537A8">
          <w:rPr>
            <w:noProof/>
            <w:webHidden/>
          </w:rPr>
          <w:fldChar w:fldCharType="begin"/>
        </w:r>
        <w:r w:rsidR="007537A8">
          <w:rPr>
            <w:noProof/>
            <w:webHidden/>
          </w:rPr>
          <w:instrText xml:space="preserve"> PAGEREF _Toc22133068 \h </w:instrText>
        </w:r>
        <w:r w:rsidR="007537A8">
          <w:rPr>
            <w:noProof/>
            <w:webHidden/>
          </w:rPr>
        </w:r>
        <w:r w:rsidR="007537A8">
          <w:rPr>
            <w:noProof/>
            <w:webHidden/>
          </w:rPr>
          <w:fldChar w:fldCharType="separate"/>
        </w:r>
        <w:r w:rsidR="007537A8">
          <w:rPr>
            <w:noProof/>
            <w:webHidden/>
          </w:rPr>
          <w:t>75</w:t>
        </w:r>
        <w:r w:rsidR="007537A8">
          <w:rPr>
            <w:noProof/>
            <w:webHidden/>
          </w:rPr>
          <w:fldChar w:fldCharType="end"/>
        </w:r>
      </w:hyperlink>
    </w:p>
    <w:p w14:paraId="35DF841A" w14:textId="6F4B5286" w:rsidR="007537A8" w:rsidRDefault="00091FED">
      <w:pPr>
        <w:pStyle w:val="Verzeichnis9"/>
        <w:tabs>
          <w:tab w:val="right" w:leader="dot" w:pos="7361"/>
        </w:tabs>
        <w:rPr>
          <w:noProof/>
          <w:sz w:val="22"/>
          <w:szCs w:val="22"/>
          <w:lang w:eastAsia="de-DE"/>
        </w:rPr>
      </w:pPr>
      <w:hyperlink w:anchor="_Toc22133069" w:history="1">
        <w:r w:rsidR="007537A8" w:rsidRPr="00B85486">
          <w:rPr>
            <w:rStyle w:val="Hyperlink"/>
            <w:noProof/>
          </w:rPr>
          <w:t>(4) Angemessenheit</w:t>
        </w:r>
        <w:r w:rsidR="007537A8">
          <w:rPr>
            <w:noProof/>
            <w:webHidden/>
          </w:rPr>
          <w:tab/>
        </w:r>
        <w:r w:rsidR="007537A8">
          <w:rPr>
            <w:noProof/>
            <w:webHidden/>
          </w:rPr>
          <w:fldChar w:fldCharType="begin"/>
        </w:r>
        <w:r w:rsidR="007537A8">
          <w:rPr>
            <w:noProof/>
            <w:webHidden/>
          </w:rPr>
          <w:instrText xml:space="preserve"> PAGEREF _Toc22133069 \h </w:instrText>
        </w:r>
        <w:r w:rsidR="007537A8">
          <w:rPr>
            <w:noProof/>
            <w:webHidden/>
          </w:rPr>
        </w:r>
        <w:r w:rsidR="007537A8">
          <w:rPr>
            <w:noProof/>
            <w:webHidden/>
          </w:rPr>
          <w:fldChar w:fldCharType="separate"/>
        </w:r>
        <w:r w:rsidR="007537A8">
          <w:rPr>
            <w:noProof/>
            <w:webHidden/>
          </w:rPr>
          <w:t>75</w:t>
        </w:r>
        <w:r w:rsidR="007537A8">
          <w:rPr>
            <w:noProof/>
            <w:webHidden/>
          </w:rPr>
          <w:fldChar w:fldCharType="end"/>
        </w:r>
      </w:hyperlink>
    </w:p>
    <w:p w14:paraId="5ADBA8DE" w14:textId="2EA57B55" w:rsidR="007537A8" w:rsidRDefault="00091FED">
      <w:pPr>
        <w:pStyle w:val="Verzeichnis5"/>
        <w:tabs>
          <w:tab w:val="right" w:leader="dot" w:pos="7361"/>
        </w:tabs>
        <w:rPr>
          <w:rFonts w:eastAsiaTheme="minorEastAsia"/>
          <w:noProof/>
          <w:sz w:val="22"/>
          <w:szCs w:val="22"/>
          <w:lang w:eastAsia="de-DE"/>
        </w:rPr>
      </w:pPr>
      <w:hyperlink w:anchor="_Toc22133070" w:history="1">
        <w:r w:rsidR="007537A8" w:rsidRPr="00B85486">
          <w:rPr>
            <w:rStyle w:val="Hyperlink"/>
            <w:noProof/>
          </w:rPr>
          <w:t>II. Ermessensreduzierung auf Null</w:t>
        </w:r>
        <w:r w:rsidR="007537A8">
          <w:rPr>
            <w:noProof/>
            <w:webHidden/>
          </w:rPr>
          <w:tab/>
        </w:r>
        <w:r w:rsidR="007537A8">
          <w:rPr>
            <w:noProof/>
            <w:webHidden/>
          </w:rPr>
          <w:fldChar w:fldCharType="begin"/>
        </w:r>
        <w:r w:rsidR="007537A8">
          <w:rPr>
            <w:noProof/>
            <w:webHidden/>
          </w:rPr>
          <w:instrText xml:space="preserve"> PAGEREF _Toc22133070 \h </w:instrText>
        </w:r>
        <w:r w:rsidR="007537A8">
          <w:rPr>
            <w:noProof/>
            <w:webHidden/>
          </w:rPr>
        </w:r>
        <w:r w:rsidR="007537A8">
          <w:rPr>
            <w:noProof/>
            <w:webHidden/>
          </w:rPr>
          <w:fldChar w:fldCharType="separate"/>
        </w:r>
        <w:r w:rsidR="007537A8">
          <w:rPr>
            <w:noProof/>
            <w:webHidden/>
          </w:rPr>
          <w:t>77</w:t>
        </w:r>
        <w:r w:rsidR="007537A8">
          <w:rPr>
            <w:noProof/>
            <w:webHidden/>
          </w:rPr>
          <w:fldChar w:fldCharType="end"/>
        </w:r>
      </w:hyperlink>
    </w:p>
    <w:p w14:paraId="37EA3B2B" w14:textId="7B76C34A" w:rsidR="007537A8" w:rsidRDefault="00091FED">
      <w:pPr>
        <w:pStyle w:val="Verzeichnis5"/>
        <w:tabs>
          <w:tab w:val="right" w:leader="dot" w:pos="7361"/>
        </w:tabs>
        <w:rPr>
          <w:rFonts w:eastAsiaTheme="minorEastAsia"/>
          <w:noProof/>
          <w:sz w:val="22"/>
          <w:szCs w:val="22"/>
          <w:lang w:eastAsia="de-DE"/>
        </w:rPr>
      </w:pPr>
      <w:hyperlink w:anchor="_Toc22133071" w:history="1">
        <w:r w:rsidR="007537A8" w:rsidRPr="00B85486">
          <w:rPr>
            <w:rStyle w:val="Hyperlink"/>
            <w:noProof/>
          </w:rPr>
          <w:t>III. Zwischenergebnis</w:t>
        </w:r>
        <w:r w:rsidR="007537A8">
          <w:rPr>
            <w:noProof/>
            <w:webHidden/>
          </w:rPr>
          <w:tab/>
        </w:r>
        <w:r w:rsidR="007537A8">
          <w:rPr>
            <w:noProof/>
            <w:webHidden/>
          </w:rPr>
          <w:fldChar w:fldCharType="begin"/>
        </w:r>
        <w:r w:rsidR="007537A8">
          <w:rPr>
            <w:noProof/>
            <w:webHidden/>
          </w:rPr>
          <w:instrText xml:space="preserve"> PAGEREF _Toc22133071 \h </w:instrText>
        </w:r>
        <w:r w:rsidR="007537A8">
          <w:rPr>
            <w:noProof/>
            <w:webHidden/>
          </w:rPr>
        </w:r>
        <w:r w:rsidR="007537A8">
          <w:rPr>
            <w:noProof/>
            <w:webHidden/>
          </w:rPr>
          <w:fldChar w:fldCharType="separate"/>
        </w:r>
        <w:r w:rsidR="007537A8">
          <w:rPr>
            <w:noProof/>
            <w:webHidden/>
          </w:rPr>
          <w:t>79</w:t>
        </w:r>
        <w:r w:rsidR="007537A8">
          <w:rPr>
            <w:noProof/>
            <w:webHidden/>
          </w:rPr>
          <w:fldChar w:fldCharType="end"/>
        </w:r>
      </w:hyperlink>
    </w:p>
    <w:p w14:paraId="2FECB764" w14:textId="738C8C53" w:rsidR="007537A8" w:rsidRDefault="00091FED">
      <w:pPr>
        <w:pStyle w:val="Verzeichnis4"/>
        <w:tabs>
          <w:tab w:val="right" w:leader="dot" w:pos="7361"/>
        </w:tabs>
        <w:rPr>
          <w:rFonts w:eastAsiaTheme="minorEastAsia"/>
          <w:noProof/>
          <w:sz w:val="22"/>
          <w:szCs w:val="22"/>
          <w:lang w:eastAsia="de-DE"/>
        </w:rPr>
      </w:pPr>
      <w:hyperlink w:anchor="_Toc22133072" w:history="1">
        <w:r w:rsidR="007537A8" w:rsidRPr="00B85486">
          <w:rPr>
            <w:rStyle w:val="Hyperlink"/>
            <w:noProof/>
          </w:rPr>
          <w:t>D. Ergebnis</w:t>
        </w:r>
        <w:r w:rsidR="007537A8">
          <w:rPr>
            <w:noProof/>
            <w:webHidden/>
          </w:rPr>
          <w:tab/>
        </w:r>
        <w:r w:rsidR="007537A8">
          <w:rPr>
            <w:noProof/>
            <w:webHidden/>
          </w:rPr>
          <w:fldChar w:fldCharType="begin"/>
        </w:r>
        <w:r w:rsidR="007537A8">
          <w:rPr>
            <w:noProof/>
            <w:webHidden/>
          </w:rPr>
          <w:instrText xml:space="preserve"> PAGEREF _Toc22133072 \h </w:instrText>
        </w:r>
        <w:r w:rsidR="007537A8">
          <w:rPr>
            <w:noProof/>
            <w:webHidden/>
          </w:rPr>
        </w:r>
        <w:r w:rsidR="007537A8">
          <w:rPr>
            <w:noProof/>
            <w:webHidden/>
          </w:rPr>
          <w:fldChar w:fldCharType="separate"/>
        </w:r>
        <w:r w:rsidR="007537A8">
          <w:rPr>
            <w:noProof/>
            <w:webHidden/>
          </w:rPr>
          <w:t>79</w:t>
        </w:r>
        <w:r w:rsidR="007537A8">
          <w:rPr>
            <w:noProof/>
            <w:webHidden/>
          </w:rPr>
          <w:fldChar w:fldCharType="end"/>
        </w:r>
      </w:hyperlink>
    </w:p>
    <w:p w14:paraId="25D49826" w14:textId="274437D8" w:rsidR="0001383E" w:rsidRDefault="00CA43AE" w:rsidP="00261442">
      <w:pPr>
        <w:rPr>
          <w:rFonts w:ascii="Calibri" w:eastAsiaTheme="majorEastAsia" w:hAnsi="Calibri" w:cstheme="majorBidi"/>
          <w:sz w:val="26"/>
          <w:szCs w:val="26"/>
        </w:rPr>
      </w:pPr>
      <w:r>
        <w:rPr>
          <w:rFonts w:eastAsiaTheme="majorEastAsia"/>
        </w:rPr>
        <w:fldChar w:fldCharType="end"/>
      </w:r>
      <w:r w:rsidR="0001383E">
        <w:br w:type="page"/>
      </w:r>
    </w:p>
    <w:p w14:paraId="230A3FBE" w14:textId="1595907C" w:rsidR="00FD1D5D" w:rsidRPr="002C6282" w:rsidRDefault="00FD1D5D" w:rsidP="0001383E">
      <w:pPr>
        <w:pStyle w:val="berschrift3"/>
      </w:pPr>
      <w:bookmarkStart w:id="180" w:name="_Toc22133044"/>
      <w:bookmarkStart w:id="181" w:name="Fall5"/>
      <w:r w:rsidRPr="002C6282">
        <w:t>Lösung</w:t>
      </w:r>
      <w:r w:rsidR="0001383E">
        <w:t>svorschlag</w:t>
      </w:r>
      <w:bookmarkEnd w:id="180"/>
    </w:p>
    <w:p w14:paraId="01B91B14" w14:textId="77777777" w:rsidR="00FD1D5D" w:rsidRPr="00FD1D5D" w:rsidRDefault="00FD1D5D" w:rsidP="00FD1D5D">
      <w:pPr>
        <w:pStyle w:val="Randnummer"/>
        <w:framePr w:wrap="around"/>
      </w:pPr>
    </w:p>
    <w:p w14:paraId="12AC1EF0" w14:textId="77777777" w:rsidR="00FD1D5D" w:rsidRPr="00FD1D5D" w:rsidRDefault="00FD1D5D" w:rsidP="00FD1D5D">
      <w:r w:rsidRPr="00FD1D5D">
        <w:t>Die Klage der J hat Aussicht auf Erfolg, soweit sie zulässig und begründet ist.</w:t>
      </w:r>
    </w:p>
    <w:p w14:paraId="702B9635" w14:textId="77777777" w:rsidR="00FD1D5D" w:rsidRPr="002C6282" w:rsidRDefault="00FD1D5D" w:rsidP="000434BF">
      <w:pPr>
        <w:pStyle w:val="berschrift4"/>
      </w:pPr>
      <w:bookmarkStart w:id="182" w:name="_Toc22133045"/>
      <w:r w:rsidRPr="002C6282">
        <w:t>A. Zulässigkeit</w:t>
      </w:r>
      <w:bookmarkEnd w:id="182"/>
    </w:p>
    <w:p w14:paraId="355071EF" w14:textId="77777777" w:rsidR="00FD1D5D" w:rsidRPr="00FD1D5D" w:rsidRDefault="00FD1D5D" w:rsidP="00FD1D5D">
      <w:pPr>
        <w:pStyle w:val="Randnummer"/>
        <w:framePr w:wrap="around"/>
      </w:pPr>
    </w:p>
    <w:p w14:paraId="532E51DC" w14:textId="77777777" w:rsidR="00FD1D5D" w:rsidRPr="00FD1D5D" w:rsidRDefault="00FD1D5D" w:rsidP="00FD1D5D">
      <w:r w:rsidRPr="00FD1D5D">
        <w:t>Die Klage ist zulässig, wenn die Sachurteilsvoraussetzungen vorliegen.</w:t>
      </w:r>
    </w:p>
    <w:p w14:paraId="33074043" w14:textId="77777777" w:rsidR="00FD1D5D" w:rsidRPr="002C6282" w:rsidRDefault="00FD1D5D" w:rsidP="000434BF">
      <w:pPr>
        <w:pStyle w:val="berschrift5"/>
      </w:pPr>
      <w:bookmarkStart w:id="183" w:name="_Toc22133046"/>
      <w:r w:rsidRPr="002C6282">
        <w:t>I. Verwaltungsrechtsweg</w:t>
      </w:r>
      <w:bookmarkEnd w:id="183"/>
    </w:p>
    <w:p w14:paraId="6A2FA2FC" w14:textId="77777777" w:rsidR="00FD1D5D" w:rsidRPr="00FD1D5D" w:rsidRDefault="00FD1D5D" w:rsidP="00FD1D5D">
      <w:pPr>
        <w:pStyle w:val="Randnummer"/>
        <w:framePr w:wrap="around"/>
      </w:pPr>
    </w:p>
    <w:p w14:paraId="38390DED" w14:textId="0404F100" w:rsidR="00FD1D5D" w:rsidRPr="00FD1D5D" w:rsidRDefault="00B855DA" w:rsidP="00FD1D5D">
      <w:r w:rsidRPr="00FD1D5D">
        <w:t xml:space="preserve">Der Verwaltungsrechtsweg müsste eröffnet sein. Mangels aufdrängender Sonderzuweisungen richtet sich dies nach § 40 I 1 VwGO. Nach dieser Vorschrift ist der Verwaltungsrechtsweg für öffentlich-rechtliche Streitigkeiten nicht-verfassungsrechtlicher Art eröffnet. Eine öffentlich-rechtliche Streitigkeit liegt vor, wenn die streitentscheidenden Normen </w:t>
      </w:r>
      <w:r>
        <w:t>dem</w:t>
      </w:r>
      <w:r w:rsidRPr="00FD1D5D">
        <w:t xml:space="preserve"> öffentlichen Recht </w:t>
      </w:r>
      <w:r>
        <w:t>angehören</w:t>
      </w:r>
      <w:r w:rsidRPr="00FD1D5D">
        <w:t>. Nach der modifizierten Subjektstheorie sind Normen des öffentlichen Rechts solche, die lediglich einen Träger öffentlicher Gewalt als solchen verpflichten.</w:t>
      </w:r>
      <w:r>
        <w:rPr>
          <w:rStyle w:val="Funotenzeichen"/>
        </w:rPr>
        <w:footnoteReference w:id="141"/>
      </w:r>
      <w:r w:rsidRPr="00FD1D5D">
        <w:t xml:space="preserve"> Streitentscheidend sind hier § 59 III RStV bzw. § 9 I POG, die mit der nach Landesrecht zuständigen Behörde bzw. </w:t>
      </w:r>
      <w:r>
        <w:t xml:space="preserve">den </w:t>
      </w:r>
      <w:r w:rsidRPr="00FD1D5D">
        <w:t xml:space="preserve">allgemeinen Ordnungsbehörden </w:t>
      </w:r>
      <w:r>
        <w:t xml:space="preserve">und der Polizei </w:t>
      </w:r>
      <w:r w:rsidRPr="00FD1D5D">
        <w:t>ausschließlich Träger öffentlicher Gewalt verpflichten. Es liegt daher eine öffentlich-rechtliche Streitigkeit vor. Diese ist mangels doppelter Verfassungsunmittelbarkeit auch nicht-verfassungsrechtlicher Art. Abdrängende Sonderzuweisungen sind nicht ersichtlich. Der Verwaltungsrechtsweg ist eröffnet</w:t>
      </w:r>
      <w:r w:rsidR="00FD1D5D" w:rsidRPr="00FD1D5D">
        <w:t>.</w:t>
      </w:r>
    </w:p>
    <w:p w14:paraId="7FD810CA" w14:textId="77777777" w:rsidR="00FD1D5D" w:rsidRPr="002C6282" w:rsidRDefault="00FD1D5D" w:rsidP="000434BF">
      <w:pPr>
        <w:pStyle w:val="berschrift5"/>
      </w:pPr>
      <w:bookmarkStart w:id="184" w:name="_Toc22133047"/>
      <w:r w:rsidRPr="002C6282">
        <w:t>II. Statthafte Klageart</w:t>
      </w:r>
      <w:bookmarkEnd w:id="184"/>
    </w:p>
    <w:p w14:paraId="408C8120" w14:textId="77777777" w:rsidR="00FD1D5D" w:rsidRPr="00FD1D5D" w:rsidRDefault="00FD1D5D" w:rsidP="00FD1D5D">
      <w:pPr>
        <w:pStyle w:val="Randnummer"/>
        <w:framePr w:wrap="around"/>
      </w:pPr>
    </w:p>
    <w:p w14:paraId="1F091177" w14:textId="69880AFE" w:rsidR="00FD1D5D" w:rsidRPr="00FD1D5D" w:rsidRDefault="00FD1D5D" w:rsidP="00FD1D5D">
      <w:r w:rsidRPr="00FD1D5D">
        <w:t>Die statthafte Klageart richtet sich nach dem Begehren der J (§ 88 VwGO). J begeh</w:t>
      </w:r>
      <w:r w:rsidR="000A4EE4">
        <w:t>r</w:t>
      </w:r>
      <w:r w:rsidRPr="00FD1D5D">
        <w:t xml:space="preserve">t den Erlass einer Löschungsanordnung der ADD gegen X. Bei dieser handelt es sich um eine behördliche Maßnahme auf dem Gebiet des öffentlichen Rechts zur Regelung eines Einzelfalls mit Rechtswirkung nach außen. Die Löschungsanordnung ist somit ein Verwaltungsakt im Sinne des § 35 </w:t>
      </w:r>
      <w:r w:rsidR="000A4EE4">
        <w:t xml:space="preserve">S. </w:t>
      </w:r>
      <w:r w:rsidRPr="00FD1D5D">
        <w:t>1 VwVfG. Den Erlass einer solchen Anordnung kann J mit einer Verpflichtungsklage nach § 42 I Alt. 2 VwGO im Unterfall der Versagungsgegenklage erreichen, die hier statthaft ist.</w:t>
      </w:r>
    </w:p>
    <w:p w14:paraId="39EFD447" w14:textId="77777777" w:rsidR="00FD1D5D" w:rsidRPr="002C6282" w:rsidRDefault="00FD1D5D" w:rsidP="000434BF">
      <w:pPr>
        <w:pStyle w:val="berschrift5"/>
      </w:pPr>
      <w:bookmarkStart w:id="185" w:name="_Toc22133048"/>
      <w:r w:rsidRPr="002C6282">
        <w:t>III. Klagebefugnis</w:t>
      </w:r>
      <w:bookmarkEnd w:id="185"/>
      <w:r w:rsidRPr="002C6282">
        <w:t xml:space="preserve"> </w:t>
      </w:r>
    </w:p>
    <w:p w14:paraId="694291D2" w14:textId="77777777" w:rsidR="00FD1D5D" w:rsidRPr="00FD1D5D" w:rsidRDefault="00FD1D5D" w:rsidP="00FD1D5D">
      <w:pPr>
        <w:pStyle w:val="Randnummer"/>
        <w:framePr w:wrap="around"/>
      </w:pPr>
    </w:p>
    <w:p w14:paraId="40AF7DA9" w14:textId="6131DF42" w:rsidR="00FD1D5D" w:rsidRPr="00FD1D5D" w:rsidRDefault="00FD1D5D" w:rsidP="00FD1D5D">
      <w:r w:rsidRPr="00FD1D5D">
        <w:t xml:space="preserve">J müsste nach § 42 II VwGO klagebefugt sein. Dafür muss sie geltend machen können, durch die Ablehnung des begehrten Verwaltungsakts in ihren Rechten verletzt zu sein. Dies wäre allerdings nur möglich, wenn § 9 I POG und/oder § 59 III RStV ein Recht auf Erlass der begehrten Löschungsanordnung vermitteln können. Bei beiden Normen handelt es sich um Grundlagen für ordnungsbehördliches Einschreiten, die primär die Eingriffsverwaltung betreffen und keine Ansprüche begründen. Allerdings können auch solche Normen einen Anspruch auf behördliches Einschreiten vermitteln. Ob dies der Fall ist, ist nach der Schutznormtheorie zu beurteilen. Ausschlaggebend ist, ob die betreffende Norm zumindest auch Individualrechtsgüter des Anspruchstellers schützt. Normen, die lediglich im Interesse der Allgemeinheit bestehen und nicht das Ziel verfolgen, einem von </w:t>
      </w:r>
      <w:r w:rsidR="00A8236D" w:rsidRPr="00FD1D5D">
        <w:t>diesem</w:t>
      </w:r>
      <w:r w:rsidRPr="00FD1D5D">
        <w:t xml:space="preserve"> abgrenzbaren Personenkreis Rechte zu verleihen, können keine Ansprüche vermitteln. Ob eine Norm auch Individualrechtsgüter schützt und der Anspruchsteller zum geschützten Personenkreis gehört ist durch Auslegung zu ermitteln.</w:t>
      </w:r>
      <w:r w:rsidRPr="00FD1D5D">
        <w:rPr>
          <w:vertAlign w:val="superscript"/>
        </w:rPr>
        <w:footnoteReference w:id="142"/>
      </w:r>
      <w:r w:rsidRPr="00FD1D5D">
        <w:t xml:space="preserve"> § 9 I POG schützt die öffentliche Sicherheit und Ordnung. Zur öffentlichen Sicherheit gehören </w:t>
      </w:r>
      <w:r w:rsidR="00051075">
        <w:t>u.a.</w:t>
      </w:r>
      <w:r w:rsidRPr="00FD1D5D">
        <w:t xml:space="preserve"> auch die Rechtsgüter des Einzelnen. Damit dient § 9 I POG nicht nur dem Schutz öffentlicher Interessen, sondern auch dem der Rechtsgüter einzelner Personen. Mithin handelt es sich um eine Schutznorm, die einen Anspruch auf ordnungsbehördliches Einschreiten begründen kann. Ergibt sich die Gefahr für die öffentliche Sicherheit aus einer Gefährdung oder Verletzung von Individualrechtsgütern, hat der Betroffene einen Anspruch darauf, dass die Behörde ermessensfehlerfrei über ein Einschreiten entscheidet.</w:t>
      </w:r>
      <w:r w:rsidRPr="00FD1D5D">
        <w:rPr>
          <w:vertAlign w:val="superscript"/>
        </w:rPr>
        <w:footnoteReference w:id="143"/>
      </w:r>
    </w:p>
    <w:p w14:paraId="27749C61" w14:textId="77777777" w:rsidR="00FD1D5D" w:rsidRPr="00FD1D5D" w:rsidRDefault="00FD1D5D" w:rsidP="00FD1D5D">
      <w:r w:rsidRPr="00FD1D5D">
        <w:t>§ 59 III RStV dient dazu, die Einhaltung der Bestimmungen für Telemedien, einschließlich der allgemeinen Gesetze und der gesetzlichen Bestimmungen zum Schutz der persönlichen Ehre mit Ausnahme des Datenschutzes, sicherzustellen. Mit der Erwähnung von gesetzlichen Bestimmungen zum Schutz der persönlichen Ehre wird hier ebenfalls ein Individualrechtsgut geschützt. Damit kann auch § 59 III RStV einen Anspruch auf behördliches Einschreiten vermitteln.</w:t>
      </w:r>
    </w:p>
    <w:p w14:paraId="3FA002DD" w14:textId="77777777" w:rsidR="00FD1D5D" w:rsidRPr="00FD1D5D" w:rsidRDefault="00FD1D5D" w:rsidP="00FD1D5D">
      <w:r w:rsidRPr="00FD1D5D">
        <w:t>Als diejenige, deren Rechtsgüter von einem Verstoß gegen die öffentliche Sicherheit bzw. Gesetze zum Schutz der persönlichen Ehre betroffen sind, gehört J auch zum geschützten Personenkreis. Somit besteht unabhängig davon, welche Norm letztlich einschlägig ist, die Möglichkeit eines Anspruchs der J. Allerdings ist zu beachten, dass § 9 I POG der handelnden Behörde Ermessen einräumt. Damit kann die Vorschrift grundsätzlich auch nur einen Anspruch auf ermessensfehlerfreie Entscheidung vermitteln. Bei § 59 III 1, 2 RStV steht die Auswahl der zu treffenden Maßnahmen ebenfalls im Ermessen der Behörde.</w:t>
      </w:r>
      <w:r w:rsidRPr="00FD1D5D">
        <w:rPr>
          <w:vertAlign w:val="superscript"/>
        </w:rPr>
        <w:footnoteReference w:id="144"/>
      </w:r>
      <w:r w:rsidRPr="00FD1D5D">
        <w:t xml:space="preserve"> Lediglich wenn eine Ermessensreduzierung auf Null vorliegt, kann eine konkrete Maßnahme verlangt werden. Da eine solche Ermessensreduzierung auf Null jedoch im Bereich des Möglichen liegt, ist auch insofern J den Erlass einer konkreten Löschungsanordnung begehrt die Möglichkeit eines Anspruchs gegeben. J ist daher klagebefugt nach § 42 II VwGO.</w:t>
      </w:r>
    </w:p>
    <w:p w14:paraId="789AB904" w14:textId="77777777" w:rsidR="00FD1D5D" w:rsidRPr="002C6282" w:rsidRDefault="00FD1D5D" w:rsidP="000434BF">
      <w:pPr>
        <w:pStyle w:val="berschrift5"/>
      </w:pPr>
      <w:bookmarkStart w:id="186" w:name="_Toc22133049"/>
      <w:r w:rsidRPr="002C6282">
        <w:t>IV. Vorverfahren</w:t>
      </w:r>
      <w:bookmarkEnd w:id="186"/>
    </w:p>
    <w:p w14:paraId="39E12664" w14:textId="77777777" w:rsidR="00FD1D5D" w:rsidRPr="00FD1D5D" w:rsidRDefault="00FD1D5D" w:rsidP="00FD1D5D">
      <w:pPr>
        <w:pStyle w:val="Randnummer"/>
        <w:framePr w:wrap="around"/>
      </w:pPr>
    </w:p>
    <w:p w14:paraId="62B8BB66" w14:textId="77777777" w:rsidR="00FD1D5D" w:rsidRPr="00FD1D5D" w:rsidRDefault="00FD1D5D" w:rsidP="00FD1D5D">
      <w:r w:rsidRPr="00FD1D5D">
        <w:t>Nach § 68 I, II VwGO ist vor Erhebung der Verpflichtungsklage ein Vorverfahren durchzuführen, wenn ein Antrag auf Vornahme des begehrten Verwaltungsakts abgelehnt wurde. Dieses Vorverfahren müsste J ordnungsgemäß durchgeführt haben, insbesondere darf ihr Widerspruch nicht verfristet gewesen sein. Nach § 70 I VwGO ist der Widerspruch binnen eines Monats nach Bekanntgabe des Verwaltungsakts bei der Behörde, die den Verwaltungsakt erlassen hat, einzulegen. Der ablehnende Bescheid wurde J am 06.02.2019 bekanntgegeben, sodass die Frist entweder nach §§ 31 I VwVfG, 188 II BGB oder §§ 57 II VwGO, 222 I ZPO, 188 II BGB am 06.03.2019 endete. J hat jedoch erst am 07.03.2019 Widerspruch erhoben und damit die Frist des § 70 I VwGO nicht eingehalten.</w:t>
      </w:r>
    </w:p>
    <w:p w14:paraId="63FA1616" w14:textId="3D046DBB" w:rsidR="00FD1D5D" w:rsidRPr="00FD1D5D" w:rsidRDefault="00FD1D5D" w:rsidP="00FD1D5D">
      <w:r w:rsidRPr="00FD1D5D">
        <w:t>Allerdings könnte ihr nach § 60 I VwGO Wiedereinsetzung in den vorigen Stand zu gewähren sein. Nach dieser Norm ist Wiedereinsetzung in den vorigen Stand zu gewähren, wenn jemand ohne Verschulden verhindert war, eine gesetzliche Frist einzuhalten. Gemäß § 70 II VwGO gilt § 60 VwGO auch im Widerspruchsverfahren. J war durch einen Unfall unverschuldet an der Einhaltung der Widerspruchsfrist gehindert. Auch ihre gesetzlichen Vertreter trifft kein Verschulden, das sich J zurechnen lassen müsste. Allerdings ist nach § 60 II 1 VwGO die Wiedereinsetzung in den vorigen Stand zu beantragen. Einen entsprechenden Antrag hat J nicht gestellt. Nach § 60 II 4 VwGO ist es jedoch ausreichend, wenn die versäumte Handlung innerhalb der Antragsfrist von zwei Wochen nach Wegfall des Hindernisses nachgeholt wird. Durch Nachholung der versäumten Rechtshandlung gibt der Betreffende konkludent zum Ausdruck, dass er das Verfahren fortsetzen und etwaige prozessuale Nachteile aus der Fristversäumung, insbesondere die Unzulässigkeit der vorgenommenen Rechtshandlung, soweit möglich beseitigt wissen will. Ein expliziter Antrag auf Wiedereinsetzung ist daneben nicht mehr erforderlich. Das Gericht hat trotz des Wortes „kann“ in § 60 II 4 VwGO hier auch keinen Ermessensspielraum, sondern muss die Wiedereinsetzung gewähren.</w:t>
      </w:r>
      <w:r w:rsidRPr="00FD1D5D">
        <w:rPr>
          <w:vertAlign w:val="superscript"/>
        </w:rPr>
        <w:footnoteReference w:id="145"/>
      </w:r>
      <w:r w:rsidRPr="00FD1D5D">
        <w:t xml:space="preserve"> J hat sobald es ihr dafür gut genug ging, also unmittelbar nach Wegfall des Hindernisses, Widerspruch eingelegt und damit die versäumte Rechtshandlung nachgeholt. Ein Wiedereinsetzungsantrag war somit nicht erforderlich. Fraglich ist jedoch, ob das Verwaltungsgericht Wiedereinsetzung in den vorigen Stand gewähren kann, wenn die Voraussetzungen des § 60 VwGO vorliegen, oder ob dazu nur die Widerspruchsbehörde in der Lage ist. Nach § 60 IV VwGO entscheidet das Gericht, das über die versäumte Rechtshandlung zu befinden hat, über den Antrag auf Wiedereinsetzung. Im Verwaltungsprozess hat das Verwaltungsgericht im Rahmen der Prüfung der Zulässigkeit der Klage auch über die Rechtzeitigkeit des Widerspruchs zu entscheiden. </w:t>
      </w:r>
      <w:r w:rsidR="00B855DA" w:rsidRPr="00FD1D5D">
        <w:t xml:space="preserve">Diese gehört zu den Zulässigkeitsvoraussetzungen. Das Verwaltungsgericht ist nicht daran gehindert, </w:t>
      </w:r>
      <w:r w:rsidR="00B855DA">
        <w:t>aus Gründen der Prozessökonomie</w:t>
      </w:r>
      <w:r w:rsidR="00B855DA" w:rsidRPr="00FD1D5D">
        <w:t xml:space="preserve"> </w:t>
      </w:r>
      <w:r w:rsidR="00B855DA">
        <w:t xml:space="preserve">und des effektiven Rechtsschutzes </w:t>
      </w:r>
      <w:r w:rsidR="00B855DA" w:rsidRPr="00FD1D5D">
        <w:t>die Klage bei Vorliegen der Voraussetzungen des § 60 VwGO als zulässig anzusehen, auch wenn es an einer positiven behördlichen Wied</w:t>
      </w:r>
      <w:r w:rsidR="00B855DA">
        <w:t>ereinsetzungsentscheidung fehlt</w:t>
      </w:r>
      <w:r w:rsidR="00B855DA" w:rsidRPr="00FD1D5D">
        <w:t xml:space="preserve"> </w:t>
      </w:r>
      <w:r w:rsidR="00B855DA" w:rsidRPr="00B855DA">
        <w:t>(</w:t>
      </w:r>
      <w:r w:rsidR="00B855DA" w:rsidRPr="00B855DA">
        <w:rPr>
          <w:i/>
        </w:rPr>
        <w:t>a.A. vertretbar</w:t>
      </w:r>
      <w:r w:rsidR="00B855DA" w:rsidRPr="00B855DA">
        <w:t>).</w:t>
      </w:r>
      <w:r w:rsidR="00B855DA">
        <w:t xml:space="preserve"> A</w:t>
      </w:r>
      <w:r w:rsidR="00B855DA" w:rsidRPr="00FD1D5D">
        <w:t xml:space="preserve">nsonsten </w:t>
      </w:r>
      <w:r w:rsidR="00B855DA">
        <w:t xml:space="preserve">müsste </w:t>
      </w:r>
      <w:r w:rsidR="00B855DA" w:rsidRPr="00FD1D5D">
        <w:t>die Widerspruchsbehörde erst zur Gewährung der Wiedereinsetzung in den vorigen Stand verpflichtet werden.</w:t>
      </w:r>
      <w:r w:rsidR="00B855DA" w:rsidRPr="00FD1D5D">
        <w:rPr>
          <w:vertAlign w:val="superscript"/>
        </w:rPr>
        <w:footnoteReference w:id="146"/>
      </w:r>
      <w:r w:rsidR="00B855DA" w:rsidRPr="00FD1D5D">
        <w:t xml:space="preserve"> J ist somit Wiedereinsetzung in den vorigen Stand zu gewähren und der Widerspruch </w:t>
      </w:r>
      <w:r w:rsidR="000A4EE4">
        <w:t xml:space="preserve">war </w:t>
      </w:r>
      <w:r w:rsidR="00B855DA" w:rsidRPr="00FD1D5D">
        <w:t>daher nicht verfristet.</w:t>
      </w:r>
    </w:p>
    <w:p w14:paraId="0C2E48A0" w14:textId="77777777" w:rsidR="00FD1D5D" w:rsidRPr="00FD1D5D" w:rsidRDefault="00FD1D5D" w:rsidP="00FD1D5D">
      <w:r w:rsidRPr="00FD1D5D">
        <w:t>J hat das Vorverfahren ordnungsgemäß durchgeführt.</w:t>
      </w:r>
    </w:p>
    <w:p w14:paraId="66A4D48D" w14:textId="77777777" w:rsidR="00FD1D5D" w:rsidRPr="002C6282" w:rsidRDefault="00FD1D5D" w:rsidP="000434BF">
      <w:pPr>
        <w:pStyle w:val="berschrift5"/>
      </w:pPr>
      <w:bookmarkStart w:id="187" w:name="_Toc22133050"/>
      <w:r w:rsidRPr="002C6282">
        <w:t>V. Klagegegner</w:t>
      </w:r>
      <w:bookmarkEnd w:id="187"/>
    </w:p>
    <w:p w14:paraId="0D8AA2E6" w14:textId="77777777" w:rsidR="00FD1D5D" w:rsidRPr="00FD1D5D" w:rsidRDefault="00FD1D5D" w:rsidP="00FD1D5D">
      <w:pPr>
        <w:pStyle w:val="Randnummer"/>
        <w:framePr w:wrap="around"/>
      </w:pPr>
    </w:p>
    <w:p w14:paraId="0A201A27" w14:textId="77777777" w:rsidR="00B855DA" w:rsidRDefault="00FD1D5D" w:rsidP="00FD1D5D">
      <w:r w:rsidRPr="00FD1D5D">
        <w:t>Richtiger Klagegegner ist nach § 78 I Nr. 1 VwGO das Land Rheinland</w:t>
      </w:r>
      <w:r w:rsidR="00B855DA">
        <w:t xml:space="preserve">-Pfalz als Rechtsträger der ADD </w:t>
      </w:r>
    </w:p>
    <w:p w14:paraId="5C7B086D" w14:textId="14569AB9" w:rsidR="00FD1D5D" w:rsidRPr="00B855DA" w:rsidRDefault="008C1818" w:rsidP="00FD1D5D">
      <w:pPr>
        <w:rPr>
          <w:i/>
        </w:rPr>
      </w:pPr>
      <w:r>
        <w:rPr>
          <w:i/>
        </w:rPr>
        <w:t>Lösungsh</w:t>
      </w:r>
      <w:r w:rsidR="00B855DA" w:rsidRPr="00B855DA">
        <w:rPr>
          <w:i/>
        </w:rPr>
        <w:t>inweis: Der Prüfungspunkt kann auch in der Begründetheit als sog. Passivlegitimation geprüft werden.</w:t>
      </w:r>
      <w:r w:rsidR="00B855DA">
        <w:rPr>
          <w:rStyle w:val="Funotenzeichen"/>
          <w:i/>
        </w:rPr>
        <w:footnoteReference w:id="147"/>
      </w:r>
    </w:p>
    <w:p w14:paraId="76FF2A51" w14:textId="77777777" w:rsidR="00FD1D5D" w:rsidRPr="002C6282" w:rsidRDefault="00FD1D5D" w:rsidP="000434BF">
      <w:pPr>
        <w:pStyle w:val="berschrift5"/>
      </w:pPr>
      <w:bookmarkStart w:id="188" w:name="_Toc22133051"/>
      <w:r w:rsidRPr="002C6282">
        <w:t>VI. Beteiligungs- und Prozessfähigkeit</w:t>
      </w:r>
      <w:bookmarkEnd w:id="188"/>
    </w:p>
    <w:p w14:paraId="1A97F97E" w14:textId="77777777" w:rsidR="00FD1D5D" w:rsidRPr="00FD1D5D" w:rsidRDefault="00FD1D5D" w:rsidP="00FD1D5D">
      <w:pPr>
        <w:pStyle w:val="Randnummer"/>
        <w:framePr w:wrap="around"/>
      </w:pPr>
    </w:p>
    <w:p w14:paraId="360754C5" w14:textId="77777777" w:rsidR="00FD1D5D" w:rsidRPr="00FD1D5D" w:rsidRDefault="00FD1D5D" w:rsidP="00FD1D5D">
      <w:r w:rsidRPr="00FD1D5D">
        <w:t>J ist als natürliche Person nach § 61 Nr. 1 Alt. 1 VwGO beteiligungsfähig. Als Minderjährige ist sie in der Geschäftsfähigkeit beschränkt und nicht nach § 62 I Nr. 1 VwGO prozessfähig.</w:t>
      </w:r>
      <w:r w:rsidRPr="00FD1D5D">
        <w:rPr>
          <w:vertAlign w:val="superscript"/>
        </w:rPr>
        <w:footnoteReference w:id="148"/>
      </w:r>
      <w:r w:rsidRPr="00FD1D5D">
        <w:t xml:space="preserve"> Sie hat sich jedoch durch ihre Eltern als gesetzliche Vertreter nach § 1629 I BGB vertreten lassen. Das Land Rheinland-Pfalz ist als juristische Person nach § 61 Nr. 1 Alt. 2 VwGO beteiligungsfähig. Die Prozessfähigkeit des Landes richtet sich nach § 62 III VwGO.</w:t>
      </w:r>
    </w:p>
    <w:p w14:paraId="524BE068" w14:textId="77777777" w:rsidR="00FD1D5D" w:rsidRPr="002C6282" w:rsidRDefault="00FD1D5D" w:rsidP="000434BF">
      <w:pPr>
        <w:pStyle w:val="berschrift5"/>
      </w:pPr>
      <w:bookmarkStart w:id="189" w:name="_Toc22133052"/>
      <w:r w:rsidRPr="002C6282">
        <w:t>VII. Form und Frist</w:t>
      </w:r>
      <w:bookmarkEnd w:id="189"/>
    </w:p>
    <w:p w14:paraId="534B297E" w14:textId="77777777" w:rsidR="00FD1D5D" w:rsidRPr="00FD1D5D" w:rsidRDefault="00FD1D5D" w:rsidP="00FD1D5D">
      <w:pPr>
        <w:pStyle w:val="Randnummer"/>
        <w:framePr w:wrap="around"/>
      </w:pPr>
    </w:p>
    <w:p w14:paraId="43ECE3A0" w14:textId="77777777" w:rsidR="00FD1D5D" w:rsidRPr="00FD1D5D" w:rsidRDefault="00FD1D5D" w:rsidP="00FD1D5D">
      <w:r w:rsidRPr="00FD1D5D">
        <w:t>Die Klagefrist nach § 74 I, II VwGO hat J eingehalten. Von der Einhaltung der Form des § 81 I 1 VwGO ist auszugehen.</w:t>
      </w:r>
    </w:p>
    <w:p w14:paraId="71E555E7" w14:textId="77777777" w:rsidR="00FD1D5D" w:rsidRPr="002C6282" w:rsidRDefault="00FD1D5D" w:rsidP="000434BF">
      <w:pPr>
        <w:pStyle w:val="berschrift5"/>
      </w:pPr>
      <w:bookmarkStart w:id="190" w:name="_Toc22133053"/>
      <w:r w:rsidRPr="002C6282">
        <w:t>VIII. Zwischenergebnis</w:t>
      </w:r>
      <w:bookmarkEnd w:id="190"/>
    </w:p>
    <w:p w14:paraId="0583B4FF" w14:textId="77777777" w:rsidR="00FD1D5D" w:rsidRPr="00FD1D5D" w:rsidRDefault="00FD1D5D" w:rsidP="00FD1D5D">
      <w:pPr>
        <w:pStyle w:val="Randnummer"/>
        <w:framePr w:wrap="around"/>
      </w:pPr>
    </w:p>
    <w:p w14:paraId="061D6486" w14:textId="77777777" w:rsidR="00FD1D5D" w:rsidRPr="00FD1D5D" w:rsidRDefault="00FD1D5D" w:rsidP="00FD1D5D">
      <w:r w:rsidRPr="00FD1D5D">
        <w:t>Die Sachentscheidungsvoraussetzungen liegen vor und die Klage ist zulässig.</w:t>
      </w:r>
    </w:p>
    <w:p w14:paraId="30A627D8" w14:textId="77777777" w:rsidR="00FD1D5D" w:rsidRPr="002C6282" w:rsidRDefault="00FD1D5D" w:rsidP="000434BF">
      <w:pPr>
        <w:pStyle w:val="berschrift4"/>
      </w:pPr>
      <w:bookmarkStart w:id="191" w:name="_Toc22133054"/>
      <w:r w:rsidRPr="002C6282">
        <w:t>B. Notwendige Beiladung des X</w:t>
      </w:r>
      <w:bookmarkEnd w:id="191"/>
    </w:p>
    <w:p w14:paraId="28C35588" w14:textId="77777777" w:rsidR="00FD1D5D" w:rsidRPr="00FD1D5D" w:rsidRDefault="00FD1D5D" w:rsidP="00FD1D5D">
      <w:pPr>
        <w:pStyle w:val="Randnummer"/>
        <w:framePr w:wrap="around"/>
      </w:pPr>
    </w:p>
    <w:p w14:paraId="71536807" w14:textId="77777777" w:rsidR="00FD1D5D" w:rsidRDefault="00FD1D5D" w:rsidP="00FD1D5D">
      <w:r w:rsidRPr="00FD1D5D">
        <w:t>X könnte nach § 65 II VwGO notwendig beizuladen sein. Eine Beiladung ist notwendig, wenn am streitgegenständlichen Rechtsverhältnis Dritte derart beteiligt sind, dass eine Entscheidung auch ihnen gegenüber nur einheitlich ergehen kann. Dies ist der Fall, wenn die Möglichkeit besteht, dass von der Entscheidung unmittelbar und zwangsläufig Rechte eines Dritten betroffen werden. Ein Fall einer solchen notwendigen Beiladung ist die Konstellation, dass der Kläger den Erlass eines an einen bestimmten Dritten gerichteten, diesen belasteten Verwaltungsakt begehrt.</w:t>
      </w:r>
      <w:r w:rsidRPr="00FD1D5D">
        <w:rPr>
          <w:vertAlign w:val="superscript"/>
        </w:rPr>
        <w:footnoteReference w:id="149"/>
      </w:r>
      <w:r w:rsidRPr="00FD1D5D">
        <w:t xml:space="preserve"> Hier klagt J auf Erlass eines an X gerichteten, diesen belasteten Verwaltungsakt, der zwangsläufig dessen Rechte betrifft. Somit ist X nach § 65 II VwGO notwendig beizuladen.</w:t>
      </w:r>
    </w:p>
    <w:p w14:paraId="7FE4C8C8" w14:textId="77777777" w:rsidR="000434BF" w:rsidRDefault="000434BF" w:rsidP="00FD1D5D"/>
    <w:p w14:paraId="7E3FD2D6" w14:textId="77777777" w:rsidR="00772351" w:rsidRDefault="00772351" w:rsidP="00FD1D5D"/>
    <w:p w14:paraId="718865AF" w14:textId="77777777" w:rsidR="00772351" w:rsidRPr="00FD1D5D" w:rsidRDefault="00772351" w:rsidP="00FD1D5D"/>
    <w:p w14:paraId="27CAB73A" w14:textId="77777777" w:rsidR="00FD1D5D" w:rsidRPr="002C6282" w:rsidRDefault="00FD1D5D" w:rsidP="000434BF">
      <w:pPr>
        <w:pStyle w:val="berschrift4"/>
      </w:pPr>
      <w:bookmarkStart w:id="192" w:name="_Toc22133055"/>
      <w:r w:rsidRPr="002C6282">
        <w:t>C. Begründetheit</w:t>
      </w:r>
      <w:bookmarkEnd w:id="192"/>
    </w:p>
    <w:p w14:paraId="68B51367" w14:textId="77777777" w:rsidR="00FD1D5D" w:rsidRPr="00FD1D5D" w:rsidRDefault="00FD1D5D" w:rsidP="00FD1D5D">
      <w:pPr>
        <w:pStyle w:val="Randnummer"/>
        <w:framePr w:wrap="around"/>
      </w:pPr>
    </w:p>
    <w:p w14:paraId="26E3E817" w14:textId="77777777" w:rsidR="00FD1D5D" w:rsidRDefault="00FD1D5D" w:rsidP="00FD1D5D">
      <w:r w:rsidRPr="00FD1D5D">
        <w:t>Die Klage ist begründet, soweit die Ablehnung der Löschungsanordnung rechtswidrig war und J in ihren Rechten verletzt hat und die Sache spruchreif ist (§ 113 V 1 VwGO). Dies ist der Fall, wenn J einen Anspruch auf Erlass der Löschungsanordnung gegen X hat. Dieser Anspruch setzt wiederum voraus, dass eine solche Anordnung rechtmäßig wäre und das Ermessen auf Null reduziert ist.</w:t>
      </w:r>
    </w:p>
    <w:p w14:paraId="74EF9A2D" w14:textId="20D19896" w:rsidR="00B855DA" w:rsidRPr="00B855DA" w:rsidRDefault="00B855DA" w:rsidP="00B855DA">
      <w:pPr>
        <w:rPr>
          <w:i/>
        </w:rPr>
      </w:pPr>
      <w:r>
        <w:rPr>
          <w:i/>
        </w:rPr>
        <w:t>Aufbauh</w:t>
      </w:r>
      <w:r w:rsidRPr="00B855DA">
        <w:rPr>
          <w:i/>
        </w:rPr>
        <w:t>inweis: Es wäre ebenso vertretbar, einen Anspruchsaufbau zu wählen. Dann würde zunächst die Anspruchsgrundlage bestimmt und danach die Anspruchsvoraussetzungen (also die Tatbestandsmerkmale der Anspruchsgrundlage) geprüft. Zum Schluss wird dargestellt, ob der Verwaltung noch ein Gestaltungsspielraum verbleibt oder die Sache (bei gebundenen Entscheidungen oder einer Ermessensreduzierung auf Null) spruchreif ist.</w:t>
      </w:r>
      <w:r w:rsidRPr="00B855DA">
        <w:rPr>
          <w:rStyle w:val="Funotenzeichen"/>
          <w:i/>
          <w:szCs w:val="20"/>
        </w:rPr>
        <w:footnoteReference w:id="150"/>
      </w:r>
      <w:r w:rsidRPr="00B855DA">
        <w:rPr>
          <w:i/>
        </w:rPr>
        <w:t xml:space="preserve"> </w:t>
      </w:r>
    </w:p>
    <w:p w14:paraId="104B80CB" w14:textId="77777777" w:rsidR="00FD1D5D" w:rsidRPr="00642F32" w:rsidRDefault="00FD1D5D" w:rsidP="000434BF">
      <w:pPr>
        <w:pStyle w:val="berschrift5"/>
      </w:pPr>
      <w:bookmarkStart w:id="193" w:name="_Toc22133056"/>
      <w:r w:rsidRPr="00642F32">
        <w:t>I. Rechtmäßigkeit einer Löschungsanordnung</w:t>
      </w:r>
      <w:bookmarkEnd w:id="193"/>
    </w:p>
    <w:p w14:paraId="168808E8" w14:textId="77777777" w:rsidR="00FD1D5D" w:rsidRPr="00FD1D5D" w:rsidRDefault="00FD1D5D" w:rsidP="00FD1D5D">
      <w:pPr>
        <w:pStyle w:val="Randnummer"/>
        <w:framePr w:wrap="around"/>
      </w:pPr>
    </w:p>
    <w:p w14:paraId="3B989555" w14:textId="77777777" w:rsidR="00FD1D5D" w:rsidRPr="00FD1D5D" w:rsidRDefault="00FD1D5D" w:rsidP="00FD1D5D">
      <w:r w:rsidRPr="00FD1D5D">
        <w:t>Die begehrte Löschungsanordnung müsste rechtmäßig sein. Dies ist der Fall, wenn eine taugliche Ermächtigungsgrundlage vorliegt und die Anordnung formell und materiell rechtmäßig wäre.</w:t>
      </w:r>
    </w:p>
    <w:p w14:paraId="05B63DD3" w14:textId="77777777" w:rsidR="00FD1D5D" w:rsidRPr="002C6282" w:rsidRDefault="00FD1D5D" w:rsidP="000434BF">
      <w:pPr>
        <w:pStyle w:val="berschrift6"/>
      </w:pPr>
      <w:bookmarkStart w:id="194" w:name="_Toc22133057"/>
      <w:r w:rsidRPr="002C6282">
        <w:t>1. Ermächtigungsgrundlage</w:t>
      </w:r>
      <w:bookmarkEnd w:id="194"/>
    </w:p>
    <w:p w14:paraId="67A5B073" w14:textId="3B6E6E3E" w:rsidR="00FD1D5D" w:rsidRPr="00FD1D5D" w:rsidRDefault="00FD1D5D" w:rsidP="00FD1D5D">
      <w:pPr>
        <w:pStyle w:val="Randnummer"/>
        <w:framePr w:wrap="around"/>
      </w:pPr>
    </w:p>
    <w:p w14:paraId="712E84F2" w14:textId="32708BDC" w:rsidR="00FD1D5D" w:rsidRPr="00FD1D5D" w:rsidRDefault="00FD1D5D" w:rsidP="00FD1D5D">
      <w:r w:rsidRPr="00FD1D5D">
        <w:t xml:space="preserve">Als Ermächtigungsgrundlage kommt zunächst § 59 III 1 und 2 RStV in Betracht. § 59 III 1 RStV ermächtigt die zuständige Behörde, bei Verstößen gegen die in § 59 II RStV genannten Bestimmungen die erforderlichen Maßnahmen gegenüber dem Anbieter des Telemediums zu treffen. Nach § 59 III 2 RStV kann die zuständige Behörde Angebote untersagen und deren Sperrung anordnen. Bei dem Blog des X handelt es sich laut </w:t>
      </w:r>
      <w:r w:rsidR="00B855DA">
        <w:t>Bearbeitungshinweis</w:t>
      </w:r>
      <w:r w:rsidRPr="00FD1D5D">
        <w:t xml:space="preserve"> um ein Telemedium nach §§ 54 ff. RStV. Allerdings ist zu beachten, dass § 59 III RStV ausdrücklich nicht für Verstöße gegen § 54 RStV gilt. § 54 I 3 RStV regelt die Pflicht von Telemedien zur Einhaltung der allgemeinen Gesetze und der gesetzlichen Bestimmungen zum Schutz der persönlichen Ehre. Wird gegen diese Pflicht verstoßen, ist § 59 III RStV nicht anwendbar. X hat möglicherweise gegen Gesetze zum Schutz der persönlichen Ehre verstoßen, indem er in seinem Blog J beleidigende (§185 StGB) und verleumdende (§ 187 StGB) Äußerungen getätigt hat. Weitere Verstöße gegen Vorschriften des RStV sind nicht ersichtlich. Damit ist § 59 III 1 und 2 RStV hier nicht einschlägig. (</w:t>
      </w:r>
      <w:r w:rsidRPr="00B855DA">
        <w:rPr>
          <w:i/>
        </w:rPr>
        <w:t>a.A. vertretbar</w:t>
      </w:r>
      <w:r w:rsidRPr="00FD1D5D">
        <w:t>).</w:t>
      </w:r>
      <w:r w:rsidRPr="00FD1D5D">
        <w:rPr>
          <w:vertAlign w:val="superscript"/>
        </w:rPr>
        <w:footnoteReference w:id="151"/>
      </w:r>
      <w:r w:rsidR="00B855DA">
        <w:t xml:space="preserve"> (</w:t>
      </w:r>
      <w:r w:rsidR="008C1818">
        <w:rPr>
          <w:i/>
        </w:rPr>
        <w:t>Lösungsh</w:t>
      </w:r>
      <w:r w:rsidR="00B855DA" w:rsidRPr="00B855DA">
        <w:rPr>
          <w:i/>
        </w:rPr>
        <w:t xml:space="preserve">inweis: </w:t>
      </w:r>
      <w:r w:rsidRPr="00B855DA">
        <w:rPr>
          <w:i/>
        </w:rPr>
        <w:t>Kenntnis des in der Fußnote dargestellten Problems kann nicht erwartet werden, ausreichend ist eine saubere Arbeit mit §§ 54 und 59 RStV.</w:t>
      </w:r>
      <w:r w:rsidR="00B855DA">
        <w:t>)</w:t>
      </w:r>
    </w:p>
    <w:p w14:paraId="20AF2E87" w14:textId="3022C9B8" w:rsidR="00FD1D5D" w:rsidRPr="00FD1D5D" w:rsidRDefault="00FD1D5D" w:rsidP="00FD1D5D">
      <w:pPr>
        <w:rPr>
          <w:i/>
        </w:rPr>
      </w:pPr>
      <w:r w:rsidRPr="00FD1D5D">
        <w:t>Allerdings bleiben nach § 59 III 7 RStV die Befugnisse der Aufsichtsbehörde zur Durchsetzung der Vorschriften der allgemeinen Gesetze und der gesetzlichen Bestimmungen zum Schutz der persönlichen Ehre unberührt. § 59 III RStV ist nur insoweit spezieller, als es um die Überwachung der Einhaltung der von § 59 III RStV erfassten für Telemedien geltenden Bestimmungen der §§ 55 ff. RStV geht.</w:t>
      </w:r>
      <w:r w:rsidRPr="00FD1D5D">
        <w:rPr>
          <w:vertAlign w:val="superscript"/>
        </w:rPr>
        <w:footnoteReference w:id="152"/>
      </w:r>
      <w:r w:rsidRPr="00FD1D5D">
        <w:t xml:space="preserve"> Bei den allgemeinen Gesetzen und den Gesetzen zum Schutz der persönlichen Ehre entfaltet § 59 RStV keine Sperrwirkung und wenn Sonderrecht keine Sperrwirkung hat, kommt der ordnungsbehördlichen Generalklausel Auffangwirkung zu.</w:t>
      </w:r>
      <w:r w:rsidRPr="00FD1D5D">
        <w:rPr>
          <w:vertAlign w:val="superscript"/>
        </w:rPr>
        <w:footnoteReference w:id="153"/>
      </w:r>
      <w:r w:rsidRPr="00FD1D5D">
        <w:t xml:space="preserve"> </w:t>
      </w:r>
      <w:r w:rsidR="00620FA8">
        <w:t>D.h.</w:t>
      </w:r>
      <w:r w:rsidRPr="00FD1D5D">
        <w:t>, dass auf die ordnungsbehördliche Generalklausel nach dem jeweils einschlägigen Polizei- bzw. Ordnungsbehördengesetz zurückgegriffen werden kann, wenn Telemedien gegen Gesetze zum Schutz der persönlichen Ehre und sonstige allgemeine Gesetze verstoßen.</w:t>
      </w:r>
      <w:r w:rsidRPr="00FD1D5D">
        <w:rPr>
          <w:vertAlign w:val="superscript"/>
        </w:rPr>
        <w:footnoteReference w:id="154"/>
      </w:r>
      <w:r w:rsidRPr="00FD1D5D">
        <w:t xml:space="preserve"> Mithin ist § 9 I POG die hier einschlägige Ermächtigungsgrundlage. Diese ist auch für die ADD als Landesordnungsbehörde nach § 89 III POG anwendbar. Gemäß § 9 II POG können sich allgemeine Ordnungsbehörden auch zur Erfüllung von Aufgaben, die ihnen nach anderen Vorschriften als dem POG übertragen sind, auf § 9 I POG berufen, wenn die erwähnten Vorschriften ihre Befugnisse nicht spezieller regeln. Hier hat die ADD als die nach Landesrecht zuständige Behörde zwar gemäß § 59 II RStV die Aufgabe, </w:t>
      </w:r>
      <w:r w:rsidR="00B855DA" w:rsidRPr="00FD1D5D">
        <w:t xml:space="preserve">die Einhaltung der allgemeinen Gesetze und gesetzlichen Bestimmungen zum Schutz der persönlichen Ehre durch Telemedien durchzusetzen, </w:t>
      </w:r>
      <w:r w:rsidR="00B855DA">
        <w:t>die</w:t>
      </w:r>
      <w:r w:rsidR="00B855DA" w:rsidRPr="00FD1D5D">
        <w:t xml:space="preserve"> Ermächtigungsgrundlage</w:t>
      </w:r>
      <w:r w:rsidR="00B855DA">
        <w:t xml:space="preserve"> wurde jedoch dem allgemeinen Polizei- und Ordnungsrecht überlassen</w:t>
      </w:r>
      <w:r w:rsidR="00B855DA" w:rsidRPr="00FD1D5D">
        <w:t>. Somit liegt ein Fall des § 9 II POG vor und dieser eröffnet den Rückgriff auf § 9 I POG.</w:t>
      </w:r>
    </w:p>
    <w:p w14:paraId="7B98B932" w14:textId="77777777" w:rsidR="00FD1D5D" w:rsidRPr="00642F32" w:rsidRDefault="00FD1D5D" w:rsidP="000434BF">
      <w:pPr>
        <w:pStyle w:val="berschrift6"/>
      </w:pPr>
      <w:bookmarkStart w:id="195" w:name="_Toc22133058"/>
      <w:r w:rsidRPr="00642F32">
        <w:t>2. Formelle Rechtmäßigkeit</w:t>
      </w:r>
      <w:bookmarkEnd w:id="195"/>
    </w:p>
    <w:p w14:paraId="7BCA7196" w14:textId="77777777" w:rsidR="00FD1D5D" w:rsidRPr="00FD1D5D" w:rsidRDefault="00FD1D5D" w:rsidP="00FD1D5D">
      <w:pPr>
        <w:pStyle w:val="Randnummer"/>
        <w:framePr w:wrap="around"/>
      </w:pPr>
    </w:p>
    <w:p w14:paraId="2D05B04C" w14:textId="77777777" w:rsidR="00FD1D5D" w:rsidRPr="00FD1D5D" w:rsidRDefault="00FD1D5D" w:rsidP="00FD1D5D">
      <w:r w:rsidRPr="00FD1D5D">
        <w:t>Die sachliche Zuständigkeit der ADD zur Durchsetzung der Bestimmungen für Telemedien des RStV mit Ausnahme des Jugendmedienschutzes resultiert aus § 3 I des Landesgesetzes zu dem Staatsvertrag über den Rundfunk im vereinten Deutschland. Die örtliche Zuständigkeit folgt aus § 59 VI RStV.</w:t>
      </w:r>
    </w:p>
    <w:p w14:paraId="4E491446" w14:textId="0F551940" w:rsidR="00FD1D5D" w:rsidRPr="00FD1D5D" w:rsidRDefault="00FD1D5D" w:rsidP="00FD1D5D">
      <w:r w:rsidRPr="00FD1D5D">
        <w:t>Allerdings könnte sich hier etwas Anderes aus § 1 III POG ergeben. Danach obliegt den allgemeinen Ordnungsbehörden und der Polizei der Schutz privater Rechte nur dann, wenn gerichtlicher Schutz nicht rechtzeitig zu erlangen ist und wenn ohne ordnungsbehördliche oder polizeiliche Hilfe die Verwirklichung des Rechts vereitelt oder wesentlich erschwert werden würde.</w:t>
      </w:r>
      <w:r w:rsidRPr="00FD1D5D">
        <w:rPr>
          <w:vertAlign w:val="superscript"/>
        </w:rPr>
        <w:footnoteReference w:id="155"/>
      </w:r>
      <w:r w:rsidRPr="00FD1D5D">
        <w:t xml:space="preserve"> Ansonsten sind die Ordnungsbehörden nicht zuständig. Hintergrund ist, dass Private eine Verletzung ihrer Rechte vorrangig auf dem Rechtsweg durch Inanspruchnahme des Störers abstellen sollen, anstatt dafür ordnungsbehördliche Ressourcen in Anspruch zu nehmen. Den Ordnungsbehörden obliegt primär der Schutz öffentlicher Interessen.</w:t>
      </w:r>
      <w:r w:rsidRPr="00FD1D5D">
        <w:rPr>
          <w:vertAlign w:val="superscript"/>
        </w:rPr>
        <w:footnoteReference w:id="156"/>
      </w:r>
      <w:r w:rsidRPr="00FD1D5D">
        <w:t xml:space="preserve"> Ein entsprechender Gedanke findet sich in § 59 V RStV. Nach dieser Vorschrift sollen, wenn ein Angebot in Rechte Dritter eingreift und für den Dritten der Rechtsweg eröffnet ist, Anordnungen der Aufsichtsbehörde i.S.v. § 59 III RStV nur erfolgen, wenn dies aus Gründen des Gemeinwohls geboten ist. Hier wäre J ein gerichtliches Vorgehen gegen X möglich gewesen und dieses hätte Aussicht auf Erfolg gehabt. Allerdings gilt die Vorrangigkeit gerichtlichen Rechtsschutzes nicht, wenn</w:t>
      </w:r>
      <w:r w:rsidR="0046185C">
        <w:t>, wie hier,</w:t>
      </w:r>
      <w:r w:rsidRPr="00FD1D5D">
        <w:t xml:space="preserve"> </w:t>
      </w:r>
      <w:r w:rsidR="001C75A9">
        <w:t xml:space="preserve">neben der Verletzung privater Rechte </w:t>
      </w:r>
      <w:r w:rsidRPr="00FD1D5D">
        <w:t>zugleich ein Verstoß gegen Strafgesetze vorliegt. In einem solchen Fall sind auch öffentliche Interessen berührt, die ein Einschreiten der Ordnungsbehörden auch bei der Möglichkeit, gerichtlichen Rechtsschutz einzuholen, rechtfertigen. Es ist ausreichend, dass der objektive Tatbestand des Strafgesetzes verwirklicht wird. Ob es sich wie bei §§ 185 und 187 StGB um Antragsdelikte handelt spielt keine Rolle.</w:t>
      </w:r>
      <w:r w:rsidRPr="00FD1D5D">
        <w:rPr>
          <w:vertAlign w:val="superscript"/>
        </w:rPr>
        <w:footnoteReference w:id="157"/>
      </w:r>
      <w:r w:rsidRPr="00FD1D5D">
        <w:t xml:space="preserve"> Auch bei § 59 V RStV ist ein Einschreiten aus Gründen des Gemeinwohls geboten, wenn das Angebot des Telemediums gegen Strafgesetze verstößt.</w:t>
      </w:r>
      <w:r w:rsidRPr="00FD1D5D">
        <w:rPr>
          <w:vertAlign w:val="superscript"/>
        </w:rPr>
        <w:footnoteReference w:id="158"/>
      </w:r>
      <w:r w:rsidRPr="00FD1D5D">
        <w:t xml:space="preserve"> Damit steht § 1 III POG der Zuständigkeit der ADD nicht entgegen.</w:t>
      </w:r>
    </w:p>
    <w:p w14:paraId="649B91E7" w14:textId="112275F3" w:rsidR="00FD1D5D" w:rsidRDefault="008C1818" w:rsidP="00FD1D5D">
      <w:pPr>
        <w:rPr>
          <w:i/>
        </w:rPr>
      </w:pPr>
      <w:r>
        <w:rPr>
          <w:i/>
        </w:rPr>
        <w:t>Lösungsh</w:t>
      </w:r>
      <w:r w:rsidR="0046185C" w:rsidRPr="0046185C">
        <w:rPr>
          <w:i/>
        </w:rPr>
        <w:t xml:space="preserve">inweis: </w:t>
      </w:r>
      <w:r w:rsidR="00FD1D5D" w:rsidRPr="0046185C">
        <w:rPr>
          <w:i/>
        </w:rPr>
        <w:t>Die Frage, ob einem Einschreiten der Ordnungsbehörde die Möglichkeit zivil</w:t>
      </w:r>
      <w:r w:rsidR="001C75A9">
        <w:rPr>
          <w:i/>
        </w:rPr>
        <w:t>gerichtlichen</w:t>
      </w:r>
      <w:r w:rsidR="00FD1D5D" w:rsidRPr="0046185C">
        <w:rPr>
          <w:i/>
        </w:rPr>
        <w:t xml:space="preserve"> Rechtsschutzes entgegensteht, kann auch erst in der materiellen Rechtmäßigkeit geprüft werden, nämlich bei der Frage, ob beim Tätigwerden zum Schutz privater Rechte eine Gefahr für die öffentliche Sicherheit besteht.</w:t>
      </w:r>
      <w:r w:rsidR="00FD1D5D" w:rsidRPr="0046185C">
        <w:rPr>
          <w:i/>
          <w:vertAlign w:val="superscript"/>
        </w:rPr>
        <w:footnoteReference w:id="159"/>
      </w:r>
    </w:p>
    <w:p w14:paraId="18B1D3DA" w14:textId="77777777" w:rsidR="00772351" w:rsidRPr="0046185C" w:rsidRDefault="00772351" w:rsidP="00FD1D5D">
      <w:pPr>
        <w:rPr>
          <w:i/>
        </w:rPr>
      </w:pPr>
    </w:p>
    <w:p w14:paraId="3F3927E8" w14:textId="77777777" w:rsidR="00FD1D5D" w:rsidRPr="00642F32" w:rsidRDefault="00FD1D5D" w:rsidP="000434BF">
      <w:pPr>
        <w:pStyle w:val="berschrift6"/>
      </w:pPr>
      <w:bookmarkStart w:id="196" w:name="_Toc22133059"/>
      <w:r w:rsidRPr="00642F32">
        <w:t>3. Materielle Rechtmäßigkeit</w:t>
      </w:r>
      <w:bookmarkEnd w:id="196"/>
    </w:p>
    <w:p w14:paraId="2074885F" w14:textId="77777777" w:rsidR="00FD1D5D" w:rsidRPr="00FD1D5D" w:rsidRDefault="00FD1D5D" w:rsidP="00FD1D5D">
      <w:pPr>
        <w:pStyle w:val="Randnummer"/>
        <w:framePr w:wrap="around"/>
      </w:pPr>
    </w:p>
    <w:p w14:paraId="0EBCB2B8" w14:textId="77777777" w:rsidR="00FD1D5D" w:rsidRPr="00FD1D5D" w:rsidRDefault="00FD1D5D" w:rsidP="00FD1D5D">
      <w:r w:rsidRPr="00FD1D5D">
        <w:t>Fraglich ist, ob eine Löschungsanordnung materiell rechtmäßig wäre. Hierfür müssten die Voraussetzungen des § 9 I POG vorliegen und eine Löschungsanordnung ermessensfehlerfrei möglich sein.</w:t>
      </w:r>
    </w:p>
    <w:p w14:paraId="78210299" w14:textId="178F8C80" w:rsidR="00FD1D5D" w:rsidRPr="00642F32" w:rsidRDefault="00FD1D5D" w:rsidP="000434BF">
      <w:pPr>
        <w:pStyle w:val="berschrift7"/>
      </w:pPr>
      <w:bookmarkStart w:id="197" w:name="_Toc22133060"/>
      <w:r w:rsidRPr="00642F32">
        <w:t>a) Öffentliche Sicherheit und Ordnung</w:t>
      </w:r>
      <w:bookmarkEnd w:id="197"/>
    </w:p>
    <w:p w14:paraId="31A0682C" w14:textId="77777777" w:rsidR="00FD1D5D" w:rsidRPr="00FD1D5D" w:rsidRDefault="00FD1D5D" w:rsidP="00FD1D5D">
      <w:pPr>
        <w:pStyle w:val="Randnummer"/>
        <w:framePr w:wrap="around"/>
      </w:pPr>
    </w:p>
    <w:p w14:paraId="256DABE8" w14:textId="7A031800" w:rsidR="00FD1D5D" w:rsidRPr="00FD1D5D" w:rsidRDefault="00FD1D5D" w:rsidP="00FD1D5D">
      <w:r w:rsidRPr="00FD1D5D">
        <w:t xml:space="preserve">Dafür müsste zunächst eines </w:t>
      </w:r>
      <w:r w:rsidR="0046185C">
        <w:t xml:space="preserve">der </w:t>
      </w:r>
      <w:r w:rsidRPr="00FD1D5D">
        <w:t>von der Norm aufgeführten Schutzgüter in Form der öffentlichen Sicherheit oder Ordnung betroffen sein. Die öffentliche Sicherheit umfasst dabei die geschriebene Rechtsordnung, Bestand und Funktionsfähigkeit des Staates und seiner Einrichtungen und die Rechtsgüter des Einzelnen.</w:t>
      </w:r>
      <w:r w:rsidRPr="00FD1D5D">
        <w:rPr>
          <w:vertAlign w:val="superscript"/>
        </w:rPr>
        <w:footnoteReference w:id="160"/>
      </w:r>
      <w:r w:rsidRPr="00FD1D5D">
        <w:t xml:space="preserve"> Hier könnte die Rechtsordnung betroffen sein, wenn die Äußerungen des X gegen §</w:t>
      </w:r>
      <w:r w:rsidR="0046185C">
        <w:t>§</w:t>
      </w:r>
      <w:r w:rsidRPr="00FD1D5D">
        <w:t xml:space="preserve"> 185 bzw. 187 StGB und damit gleichzeitig dessen Pflicht zur Einhaltung der gesetzlichen Bestimmungen zum Schutz der persönlichen Ehre aus § 54 I 3 RStV verstoßen würde. § 185 StGB stellt Beleidigungen, also die Kundgabe von Miss- oder Nichtachtung gegenüber dem Betroffenen oder Dritten, unter Strafe. Mit der Bezeichnung als „dumme Sau“, „Dreck“, „Abschaum“ und „nicht lebenswert“ hat X öffentlich seine Missachtung der J kundgetan. Allerdings ist zu beachten, dass bei der Anwendung des § 185 StGB die Meinungsfreiheit zu berücksichtigen ist. Bei den dargestellten Äußerungen handelt es sich um Werturteile und damit Meinungen, die grundsätzlich von der Meinungsfreiheit geschützt werden. Ob die Meinungsfreiheit bei Beleidigungsdelikten bereits zu einer Einschränkung des Tatbestands führt oder erst auf Rechtfertigungsebene, im Rahmen von § 193 StGB oder eines eigenen Rechtfertigungstatbestands, relevant wird, ist umstritten.</w:t>
      </w:r>
      <w:r w:rsidRPr="00FD1D5D">
        <w:rPr>
          <w:vertAlign w:val="superscript"/>
        </w:rPr>
        <w:footnoteReference w:id="161"/>
      </w:r>
      <w:r w:rsidRPr="00FD1D5D">
        <w:t xml:space="preserve"> Allerdings tritt bei Schmähkritik die Meinungsfreiheit, ohne dass eine weitere Abwägung erforderlich wäre, hinter das allgemeine Persönlichkeitsrecht nach Art. 2 I i.V.m. 1 I GG und gegebenenfalls die Menschenwürde nach Art. 1 I GG der von der Schmähkritik betroffenen Person oder Personen zurück. </w:t>
      </w:r>
      <w:r w:rsidR="001C75A9" w:rsidRPr="001C75A9">
        <w:t>Dabei ist der Begriff der Schmähkritik zum Schutz der Meinungsfreiheit eng auszulegen. Insbesondere bei einer die Öffentlichkeit wesentlich berührenden Frage ist sie die Ausnahme.</w:t>
      </w:r>
      <w:r w:rsidR="001C75A9">
        <w:t xml:space="preserve"> </w:t>
      </w:r>
      <w:r w:rsidRPr="00FD1D5D">
        <w:t>Schmähkritik liegt vor, wenn es nicht mehr um die Auseinandersetzung in der Sache geht, sondern nur noch die Person angegriffen und in ihrer Würde verletzt werden soll.</w:t>
      </w:r>
      <w:r w:rsidRPr="00FD1D5D">
        <w:rPr>
          <w:vertAlign w:val="superscript"/>
        </w:rPr>
        <w:footnoteReference w:id="162"/>
      </w:r>
      <w:r w:rsidRPr="00FD1D5D">
        <w:t xml:space="preserve"> Dies ist bei der Bezeichnung von Menschen als „Abschaum“ oder „Dreck“ oder der Bezeichnung als „dumme Sau“ der Fall. Die Äußerungen haben keinen Bezug zu dem politischen Engagement der J und den „Fridays for Future“-Demonstrationen. </w:t>
      </w:r>
      <w:r w:rsidR="0046185C">
        <w:t>Zumindest d</w:t>
      </w:r>
      <w:r w:rsidR="0046185C" w:rsidRPr="00FD1D5D">
        <w:t xml:space="preserve">ie Bezeichnung als „nicht lebenswert“, mit der J der Achtungsanspruch als Mensch abgesprochen und ihr Lebensrecht als gleichberechtigte Person innerhalb der staatlichen Gemeinschaft </w:t>
      </w:r>
      <w:r w:rsidR="0046185C">
        <w:t>negiert</w:t>
      </w:r>
      <w:r w:rsidR="0046185C" w:rsidRPr="00FD1D5D">
        <w:t xml:space="preserve"> wird, betrifft zudem deren </w:t>
      </w:r>
      <w:r w:rsidR="0046185C">
        <w:t xml:space="preserve">nicht abwägungsfähige </w:t>
      </w:r>
      <w:r w:rsidR="0046185C" w:rsidRPr="00FD1D5D">
        <w:t>Menschenwürde. Mithin steht die Meinungsfreiheit des X der Wertung seiner Äußerungen als Beleidigung nicht entgegen.</w:t>
      </w:r>
    </w:p>
    <w:p w14:paraId="7B68B4BA" w14:textId="2195627A" w:rsidR="00FD1D5D" w:rsidRPr="00FD1D5D" w:rsidRDefault="00FD1D5D" w:rsidP="00FD1D5D">
      <w:r w:rsidRPr="00FD1D5D">
        <w:t>Verleumdung gemäß § 187 StGB ist die Verbreitung einer unwahren Tatsache, die eine andere Person verächtlich zu machen oder in der öffentlichen Meinung herabzuwürdigen geeignet ist, wider besseres Wissen. Ein Schulverweis und damit verbundene Auswirkungen auf die schulische Laufbahn werden nach objektiven Maßstäben überwiegend negativ bewertet und die Information darüber ist geeignet, J in der Achtung der Leser</w:t>
      </w:r>
      <w:r w:rsidR="0046185C">
        <w:t>*innen</w:t>
      </w:r>
      <w:r w:rsidRPr="00FD1D5D">
        <w:t xml:space="preserve"> von Xs Blog sinken zu lassen. Zwar stellt der Verweis angeblich „nur“ die Reaktion der Schule auf das Schuleschwänzen der J dar, sodass dieser keine Regelverstöße, die sie nicht tatsächlich begangen hat, unterstellt werden, der Hinweis, dass J von der Schule verwiesen wurde, </w:t>
      </w:r>
      <w:r w:rsidR="0046185C">
        <w:t xml:space="preserve">ist jedoch geeignet, dass Leser*innen </w:t>
      </w:r>
      <w:r w:rsidRPr="00FD1D5D">
        <w:t>die Schwere des Fernbleibens vom Unterricht strenger bewerten und negative Rückschlüsse auf den Ausbildungsstand bzw. die Schulkarriere der J ziehen. Ein Schulverweis wird vielfach als Scheitern des betreffenden Schülers wahrgenommen und wirkt sich abträglich auf dessen Ansehen aus. Dass J von der Schule verwiesen wurde ist auch unwahr und wird von X wider besseres Wissen verbreitet. Mithin liegt auch eine Verleumdung nach § 187 StGB vor.</w:t>
      </w:r>
    </w:p>
    <w:p w14:paraId="7AEA2E6A" w14:textId="77777777" w:rsidR="00FD1D5D" w:rsidRPr="00FD1D5D" w:rsidRDefault="00FD1D5D" w:rsidP="00FD1D5D">
      <w:r w:rsidRPr="00FD1D5D">
        <w:t>Neben dem Verstoß gegen Strafgesetze ist auch die Ehre der J betroffen. Somit besteht auch eine Beeinträchtigung von Individualrechtsgütern.</w:t>
      </w:r>
    </w:p>
    <w:p w14:paraId="0503999D" w14:textId="77777777" w:rsidR="00FD1D5D" w:rsidRPr="00FD1D5D" w:rsidRDefault="00FD1D5D" w:rsidP="00FD1D5D">
      <w:r w:rsidRPr="00FD1D5D">
        <w:t>Die öffentliche Sicherheit ist beeinträchtigt.</w:t>
      </w:r>
    </w:p>
    <w:p w14:paraId="7628CE4F" w14:textId="790DBBA6" w:rsidR="00FD1D5D" w:rsidRPr="00642F32" w:rsidRDefault="00FD1D5D" w:rsidP="000434BF">
      <w:pPr>
        <w:pStyle w:val="berschrift7"/>
      </w:pPr>
      <w:bookmarkStart w:id="198" w:name="_Toc22133061"/>
      <w:r w:rsidRPr="00642F32">
        <w:t>b) Gefahr</w:t>
      </w:r>
      <w:bookmarkEnd w:id="198"/>
    </w:p>
    <w:p w14:paraId="71C93AA5" w14:textId="77777777" w:rsidR="00FD1D5D" w:rsidRPr="00FD1D5D" w:rsidRDefault="00FD1D5D" w:rsidP="00FD1D5D">
      <w:pPr>
        <w:pStyle w:val="Randnummer"/>
        <w:framePr w:wrap="around"/>
      </w:pPr>
    </w:p>
    <w:p w14:paraId="167FA855" w14:textId="77777777" w:rsidR="00FD1D5D" w:rsidRPr="00FD1D5D" w:rsidRDefault="00FD1D5D" w:rsidP="00FD1D5D">
      <w:r w:rsidRPr="00FD1D5D">
        <w:t>Als nächstes müsste eine Gefahr für die öffentliche Sicherheit vorliegen. Gefahr meint einen Zustand, in dem aus der ex-ante-Perspektive eines verständigen Amtswalters bei ungehindertem Geschehensablauf die hinreichende Wahrscheinlichkeit eines Schadenseintritts in absehbarer Zeit besteht.</w:t>
      </w:r>
      <w:r w:rsidRPr="00FD1D5D">
        <w:rPr>
          <w:vertAlign w:val="superscript"/>
        </w:rPr>
        <w:footnoteReference w:id="163"/>
      </w:r>
      <w:r w:rsidRPr="00FD1D5D">
        <w:t xml:space="preserve"> Unter die Gefahr im polizeirechtlichen Sinne fällt jedoch auch die Situation, in der der Schaden bereits eingetreten ist. Dann darf die Ordnungsbehörde erst recht tätig werden und den Schaden beseitigen. Diese Lage wird als Störung bezeichnet.</w:t>
      </w:r>
      <w:r w:rsidRPr="00FD1D5D">
        <w:rPr>
          <w:vertAlign w:val="superscript"/>
        </w:rPr>
        <w:footnoteReference w:id="164"/>
      </w:r>
      <w:r w:rsidRPr="00FD1D5D">
        <w:t xml:space="preserve"> Hier haben die Verstöße gegen §§ 185 und 187 StGB und die Ehrverletzung bereits stattgefunden. Mithin liegt eine Störung und damit eine Gefahr im polizeirechtlichen Sinne vor.</w:t>
      </w:r>
    </w:p>
    <w:p w14:paraId="3A6993A1" w14:textId="1EE4D581" w:rsidR="00FD1D5D" w:rsidRPr="00642F32" w:rsidRDefault="00FD1D5D" w:rsidP="000434BF">
      <w:pPr>
        <w:pStyle w:val="berschrift7"/>
      </w:pPr>
      <w:bookmarkStart w:id="199" w:name="_Toc22133062"/>
      <w:r w:rsidRPr="00642F32">
        <w:t>c) Störer</w:t>
      </w:r>
      <w:bookmarkEnd w:id="199"/>
    </w:p>
    <w:p w14:paraId="4FDBC3E7" w14:textId="77777777" w:rsidR="00FD1D5D" w:rsidRPr="00FD1D5D" w:rsidRDefault="00FD1D5D" w:rsidP="00FD1D5D">
      <w:pPr>
        <w:pStyle w:val="Randnummer"/>
        <w:framePr w:wrap="around"/>
      </w:pPr>
    </w:p>
    <w:p w14:paraId="7F515DA7" w14:textId="77777777" w:rsidR="00FD1D5D" w:rsidRPr="00FD1D5D" w:rsidRDefault="00FD1D5D" w:rsidP="00FD1D5D">
      <w:r w:rsidRPr="00FD1D5D">
        <w:t>Die ordnungsbehördliche Generalklausel ermächtigt die Polizei und allgemeinen Ordnungsbehörden lediglich zu einem Vorgehen gegen für die Gefahr Verantwortliche, also Störer im polizeirechtlichen Sinne, oder Nichtstörer unter den Voraussetzungen des polizeilichen Notstands. Für die polizeiliche Verantwortlichkeit von Betreibern von Internetangeboten gelten die allgemeinen Vorschriften über Störer und Nichtstörer, die gegebenenfalls durch die Vorschriften der §§ 7 ff. TMG ergänzt werden. Inwieweit die entsprechenden Vorschriften des TMG Auswirkungen auf die polizeirechtliche Störerverantwortlichkeit haben oder lediglich die straf- und deliktsrechtliche Haftung betreffen ist allerdings umstritten.</w:t>
      </w:r>
      <w:r w:rsidRPr="00FD1D5D">
        <w:rPr>
          <w:vertAlign w:val="superscript"/>
        </w:rPr>
        <w:footnoteReference w:id="165"/>
      </w:r>
      <w:r w:rsidRPr="00FD1D5D">
        <w:t xml:space="preserve"> Handlungsstörer nach § 4 POG ist derjenige, der die Gefahr unmittelbar verursacht hat.</w:t>
      </w:r>
      <w:r w:rsidRPr="00FD1D5D">
        <w:rPr>
          <w:vertAlign w:val="superscript"/>
        </w:rPr>
        <w:footnoteReference w:id="166"/>
      </w:r>
      <w:r w:rsidRPr="00FD1D5D">
        <w:t xml:space="preserve"> Hier hat X die rechtswidrigen Inhalte verfasst und online gestellt und ist damit als Handlungsstörer einzuordnen. Nach 7 I TMG sind Diensteanbieter für eigene Informationen, die sie zur Nutzung bereithalten, nach den allgemeinen Gesetzen uneingeschränkt verantwortlich.</w:t>
      </w:r>
      <w:r w:rsidRPr="00FD1D5D">
        <w:rPr>
          <w:vertAlign w:val="superscript"/>
        </w:rPr>
        <w:footnoteReference w:id="167"/>
      </w:r>
      <w:r w:rsidRPr="00FD1D5D">
        <w:t xml:space="preserve"> X hält auf seinem Blog eigene Informationen zur Nutzung bereit, zu denen auch die von J gerügten gehören. Damit ist er als Contentprovider anzusehen und die §§ 7 ff. TMG stehen seiner Verantwortlichkeit nicht entgegen. Auf die Frage, ob sie die polizeiliche Verantwortlichkeit beeinflussen und Polizei- und Ordnungsbehördengesetze unter die allgemeinen Gesetze, für die 7 ff. TMG für Host- und Accessprovider die Haftung einschränken, fallen, kommt es somit nicht an.</w:t>
      </w:r>
      <w:r w:rsidRPr="00FD1D5D">
        <w:rPr>
          <w:vertAlign w:val="superscript"/>
        </w:rPr>
        <w:footnoteReference w:id="168"/>
      </w:r>
    </w:p>
    <w:p w14:paraId="6F82CB86" w14:textId="4BDF75A0" w:rsidR="00FD1D5D" w:rsidRPr="00642F32" w:rsidRDefault="00FD1D5D" w:rsidP="000434BF">
      <w:pPr>
        <w:pStyle w:val="berschrift7"/>
      </w:pPr>
      <w:bookmarkStart w:id="200" w:name="_Toc22133063"/>
      <w:r w:rsidRPr="00642F32">
        <w:t>d) Ermessen</w:t>
      </w:r>
      <w:bookmarkEnd w:id="200"/>
    </w:p>
    <w:p w14:paraId="3CF7476A" w14:textId="77777777" w:rsidR="00FD1D5D" w:rsidRPr="00FD1D5D" w:rsidRDefault="00FD1D5D" w:rsidP="00FD1D5D">
      <w:pPr>
        <w:pStyle w:val="Randnummer"/>
        <w:framePr w:wrap="around"/>
      </w:pPr>
    </w:p>
    <w:p w14:paraId="07C6B743" w14:textId="77777777" w:rsidR="00FD1D5D" w:rsidRPr="00FD1D5D" w:rsidRDefault="00FD1D5D" w:rsidP="00FD1D5D">
      <w:r w:rsidRPr="00FD1D5D">
        <w:t>Weiterhin müsste die Löschungsanordnung auch eine pflichtgemäße Ausübung des den Ordnungsbehörden von § 9 I POG eingeräumten Ermessens sein. Hier ist zwischen Entschließungs- und Auswahlermessen zu differenzieren.</w:t>
      </w:r>
    </w:p>
    <w:p w14:paraId="6D714840" w14:textId="56B06B11" w:rsidR="00FD1D5D" w:rsidRPr="00642F32" w:rsidRDefault="00FD1D5D" w:rsidP="000434BF">
      <w:pPr>
        <w:pStyle w:val="berschrift8"/>
      </w:pPr>
      <w:bookmarkStart w:id="201" w:name="_Toc22133064"/>
      <w:r w:rsidRPr="00642F32">
        <w:t>aa) Entschließungsermessen</w:t>
      </w:r>
      <w:bookmarkEnd w:id="201"/>
    </w:p>
    <w:p w14:paraId="757B86D2" w14:textId="77777777" w:rsidR="00FD1D5D" w:rsidRPr="00FD1D5D" w:rsidRDefault="00FD1D5D" w:rsidP="00FD1D5D">
      <w:pPr>
        <w:pStyle w:val="Randnummer"/>
        <w:framePr w:wrap="around"/>
      </w:pPr>
    </w:p>
    <w:p w14:paraId="2DEDA0F5" w14:textId="3954608C" w:rsidR="00FD1D5D" w:rsidRPr="00FD1D5D" w:rsidRDefault="00FD1D5D" w:rsidP="00FD1D5D">
      <w:r w:rsidRPr="00FD1D5D">
        <w:t xml:space="preserve">Entschließungsermessen betrifft die Frage, ob die Ordnungsbehörden überhaupt tätig werden. Besteht eine Gefahr für die öffentliche Sicherheit und Ordnung ist von den Ordnungsbehörden zu prüfen, ob ein Einschreiten der effektivste Weg zur Beseitigung der Gefahr ist oder </w:t>
      </w:r>
      <w:r w:rsidR="00163CBE">
        <w:t>z.B.</w:t>
      </w:r>
      <w:r w:rsidRPr="00FD1D5D">
        <w:t xml:space="preserve"> zu einer Eskalation und Verschlimmerung der Situation führen oder das Einschreiten gegen eine gravierendere Gefahr verhindern würde.</w:t>
      </w:r>
      <w:r w:rsidRPr="00FD1D5D">
        <w:rPr>
          <w:vertAlign w:val="superscript"/>
        </w:rPr>
        <w:footnoteReference w:id="169"/>
      </w:r>
      <w:r w:rsidRPr="00FD1D5D">
        <w:t xml:space="preserve"> Gründe, aus denen ein Vorgehen der ADD gegen X ermessensfehlerhaft sein sollte</w:t>
      </w:r>
      <w:r w:rsidR="00290A57">
        <w:t xml:space="preserve">, </w:t>
      </w:r>
      <w:r w:rsidRPr="00FD1D5D">
        <w:t>sind nicht ersichtlich. Dies gilt umso mehr, wenn man annimmt, dass das Entschließungsermessen beim Vorliegen einer Gefahr für die öffentliche Sicherheit intendiert in Richtung des Einschreitens ist.</w:t>
      </w:r>
      <w:r w:rsidRPr="00FD1D5D">
        <w:rPr>
          <w:vertAlign w:val="superscript"/>
        </w:rPr>
        <w:footnoteReference w:id="170"/>
      </w:r>
    </w:p>
    <w:p w14:paraId="1044AB74" w14:textId="77777777" w:rsidR="00FD1D5D" w:rsidRPr="00FD1D5D" w:rsidRDefault="00FD1D5D" w:rsidP="00FD1D5D">
      <w:r w:rsidRPr="00FD1D5D">
        <w:t>Damit wäre eine Löschungsverfügung gegen X eine pflichtgemäße Ausübung des Entschließungsermessens.</w:t>
      </w:r>
    </w:p>
    <w:p w14:paraId="35722974" w14:textId="5F6EA38D" w:rsidR="00FD1D5D" w:rsidRPr="00642F32" w:rsidRDefault="00FD1D5D" w:rsidP="000434BF">
      <w:pPr>
        <w:pStyle w:val="berschrift8"/>
      </w:pPr>
      <w:bookmarkStart w:id="202" w:name="_Toc22133065"/>
      <w:r w:rsidRPr="00642F32">
        <w:t>bb) Auswahlermessen</w:t>
      </w:r>
      <w:bookmarkEnd w:id="202"/>
    </w:p>
    <w:p w14:paraId="1EF013E9" w14:textId="77777777" w:rsidR="00FD1D5D" w:rsidRPr="00FD1D5D" w:rsidRDefault="00FD1D5D" w:rsidP="00FD1D5D">
      <w:pPr>
        <w:pStyle w:val="Randnummer"/>
        <w:framePr w:wrap="around"/>
      </w:pPr>
    </w:p>
    <w:p w14:paraId="77AD1656" w14:textId="60B1823B" w:rsidR="00FD1D5D" w:rsidRPr="00FD1D5D" w:rsidRDefault="00FD1D5D" w:rsidP="00FD1D5D">
      <w:r w:rsidRPr="00FD1D5D">
        <w:t>Auswahlermessen betrifft die Frage, welche von mehreren möglichen Maßnahmen die Ordnungsbehörde ergreifen soll. Hier spielt der auch in § 2 POG normierte Verhältnismäßigkeitsgrundsatz eine wichtige Rolle.</w:t>
      </w:r>
      <w:r w:rsidR="0046185C" w:rsidRPr="0046185C">
        <w:t xml:space="preserve"> </w:t>
      </w:r>
      <w:r w:rsidR="0046185C">
        <w:t>Ein Verstoß gegen diesen begründet einen Ermessensfehler in der Variante der Ermessensüberschreitung.</w:t>
      </w:r>
      <w:r w:rsidR="0046185C">
        <w:rPr>
          <w:rStyle w:val="Funotenzeichen"/>
        </w:rPr>
        <w:footnoteReference w:id="171"/>
      </w:r>
    </w:p>
    <w:p w14:paraId="463EE138" w14:textId="77777777" w:rsidR="00FD1D5D" w:rsidRDefault="00FD1D5D" w:rsidP="000434BF">
      <w:pPr>
        <w:pStyle w:val="berschrift9"/>
      </w:pPr>
      <w:bookmarkStart w:id="203" w:name="_Toc22133066"/>
      <w:r w:rsidRPr="00642F32">
        <w:t>(1) Legitimer Zweck</w:t>
      </w:r>
      <w:bookmarkEnd w:id="203"/>
    </w:p>
    <w:p w14:paraId="6BE9DEFD" w14:textId="77777777" w:rsidR="00F006CD" w:rsidRPr="00F006CD" w:rsidRDefault="00F006CD" w:rsidP="00F006CD">
      <w:pPr>
        <w:pStyle w:val="Randnummer"/>
        <w:framePr w:wrap="around"/>
      </w:pPr>
    </w:p>
    <w:p w14:paraId="75530479" w14:textId="77777777" w:rsidR="00FD1D5D" w:rsidRPr="00FD1D5D" w:rsidRDefault="00FD1D5D" w:rsidP="00FD1D5D">
      <w:r w:rsidRPr="00FD1D5D">
        <w:t>Legitimer Zweck einer Löschungsverfügung ist die Abstellung des Verstoßes gegen §§ 185, 187 StGB sowie der Verletzung von Js Ehre.</w:t>
      </w:r>
    </w:p>
    <w:p w14:paraId="0CDF7BB7" w14:textId="77777777" w:rsidR="00FD1D5D" w:rsidRDefault="00FD1D5D" w:rsidP="000434BF">
      <w:pPr>
        <w:pStyle w:val="berschrift9"/>
      </w:pPr>
      <w:bookmarkStart w:id="204" w:name="_Toc22133067"/>
      <w:r w:rsidRPr="00642F32">
        <w:t>(2) Geeignetheit</w:t>
      </w:r>
      <w:bookmarkEnd w:id="204"/>
    </w:p>
    <w:p w14:paraId="061C8ADF" w14:textId="77777777" w:rsidR="00F006CD" w:rsidRPr="00F006CD" w:rsidRDefault="00F006CD" w:rsidP="00F006CD">
      <w:pPr>
        <w:pStyle w:val="Randnummer"/>
        <w:framePr w:wrap="around"/>
      </w:pPr>
    </w:p>
    <w:p w14:paraId="7499C25E" w14:textId="77777777" w:rsidR="00FD1D5D" w:rsidRPr="00FD1D5D" w:rsidRDefault="00FD1D5D" w:rsidP="00FD1D5D">
      <w:r w:rsidRPr="00FD1D5D">
        <w:t>Eine Löschungsanordnung ist geeignet, den Verstoß gegen §§ 185 und 187 StGB sowie die Verletzung der Ehre der J zu beenden, indem die Äußerungen nach erfolgter Löschung nicht mehr zur Kenntnis genommen werden können.</w:t>
      </w:r>
    </w:p>
    <w:p w14:paraId="49C27467" w14:textId="77777777" w:rsidR="00FD1D5D" w:rsidRDefault="00FD1D5D" w:rsidP="000434BF">
      <w:pPr>
        <w:pStyle w:val="berschrift9"/>
      </w:pPr>
      <w:bookmarkStart w:id="205" w:name="_Toc22133068"/>
      <w:r w:rsidRPr="00642F32">
        <w:t>(3) Erforderlichkeit</w:t>
      </w:r>
      <w:bookmarkEnd w:id="205"/>
    </w:p>
    <w:p w14:paraId="10084357" w14:textId="77777777" w:rsidR="00F006CD" w:rsidRPr="00F006CD" w:rsidRDefault="00F006CD" w:rsidP="00F006CD">
      <w:pPr>
        <w:pStyle w:val="Randnummer"/>
        <w:framePr w:wrap="around"/>
      </w:pPr>
    </w:p>
    <w:p w14:paraId="2CBDCC10" w14:textId="514EC9BB" w:rsidR="00FD1D5D" w:rsidRPr="00FD1D5D" w:rsidRDefault="0046185C" w:rsidP="00FD1D5D">
      <w:r w:rsidRPr="00FD1D5D">
        <w:t>Die Löschungsanordnung müsste auch erforderlich sein. Dies ist der Fall, wenn kein milderes</w:t>
      </w:r>
      <w:r>
        <w:t>,</w:t>
      </w:r>
      <w:r w:rsidRPr="00FD1D5D">
        <w:t xml:space="preserve"> gleich geeignetes Mittel zur Verfügung steht. Als </w:t>
      </w:r>
      <w:r>
        <w:t>alternativ</w:t>
      </w:r>
      <w:r w:rsidRPr="00FD1D5D">
        <w:t>es Mittel käme in Betracht, X lediglich zur Einschränkung des Zugangs zu seinem Blogbeitrag oder der Veröffentlichung einer Gegendarstellung zu verpflichten. Dies wäre jedoch nicht gleich effektiv</w:t>
      </w:r>
      <w:r>
        <w:t>. D</w:t>
      </w:r>
      <w:r w:rsidRPr="00FD1D5D">
        <w:t xml:space="preserve">ie rechtswidrigen </w:t>
      </w:r>
      <w:r>
        <w:t>Äußerungen</w:t>
      </w:r>
      <w:r w:rsidRPr="00FD1D5D">
        <w:t xml:space="preserve"> </w:t>
      </w:r>
      <w:r>
        <w:t xml:space="preserve">könnten </w:t>
      </w:r>
      <w:r w:rsidRPr="00FD1D5D">
        <w:t>dann immer noch zur Kenntnis genommen werden und das Ansehen der J beeinträchtigen.</w:t>
      </w:r>
      <w:r>
        <w:t xml:space="preserve"> Eine Anordnung zur Zugangseinschränkung, die sich nicht auf </w:t>
      </w:r>
      <w:r w:rsidRPr="00FD1D5D">
        <w:t xml:space="preserve">die konkret rechtswidrigen </w:t>
      </w:r>
      <w:r>
        <w:t>Formulierungen, sondern den Blogbeitrag als Ganzes bezieht, wäre schon kein milderes Mittel. Von ihr wären auch rechtmäßige Inhalte betroffen</w:t>
      </w:r>
      <w:r w:rsidRPr="00FD1D5D">
        <w:t>.</w:t>
      </w:r>
    </w:p>
    <w:p w14:paraId="084A5583" w14:textId="77777777" w:rsidR="00FD1D5D" w:rsidRPr="00FD1D5D" w:rsidRDefault="00FD1D5D" w:rsidP="00FD1D5D">
      <w:r w:rsidRPr="00FD1D5D">
        <w:t>Daher wäre eine Löschungsanordnung auch erforderlich.</w:t>
      </w:r>
    </w:p>
    <w:p w14:paraId="26BF31F2" w14:textId="77777777" w:rsidR="00FD1D5D" w:rsidRDefault="00FD1D5D" w:rsidP="000434BF">
      <w:pPr>
        <w:pStyle w:val="berschrift9"/>
      </w:pPr>
      <w:bookmarkStart w:id="206" w:name="_Toc22133069"/>
      <w:r w:rsidRPr="00642F32">
        <w:t>(4) Angemessenheit</w:t>
      </w:r>
      <w:bookmarkEnd w:id="206"/>
    </w:p>
    <w:p w14:paraId="280C082B" w14:textId="77777777" w:rsidR="00F006CD" w:rsidRPr="00F006CD" w:rsidRDefault="00F006CD" w:rsidP="00F006CD">
      <w:pPr>
        <w:pStyle w:val="Randnummer"/>
        <w:framePr w:wrap="around"/>
      </w:pPr>
    </w:p>
    <w:p w14:paraId="0FEBE2F7" w14:textId="77777777" w:rsidR="00FD1D5D" w:rsidRPr="00FD1D5D" w:rsidRDefault="00FD1D5D" w:rsidP="00FD1D5D">
      <w:r w:rsidRPr="00FD1D5D">
        <w:t>Die Löschungsanordnung müsste auch angemessen sein. Dies ist durch eine Abwägung der durch die Löschungsanordnung geschützten Interessen mit denjenigen an der Aufrechterhaltung des Angebots zu ermitteln. Dabei sind die Wertigkeit der jeweiligen Interessen und die Schwere ihrer Beeinträchtigung die maßgeblichen Abwägungskriterien.</w:t>
      </w:r>
    </w:p>
    <w:p w14:paraId="676ECD3C" w14:textId="2280F39C" w:rsidR="00FD1D5D" w:rsidRPr="00FD1D5D" w:rsidRDefault="00FD1D5D" w:rsidP="00FD1D5D">
      <w:r w:rsidRPr="00FD1D5D">
        <w:t xml:space="preserve">Hier kann sich X zumindest für die betroffenen Werturteile auf die Meinungsfreiheit nach Art. 5 I 1 GG berufen. Die bewusst unwahre Tatsachenbehauptung, dass J von der Schule verwiesen worden sei, wird demgegenüber nicht von der Meinungsfreiheit geschützt. Erwiesen und bewusst unwahre Tatsachenbehauptungen tragen nichts zur zutreffenden Meinungsbildung bei. Wird verlangt, dass der Äußernde die Unwahrheit der Information kennt, führt ein Verbot </w:t>
      </w:r>
      <w:r w:rsidR="0046185C">
        <w:t xml:space="preserve">unwahrer Tatsachenbehauptungen </w:t>
      </w:r>
      <w:r w:rsidRPr="00FD1D5D">
        <w:t>auch nicht dazu, dass Personen von der Weiterverbreitung von Informationen, deren Wahrheitsgehalt sie nicht beurteilen bzw. nachprüfen können, abgehalten werden.</w:t>
      </w:r>
    </w:p>
    <w:p w14:paraId="0D71530D" w14:textId="1408BBB2" w:rsidR="0046185C" w:rsidRPr="00FD1D5D" w:rsidRDefault="0046185C" w:rsidP="0046185C">
      <w:r w:rsidRPr="00FD1D5D">
        <w:t xml:space="preserve">Mit der Kritik an den „Fridays for Future“-Demonstrationen geht es um eine Angelegenheit von öffentlichem Interesse, bei der eine Vermutung für die Zulässigkeit freier Rede spricht. Allerdings steht bei Bezeichnungen wie den von X verwendeten, wie oben dargestellt, nicht die Auseinandersetzung über das Thema Klimawandel </w:t>
      </w:r>
      <w:r>
        <w:t>und</w:t>
      </w:r>
      <w:r w:rsidRPr="00FD1D5D">
        <w:t xml:space="preserve"> die </w:t>
      </w:r>
      <w:r>
        <w:t>auf den „</w:t>
      </w:r>
      <w:r w:rsidRPr="00FD1D5D">
        <w:t>„Fridays for Future“-Demonstrationen</w:t>
      </w:r>
      <w:r>
        <w:t xml:space="preserve"> vorgebrachten Forderungen</w:t>
      </w:r>
      <w:r w:rsidRPr="00FD1D5D">
        <w:t>, sondern alleine die persönliche Diffamierung und Schmähung der J im Vordergrund. Es fehlt an einem schützenswerten Beitrag zur Meinungsbildung. Dem</w:t>
      </w:r>
      <w:r>
        <w:t xml:space="preserve"> </w:t>
      </w:r>
      <w:r w:rsidRPr="00FD1D5D">
        <w:t>gegenüber stehen das Allgemeine Persönlichkeitsrecht der J und deren Menschenwürde. Zumindest sofern J durch die Bezeichnung als „nicht lebenswert“ das Lebensrecht abgesprochen wird ist nicht nur ihre Ehre, sondern auch ihre Menschenwürde betroffen. Eine Äußerung betrifft die Menschenwürde, wenn sie nicht nur einzelne Persönlichkeitsrechte verletzt und beispielsweise dem Betroffenen Mängel unterstellt, sondern die Subjektqualität eines Menschen grundsätzlich in Frage stellt. Dies ist der Fall, wenn er als „unterwertiges Wesen“ ohne Lebensrecht behandelt bzw. bezeichnet wird.</w:t>
      </w:r>
      <w:r w:rsidRPr="00FD1D5D">
        <w:rPr>
          <w:vertAlign w:val="superscript"/>
        </w:rPr>
        <w:footnoteReference w:id="172"/>
      </w:r>
      <w:r w:rsidRPr="00FD1D5D">
        <w:t xml:space="preserve"> Derartige Bezeichnungen müssen auch Personen, die sich freiwillig in die Öffentlichkeit begeben und zum Teil einer öffentlichen Debatte, wie derjenigen über die Beurteilung der „Fridays for Future“-Demonstrationen, machen, nicht hinnehmen. </w:t>
      </w:r>
      <w:r>
        <w:t>Die Menschenwürde als Wurzel der Grundrechte ist mit keinem anderen Grundrecht abwägungsfähig, sodass die Meinungsfreiheit ihr gegenüber stets zurücktritt.</w:t>
      </w:r>
      <w:r>
        <w:rPr>
          <w:rStyle w:val="Funotenzeichen"/>
        </w:rPr>
        <w:footnoteReference w:id="173"/>
      </w:r>
      <w:r>
        <w:t xml:space="preserve"> Somit </w:t>
      </w:r>
      <w:r w:rsidRPr="00FD1D5D">
        <w:t xml:space="preserve">muss die Meinungsfreiheit des X </w:t>
      </w:r>
      <w:r>
        <w:t xml:space="preserve">hinter den Interessen der J </w:t>
      </w:r>
      <w:r w:rsidRPr="00FD1D5D">
        <w:t>zurücktreten.</w:t>
      </w:r>
    </w:p>
    <w:p w14:paraId="4F8BC7CE" w14:textId="60839A9E" w:rsidR="0046185C" w:rsidRPr="00FD1D5D" w:rsidRDefault="0046185C" w:rsidP="0046185C">
      <w:r w:rsidRPr="00FD1D5D">
        <w:t>Die Informationsfreiheit der Leser</w:t>
      </w:r>
      <w:r>
        <w:t>*innen</w:t>
      </w:r>
      <w:r w:rsidRPr="00FD1D5D">
        <w:t xml:space="preserve"> des Blogs schützt auch den Zugang zu rechtswidrig veröffentlichten und strafbaren Informationen, solange diese sich in einer allgemein zugänglichen Quelle befinden. Die Informationsfreiheit fordert eine gegenüber dem von der Meinungsfreiheit umfassten Veröffentlichungsvorgang eigene Interessenabwägung.</w:t>
      </w:r>
      <w:r w:rsidRPr="00FD1D5D">
        <w:rPr>
          <w:vertAlign w:val="superscript"/>
        </w:rPr>
        <w:footnoteReference w:id="174"/>
      </w:r>
      <w:r w:rsidRPr="00FD1D5D">
        <w:t xml:space="preserve"> Es wird nicht nach der Art der Information unterschieden, sodass wahre und unwahre Tatsachenbehauptungen ebenso umfasst sind wie Werturteilte. Die Löschung von der Allgemeinheit zugänglichen Inhalten im Internet stellt eine Hinderung der Unterrichtungsmöglichkeit der Internetnutzer und somit einen Eingriff in die Informationsfreiheit dar.</w:t>
      </w:r>
      <w:r w:rsidRPr="00FD1D5D">
        <w:rPr>
          <w:vertAlign w:val="superscript"/>
        </w:rPr>
        <w:footnoteReference w:id="175"/>
      </w:r>
      <w:r w:rsidRPr="00FD1D5D">
        <w:t xml:space="preserve"> Jedoch kann auch die Informationsfreiheit zum Schutz entgegenstehender Grundrechte, wie dem Allgemeinen Persönlichkeitsrecht, eingeschränkt werden. Hier wird der soziale Geltungsanspruch der J auch und gerade dadurch beeinträchtigt, dass Dritte den Beitrag des X zur Kenntnis nehmen und sich durch ihn in ihrem Urteil über J möglicherweise beeinflussen lassen. Das Allgemeine Persönlichkeitsrecht schützt vor Äußerungen, die geeignet sind, sich abträglich auf das Bild einer Person in der Öffentlichkeit auszuwirken. Dazu gehören auch verfälschende und Darstellungen von nicht ganz unerheblicher Bedeutung für die Persönlichkeitsentfaltung, wie </w:t>
      </w:r>
      <w:r w:rsidR="00163CBE">
        <w:t>z.B.</w:t>
      </w:r>
      <w:r w:rsidRPr="00FD1D5D">
        <w:t xml:space="preserve"> unzutreffende Behauptungen über schulisches Scheitern.</w:t>
      </w:r>
      <w:r w:rsidRPr="00FD1D5D">
        <w:rPr>
          <w:vertAlign w:val="superscript"/>
        </w:rPr>
        <w:footnoteReference w:id="176"/>
      </w:r>
      <w:r w:rsidRPr="00FD1D5D">
        <w:t xml:space="preserve"> Zudem befindet sich J als Jugendliche noch in der Phase der Persönlichkeitsentwicklung. Diese könnte durch den Beitrag des X und etwaige Reaktionen darauf beeinträchtigt werden. Mithin wiegt das allgemeine Persönlichkeitsrecht der J besonders schwer. Insbesondere die Verletzung der Menschenwürde durch die Bezeichnung als „nicht lebenswert“ wiegt auch schwerer als die Informationsfreiheit. </w:t>
      </w:r>
      <w:r>
        <w:t xml:space="preserve">Wie bereits dargestellt kann die Menschenwürde nicht mit anderen Grundrechten abgewogen werden, sondern genießt stets den Vorrang. Bei der Behauptung des Schulverweises ist zu berücksichtigen, dass </w:t>
      </w:r>
      <w:r w:rsidRPr="00FD1D5D">
        <w:t>das Informationsinteresse an unwahren Tatsachenbehauptungen nur gering</w:t>
      </w:r>
      <w:r>
        <w:t xml:space="preserve"> ist</w:t>
      </w:r>
      <w:r w:rsidRPr="00FD1D5D">
        <w:t xml:space="preserve">. </w:t>
      </w:r>
      <w:r>
        <w:t>Dies</w:t>
      </w:r>
      <w:r w:rsidRPr="00FD1D5D">
        <w:t>e können nicht zu einer verfassungsrechtlich vorausgesetzten zutreffenden Informierung und Meinungsbildung beitragen, sondern täuschen.</w:t>
      </w:r>
      <w:r w:rsidRPr="00FD1D5D">
        <w:rPr>
          <w:vertAlign w:val="superscript"/>
        </w:rPr>
        <w:footnoteReference w:id="177"/>
      </w:r>
      <w:r w:rsidRPr="00FD1D5D">
        <w:t xml:space="preserve"> Daher überwiegen die entgegenstehenden Interessen </w:t>
      </w:r>
      <w:r>
        <w:t xml:space="preserve">der J </w:t>
      </w:r>
      <w:r w:rsidRPr="00FD1D5D">
        <w:t>auch die Informationsfreiheit der Leser</w:t>
      </w:r>
      <w:r>
        <w:t>*innen</w:t>
      </w:r>
      <w:r w:rsidRPr="00FD1D5D">
        <w:t xml:space="preserve"> des Blogs.</w:t>
      </w:r>
    </w:p>
    <w:p w14:paraId="2AAB1EE4" w14:textId="70410BD5" w:rsidR="00FD1D5D" w:rsidRPr="00FD1D5D" w:rsidRDefault="0046185C" w:rsidP="0046185C">
      <w:r w:rsidRPr="00FD1D5D">
        <w:t>Somit wäre eine Löschungsanordnung auch angemessen.</w:t>
      </w:r>
    </w:p>
    <w:p w14:paraId="01CCD76A" w14:textId="77777777" w:rsidR="00FD1D5D" w:rsidRPr="00FD1D5D" w:rsidRDefault="00FD1D5D" w:rsidP="00FD1D5D">
      <w:r w:rsidRPr="00FD1D5D">
        <w:t>Sie wäre verhältnismäßig und somit eine pflichtgemäße Ausübung des Auswahlermessens.</w:t>
      </w:r>
    </w:p>
    <w:p w14:paraId="2A70B508" w14:textId="77777777" w:rsidR="00FD1D5D" w:rsidRPr="00FD1D5D" w:rsidRDefault="00FD1D5D" w:rsidP="00FD1D5D">
      <w:r w:rsidRPr="00FD1D5D">
        <w:t>Eine Löschungsanordnung wäre rechtmäßig</w:t>
      </w:r>
    </w:p>
    <w:p w14:paraId="40DDBE3D" w14:textId="77777777" w:rsidR="00FD1D5D" w:rsidRPr="00642F32" w:rsidRDefault="00FD1D5D" w:rsidP="000434BF">
      <w:pPr>
        <w:pStyle w:val="berschrift5"/>
      </w:pPr>
      <w:bookmarkStart w:id="207" w:name="_Toc22133070"/>
      <w:r w:rsidRPr="00642F32">
        <w:t>II. Ermessensreduzierung auf Null</w:t>
      </w:r>
      <w:bookmarkEnd w:id="207"/>
    </w:p>
    <w:p w14:paraId="7B38A197" w14:textId="77777777" w:rsidR="00FD1D5D" w:rsidRPr="00FD1D5D" w:rsidRDefault="00FD1D5D" w:rsidP="00FD1D5D">
      <w:pPr>
        <w:pStyle w:val="Randnummer"/>
        <w:framePr w:wrap="around"/>
      </w:pPr>
    </w:p>
    <w:p w14:paraId="15D7FBD6" w14:textId="348B9988" w:rsidR="00FD1D5D" w:rsidRPr="00FD1D5D" w:rsidRDefault="00FD1D5D" w:rsidP="00FD1D5D">
      <w:r w:rsidRPr="00FD1D5D">
        <w:t xml:space="preserve">Damit J einen Anspruch auf Erlass der Löschungsanordnung hat </w:t>
      </w:r>
      <w:r w:rsidR="0046185C" w:rsidRPr="00FD1D5D">
        <w:t>müssten</w:t>
      </w:r>
      <w:r w:rsidRPr="00FD1D5D">
        <w:t xml:space="preserve"> sowohl das Entschließungs- als auch das Auswahlermessen auf Null reduziert sein.</w:t>
      </w:r>
    </w:p>
    <w:p w14:paraId="19E4F3C5" w14:textId="6A8DC1B6" w:rsidR="00FD1D5D" w:rsidRPr="00FD1D5D" w:rsidRDefault="00FD1D5D" w:rsidP="00FD1D5D">
      <w:r w:rsidRPr="00FD1D5D">
        <w:t>Eine Ermessensreduzierung auf Null kann sich aus den Grundrechten der J (hier das allgemeine Persönlichkeitsrecht und die Menschenwürde) und der für diese bestehende staatliche Schutzpflicht ergeben. Voraussetzung für eine solche Ermessensreduzierung auf Null ist, dass die Schädigung oder Gefährdung eines Grundrechts so schwer wiegt, dass die Ordnungsbehörde eingreifen muss. Maßgeblich dafür sind die Wertigkeit des bedrohten Rechtsguts, das Ausmaß des diesem drohenden oder bereits eingetretenen Schaden</w:t>
      </w:r>
      <w:r w:rsidR="0046185C">
        <w:t>s</w:t>
      </w:r>
      <w:r w:rsidRPr="00FD1D5D">
        <w:t>, die mit dem ordnungsbehördlichen Tätigwerden verbundene Risiken und der Aufwand der begehrten behördlichen Maßnahme.</w:t>
      </w:r>
      <w:r w:rsidRPr="00FD1D5D">
        <w:rPr>
          <w:vertAlign w:val="superscript"/>
        </w:rPr>
        <w:footnoteReference w:id="178"/>
      </w:r>
    </w:p>
    <w:p w14:paraId="7F689ACA" w14:textId="5B4D42A6" w:rsidR="00FD1D5D" w:rsidRPr="00FD1D5D" w:rsidRDefault="00FD1D5D" w:rsidP="00FD1D5D">
      <w:r w:rsidRPr="00FD1D5D">
        <w:t>Gegen eine Ermessensreduzierung auf Null spricht, dass J die Möglichkeit verbleibt, X zivilrechtlich in Anspruch zu nehmen. Sie wird also nicht schutzlos gestellt, wenn die ADD den Erlass der gewünschten Löschungsanordnung verweigert.</w:t>
      </w:r>
      <w:r w:rsidRPr="00FD1D5D">
        <w:rPr>
          <w:vertAlign w:val="superscript"/>
        </w:rPr>
        <w:footnoteReference w:id="179"/>
      </w:r>
      <w:r w:rsidRPr="00FD1D5D">
        <w:t xml:space="preserve"> Mit der Menschenwürde der J ist allerdings ein besonders hochwertiges Rechtsgut betroffen.</w:t>
      </w:r>
      <w:r w:rsidRPr="00FD1D5D">
        <w:rPr>
          <w:vertAlign w:val="superscript"/>
        </w:rPr>
        <w:footnoteReference w:id="180"/>
      </w:r>
      <w:r w:rsidRPr="00FD1D5D">
        <w:t xml:space="preserve"> Zwar betreffen Fälle eines Anspruchs auf ordnungsbehördliches Einschreiten häufig Gefahren für Leib und Leben</w:t>
      </w:r>
      <w:r w:rsidRPr="00FD1D5D">
        <w:rPr>
          <w:vertAlign w:val="superscript"/>
        </w:rPr>
        <w:footnoteReference w:id="181"/>
      </w:r>
      <w:r w:rsidRPr="00FD1D5D">
        <w:t xml:space="preserve"> und nicht „lediglich“ die Ehre, allerdings geht es bei den Bezeichnungen als „Abschaum“, „Dreck“ und „nicht lebenswert“ um eine schwere Persönlichkeitsrechtsverletzung, die den menschenwürderelevanten Kernbereich des allgemeinen Persönlichkeitsrechts betrifft. Hinzu kommt, dass auch schon bei Verletzung von Sachwerten und mittel- bis niedrigrangigen Rechtsgütern eine Ermessensreduzierung auf Null angenommen wurde.</w:t>
      </w:r>
      <w:r w:rsidRPr="00FD1D5D">
        <w:rPr>
          <w:vertAlign w:val="superscript"/>
        </w:rPr>
        <w:footnoteReference w:id="182"/>
      </w:r>
    </w:p>
    <w:p w14:paraId="6B07297F" w14:textId="04191439" w:rsidR="00FD1D5D" w:rsidRPr="00FD1D5D" w:rsidRDefault="00FD1D5D" w:rsidP="00FD1D5D">
      <w:r w:rsidRPr="00FD1D5D">
        <w:t>Weiterhin wäre der Aufwand für den Erlass einer Löschungsverfügung gering. Der Urheber der rechtswidrigen Äußerungen ist bekannt und es geht lediglich um eine Person, gegenüber der eine Verfügung erlassen werden müsste. Weiterhin führt die Löschungsanordnung auch nicht zur Unterdrückung rechtmäßiger Äußerungen, wenn sie nicht den gesamten Blogbeitrag, sondern nur die von J gerügten rechtswidrigen Äußerungen betrifft. Es kommt also nicht zu Grundrechtseinbußen seitens X oder seiner Leser</w:t>
      </w:r>
      <w:r w:rsidR="0046185C">
        <w:t>*innen</w:t>
      </w:r>
      <w:r w:rsidRPr="00FD1D5D">
        <w:t>.</w:t>
      </w:r>
      <w:r w:rsidRPr="00FD1D5D">
        <w:br/>
        <w:t>Der von X für die Vornahme der Löschung erforderliche Aufwand ist nur gering. Die Abwägung führt somit zu einer Verpflichtung zum Einschreiten. (</w:t>
      </w:r>
      <w:r w:rsidR="008C1818" w:rsidRPr="008C1818">
        <w:rPr>
          <w:i/>
          <w:iCs/>
        </w:rPr>
        <w:t>Lösungsh</w:t>
      </w:r>
      <w:r w:rsidR="0046185C" w:rsidRPr="0046185C">
        <w:rPr>
          <w:i/>
        </w:rPr>
        <w:t xml:space="preserve">inweis: </w:t>
      </w:r>
      <w:r w:rsidRPr="0046185C">
        <w:rPr>
          <w:i/>
        </w:rPr>
        <w:t>a.A. vertretbar</w:t>
      </w:r>
      <w:r w:rsidR="00290A57">
        <w:rPr>
          <w:i/>
        </w:rPr>
        <w:t>,</w:t>
      </w:r>
      <w:r w:rsidRPr="0046185C">
        <w:rPr>
          <w:i/>
        </w:rPr>
        <w:t xml:space="preserve"> wenn angenommen wird, dass eine Ermessensreduzierung auf Null nur bei schweren Gefahren für Leib und Leben in Frage kommt und/oder ausscheidet, wenn der Anspruchsteller auch den Privatrechtsweg mit Aussicht auf Erfolg beschreiten kann.</w:t>
      </w:r>
      <w:r w:rsidRPr="00FD1D5D">
        <w:t>).</w:t>
      </w:r>
    </w:p>
    <w:p w14:paraId="0CCFDF8E" w14:textId="77777777" w:rsidR="00FD1D5D" w:rsidRPr="00FD1D5D" w:rsidRDefault="00FD1D5D" w:rsidP="00FD1D5D">
      <w:r w:rsidRPr="00FD1D5D">
        <w:t>Hinsichtlich des Auswahlermessens sind keine Maßnahmen ersichtlich, die die Grundrechte der J gleich wirksam schützen wie die von ihr begehrte Löschungsanordnung. Mithin bleibt der ADD auch bei der Wahl der Mittel kein Ermessensspielraum.</w:t>
      </w:r>
    </w:p>
    <w:p w14:paraId="1DC00C27" w14:textId="77777777" w:rsidR="00FD1D5D" w:rsidRPr="00FD1D5D" w:rsidRDefault="00FD1D5D" w:rsidP="00FD1D5D">
      <w:r w:rsidRPr="00FD1D5D">
        <w:t>Somit ist von einer Ermessensreduzierung auf Null auszugehen.</w:t>
      </w:r>
    </w:p>
    <w:p w14:paraId="6B9EE52B" w14:textId="77777777" w:rsidR="00FD1D5D" w:rsidRPr="00642F32" w:rsidRDefault="00FD1D5D" w:rsidP="000434BF">
      <w:pPr>
        <w:pStyle w:val="berschrift5"/>
      </w:pPr>
      <w:bookmarkStart w:id="208" w:name="_Toc22133071"/>
      <w:r w:rsidRPr="00642F32">
        <w:t>III. Zwischenergebnis</w:t>
      </w:r>
      <w:bookmarkEnd w:id="208"/>
    </w:p>
    <w:p w14:paraId="469C16CA" w14:textId="77777777" w:rsidR="00FD1D5D" w:rsidRPr="00FD1D5D" w:rsidRDefault="00FD1D5D" w:rsidP="00FD1D5D">
      <w:pPr>
        <w:pStyle w:val="Randnummer"/>
        <w:framePr w:wrap="around"/>
      </w:pPr>
    </w:p>
    <w:p w14:paraId="49CA9AE1" w14:textId="0343CCD3" w:rsidR="00FD1D5D" w:rsidRDefault="00FD1D5D" w:rsidP="00FD1D5D">
      <w:r w:rsidRPr="00FD1D5D">
        <w:t>J hat einen Anspruch auf die begehrte Löschungsanordnung. Die Klage ist begründet</w:t>
      </w:r>
      <w:r w:rsidR="000434BF">
        <w:t>.</w:t>
      </w:r>
    </w:p>
    <w:p w14:paraId="08280B3D" w14:textId="77777777" w:rsidR="000434BF" w:rsidRPr="00FD1D5D" w:rsidRDefault="000434BF" w:rsidP="00FD1D5D"/>
    <w:p w14:paraId="7CA4981B" w14:textId="3E313B34" w:rsidR="00FD1D5D" w:rsidRPr="00642F32" w:rsidRDefault="00FD1D5D" w:rsidP="000434BF">
      <w:pPr>
        <w:pStyle w:val="berschrift4"/>
      </w:pPr>
      <w:bookmarkStart w:id="209" w:name="_Toc22133072"/>
      <w:r w:rsidRPr="00642F32">
        <w:t>D. Ergebnis</w:t>
      </w:r>
      <w:bookmarkEnd w:id="209"/>
    </w:p>
    <w:p w14:paraId="6D2323D0" w14:textId="77777777" w:rsidR="00FD1D5D" w:rsidRPr="00FD1D5D" w:rsidRDefault="00FD1D5D" w:rsidP="00FD1D5D">
      <w:pPr>
        <w:pStyle w:val="Randnummer"/>
        <w:framePr w:wrap="around"/>
      </w:pPr>
    </w:p>
    <w:p w14:paraId="3682C78C" w14:textId="522E0B78" w:rsidR="007E71EB" w:rsidRDefault="00FD1D5D" w:rsidP="00FD1D5D">
      <w:r w:rsidRPr="00FD1D5D">
        <w:t>Die Klage ist zulässig und begründet und hat somit Aussicht auf Erfolg.</w:t>
      </w:r>
      <w:bookmarkEnd w:id="140"/>
      <w:bookmarkEnd w:id="181"/>
    </w:p>
    <w:p w14:paraId="4B7ACA9E" w14:textId="77777777" w:rsidR="007E71EB" w:rsidRDefault="007E71EB" w:rsidP="00FD1D5D"/>
    <w:p w14:paraId="2775A543" w14:textId="77777777" w:rsidR="007E71EB" w:rsidRDefault="007E71EB" w:rsidP="00FD1D5D">
      <w:pPr>
        <w:sectPr w:rsidR="007E71EB" w:rsidSect="000C4535">
          <w:footnotePr>
            <w:numRestart w:val="eachSect"/>
          </w:footnotePr>
          <w:pgSz w:w="9639" w:h="13608"/>
          <w:pgMar w:top="1418" w:right="1134" w:bottom="1134" w:left="1134" w:header="709" w:footer="709" w:gutter="0"/>
          <w:cols w:space="708"/>
          <w:docGrid w:linePitch="360"/>
        </w:sectPr>
      </w:pPr>
    </w:p>
    <w:p w14:paraId="042DA41C" w14:textId="5A0D3BC2" w:rsidR="00A0667A" w:rsidRDefault="008779DD" w:rsidP="00A0667A">
      <w:pPr>
        <w:pStyle w:val="berschrift1"/>
      </w:pPr>
      <w:bookmarkStart w:id="210" w:name="_Toc10463986"/>
      <w:bookmarkStart w:id="211" w:name="_Toc22132774"/>
      <w:r>
        <w:t xml:space="preserve">§ </w:t>
      </w:r>
      <w:r w:rsidR="00601E96">
        <w:t>4</w:t>
      </w:r>
      <w:r>
        <w:t xml:space="preserve"> Übungsfälle zur </w:t>
      </w:r>
      <w:r w:rsidR="00A0667A">
        <w:t>Fortsetzungsfeststellungsklage</w:t>
      </w:r>
      <w:bookmarkEnd w:id="210"/>
      <w:bookmarkEnd w:id="211"/>
    </w:p>
    <w:p w14:paraId="66B35AE3" w14:textId="23E3802A" w:rsidR="00BE58C9" w:rsidRDefault="00BE58C9" w:rsidP="00BE58C9">
      <w:pPr>
        <w:pStyle w:val="berschrift2"/>
      </w:pPr>
      <w:bookmarkStart w:id="212" w:name="_Toc22132775"/>
      <w:r>
        <w:t>Die Struktur der Fortsetzungsfeststellungsklage (Nikolas Eisentraut)</w:t>
      </w:r>
      <w:bookmarkEnd w:id="212"/>
    </w:p>
    <w:p w14:paraId="09B29AA6" w14:textId="66D4391A" w:rsidR="00BE58C9" w:rsidRDefault="00BE58C9" w:rsidP="00BE58C9">
      <w:pPr>
        <w:pStyle w:val="Autorin"/>
      </w:pPr>
      <w:r>
        <w:t>Nikolas Eisentraut</w:t>
      </w:r>
    </w:p>
    <w:p w14:paraId="6BC82DEE" w14:textId="77777777" w:rsidR="00BE58C9" w:rsidRPr="00BE58C9" w:rsidRDefault="00BE58C9" w:rsidP="00BE58C9">
      <w:r w:rsidRPr="00BE58C9">
        <w:t>Der gutachterlichen Prüfung der Fortsetzungsfeststellungsklage</w:t>
      </w:r>
      <w:r w:rsidRPr="00BE58C9">
        <w:fldChar w:fldCharType="begin"/>
      </w:r>
      <w:r w:rsidRPr="00BE58C9">
        <w:instrText xml:space="preserve"> XE "Fortsetzungsfeststellungsklage" </w:instrText>
      </w:r>
      <w:r w:rsidRPr="00BE58C9">
        <w:fldChar w:fldCharType="end"/>
      </w:r>
      <w:r w:rsidRPr="00BE58C9">
        <w:t xml:space="preserve"> liegt die folgende Struktur zugrunde:</w:t>
      </w:r>
    </w:p>
    <w:p w14:paraId="7996F1FA" w14:textId="77777777" w:rsidR="00BE58C9" w:rsidRPr="00BE58C9" w:rsidRDefault="00BE58C9" w:rsidP="00BE58C9">
      <w:r w:rsidRPr="00BE58C9">
        <w:t>A. Zulässigkeit</w:t>
      </w:r>
      <w:r w:rsidRPr="00BE58C9">
        <w:fldChar w:fldCharType="begin"/>
      </w:r>
      <w:r w:rsidRPr="00BE58C9">
        <w:instrText xml:space="preserve"> XE "Fortsetzungsfeststellungsklage:Zulässigkeitsprüfung" </w:instrText>
      </w:r>
      <w:r w:rsidRPr="00BE58C9">
        <w:fldChar w:fldCharType="end"/>
      </w:r>
    </w:p>
    <w:p w14:paraId="7BC2CD63" w14:textId="51F1262F" w:rsidR="0058118F" w:rsidRPr="00D16DAC" w:rsidRDefault="0058118F" w:rsidP="0058118F">
      <w:pPr>
        <w:ind w:firstLine="708"/>
      </w:pPr>
      <w:r w:rsidRPr="00D16DAC">
        <w:t>I. Eröffnung des Verwaltungsrechtswegs</w:t>
      </w:r>
      <w:r>
        <w:t xml:space="preserve"> (s. § 1 Rn. </w:t>
      </w:r>
      <w:r w:rsidR="00290A57">
        <w:t>8</w:t>
      </w:r>
      <w:r>
        <w:t> ff.)</w:t>
      </w:r>
      <w:r w:rsidR="003F18F9">
        <w:rPr>
          <w:rStyle w:val="Funotenzeichen"/>
        </w:rPr>
        <w:footnoteReference w:id="183"/>
      </w:r>
    </w:p>
    <w:p w14:paraId="7B4E41E7" w14:textId="2E92DEC2" w:rsidR="0058118F" w:rsidRPr="00D16DAC" w:rsidRDefault="0058118F" w:rsidP="0058118F">
      <w:pPr>
        <w:ind w:left="708"/>
      </w:pPr>
      <w:r w:rsidRPr="00D16DAC">
        <w:t>II. Statthafte Klageart (</w:t>
      </w:r>
      <w:r>
        <w:t>s. § 1 Rn. </w:t>
      </w:r>
      <w:r w:rsidR="00290A57">
        <w:t xml:space="preserve">6 </w:t>
      </w:r>
      <w:r>
        <w:t>ff.)</w:t>
      </w:r>
      <w:r>
        <w:rPr>
          <w:rStyle w:val="Funotenzeichen"/>
        </w:rPr>
        <w:footnoteReference w:id="184"/>
      </w:r>
    </w:p>
    <w:p w14:paraId="120A77D5" w14:textId="53EFE578" w:rsidR="00BE58C9" w:rsidRPr="00BE58C9" w:rsidRDefault="00BE58C9" w:rsidP="00BE58C9">
      <w:pPr>
        <w:ind w:firstLine="708"/>
      </w:pPr>
      <w:r w:rsidRPr="00BE58C9">
        <w:t>III. Klagebefugnis</w:t>
      </w:r>
      <w:r w:rsidR="0058118F">
        <w:rPr>
          <w:rStyle w:val="Funotenzeichen"/>
        </w:rPr>
        <w:footnoteReference w:id="185"/>
      </w:r>
    </w:p>
    <w:p w14:paraId="36A3E180" w14:textId="59BD4DB0" w:rsidR="00BE58C9" w:rsidRPr="00BE58C9" w:rsidRDefault="00BE58C9" w:rsidP="00BE58C9">
      <w:pPr>
        <w:ind w:firstLine="708"/>
      </w:pPr>
      <w:r w:rsidRPr="00BE58C9">
        <w:t>IV. Vorverfahren</w:t>
      </w:r>
      <w:r w:rsidR="0058118F">
        <w:rPr>
          <w:rStyle w:val="Funotenzeichen"/>
        </w:rPr>
        <w:footnoteReference w:id="186"/>
      </w:r>
    </w:p>
    <w:p w14:paraId="480EAB0A" w14:textId="739198BD" w:rsidR="00BE58C9" w:rsidRPr="00BE58C9" w:rsidRDefault="00BE58C9" w:rsidP="00BE58C9">
      <w:pPr>
        <w:ind w:firstLine="708"/>
      </w:pPr>
      <w:r w:rsidRPr="00BE58C9">
        <w:t>V. Klagefrist</w:t>
      </w:r>
      <w:r w:rsidR="0058118F">
        <w:rPr>
          <w:rStyle w:val="Funotenzeichen"/>
        </w:rPr>
        <w:footnoteReference w:id="187"/>
      </w:r>
    </w:p>
    <w:p w14:paraId="75C479AB" w14:textId="2F6F40D8" w:rsidR="00BE58C9" w:rsidRPr="00BE58C9" w:rsidRDefault="00BE58C9" w:rsidP="00BE58C9">
      <w:pPr>
        <w:ind w:firstLine="708"/>
      </w:pPr>
      <w:r w:rsidRPr="00BE58C9">
        <w:t>VI. Beteiligte</w:t>
      </w:r>
      <w:r w:rsidR="0058118F">
        <w:rPr>
          <w:rStyle w:val="Funotenzeichen"/>
        </w:rPr>
        <w:footnoteReference w:id="188"/>
      </w:r>
    </w:p>
    <w:p w14:paraId="0D7C8990" w14:textId="45A2E826" w:rsidR="00BE58C9" w:rsidRPr="00BE58C9" w:rsidRDefault="00BE58C9" w:rsidP="00BE58C9">
      <w:pPr>
        <w:ind w:firstLine="708"/>
      </w:pPr>
      <w:r w:rsidRPr="00BE58C9">
        <w:t>VII. Zuständiges Gericht</w:t>
      </w:r>
      <w:r w:rsidR="0058118F">
        <w:rPr>
          <w:rStyle w:val="Funotenzeichen"/>
        </w:rPr>
        <w:footnoteReference w:id="189"/>
      </w:r>
    </w:p>
    <w:p w14:paraId="7DB61746" w14:textId="2EFCB7CE" w:rsidR="00BE58C9" w:rsidRPr="00BE58C9" w:rsidRDefault="00BE58C9" w:rsidP="00BE58C9">
      <w:pPr>
        <w:ind w:firstLine="708"/>
      </w:pPr>
      <w:r w:rsidRPr="00BE58C9">
        <w:t xml:space="preserve">VIII. </w:t>
      </w:r>
      <w:r w:rsidR="0058118F">
        <w:t>Fortsetzungsfeststellungsinteresse</w:t>
      </w:r>
      <w:r w:rsidR="0058118F">
        <w:rPr>
          <w:rStyle w:val="Funotenzeichen"/>
        </w:rPr>
        <w:footnoteReference w:id="190"/>
      </w:r>
    </w:p>
    <w:p w14:paraId="49B87EA1" w14:textId="1F53B8A5" w:rsidR="0058118F" w:rsidRPr="00BE58C9" w:rsidRDefault="00BE58C9" w:rsidP="00BE58C9">
      <w:r w:rsidRPr="00BE58C9">
        <w:t>B. Begründetheit</w:t>
      </w:r>
      <w:r w:rsidR="0058118F">
        <w:rPr>
          <w:rStyle w:val="Funotenzeichen"/>
        </w:rPr>
        <w:footnoteReference w:id="191"/>
      </w:r>
    </w:p>
    <w:p w14:paraId="3C6DA252" w14:textId="63D314D3" w:rsidR="00BE58C9" w:rsidRDefault="009A1364" w:rsidP="0058118F">
      <w:r>
        <w:t>Var</w:t>
      </w:r>
      <w:r w:rsidR="003F18F9">
        <w:t>iante</w:t>
      </w:r>
      <w:r>
        <w:t xml:space="preserve"> 1: </w:t>
      </w:r>
      <w:r w:rsidR="0058118F">
        <w:t>Anfechtungskonstellationen</w:t>
      </w:r>
    </w:p>
    <w:p w14:paraId="56DC7EB5" w14:textId="6351F7E3" w:rsidR="0058118F" w:rsidRPr="00D16DAC" w:rsidRDefault="0058118F" w:rsidP="0058118F">
      <w:pPr>
        <w:ind w:firstLine="708"/>
      </w:pPr>
      <w:r>
        <w:t>I</w:t>
      </w:r>
      <w:r w:rsidRPr="00D16DAC">
        <w:t>. Rechtswidrigkeit des Verwaltungsakts</w:t>
      </w:r>
    </w:p>
    <w:p w14:paraId="63F5D0E6" w14:textId="5A9FA7B0" w:rsidR="0058118F" w:rsidRPr="00D16DAC" w:rsidRDefault="0058118F" w:rsidP="0058118F">
      <w:pPr>
        <w:ind w:left="708" w:firstLine="708"/>
      </w:pPr>
      <w:r w:rsidRPr="00D16DAC">
        <w:t>1. Ermächtigungsgrundlage</w:t>
      </w:r>
    </w:p>
    <w:p w14:paraId="685BFE04" w14:textId="77777777" w:rsidR="0058118F" w:rsidRPr="00D16DAC" w:rsidRDefault="0058118F" w:rsidP="0058118F">
      <w:r w:rsidRPr="00D16DAC">
        <w:tab/>
      </w:r>
      <w:r>
        <w:tab/>
      </w:r>
      <w:r w:rsidRPr="00D16DAC">
        <w:t>2. Formelle Rechtmäßigkeit</w:t>
      </w:r>
    </w:p>
    <w:p w14:paraId="2C2CBFF6" w14:textId="39F0FE2E" w:rsidR="0058118F" w:rsidRPr="00D16DAC" w:rsidRDefault="0058118F" w:rsidP="0058118F">
      <w:r w:rsidRPr="00D16DAC">
        <w:tab/>
      </w:r>
      <w:r w:rsidRPr="00D16DAC">
        <w:tab/>
      </w:r>
      <w:r>
        <w:tab/>
      </w:r>
      <w:r w:rsidRPr="00D16DAC">
        <w:t>a) Zuständigkeit</w:t>
      </w:r>
    </w:p>
    <w:p w14:paraId="4BCD1868" w14:textId="6D53EC1F" w:rsidR="0058118F" w:rsidRPr="00D16DAC" w:rsidRDefault="0058118F" w:rsidP="0058118F">
      <w:r w:rsidRPr="00D16DAC">
        <w:tab/>
      </w:r>
      <w:r w:rsidRPr="00D16DAC">
        <w:tab/>
      </w:r>
      <w:r>
        <w:tab/>
      </w:r>
      <w:r w:rsidRPr="00D16DAC">
        <w:t>b) Verfahren</w:t>
      </w:r>
    </w:p>
    <w:p w14:paraId="162E3808" w14:textId="4796510E" w:rsidR="0058118F" w:rsidRPr="00D16DAC" w:rsidRDefault="0058118F" w:rsidP="0058118F">
      <w:r w:rsidRPr="00D16DAC">
        <w:tab/>
      </w:r>
      <w:r w:rsidRPr="00D16DAC">
        <w:tab/>
      </w:r>
      <w:r>
        <w:tab/>
      </w:r>
      <w:r w:rsidRPr="00D16DAC">
        <w:t>c) Form</w:t>
      </w:r>
    </w:p>
    <w:p w14:paraId="0628541D" w14:textId="6CB06039" w:rsidR="0058118F" w:rsidRPr="00D16DAC" w:rsidRDefault="0058118F" w:rsidP="0058118F">
      <w:r w:rsidRPr="00D16DAC">
        <w:tab/>
      </w:r>
      <w:r>
        <w:tab/>
      </w:r>
      <w:r w:rsidRPr="00D16DAC">
        <w:t>3. Materielle Rechtmäßigkeit</w:t>
      </w:r>
    </w:p>
    <w:p w14:paraId="391761C5" w14:textId="45685841" w:rsidR="0058118F" w:rsidRPr="00BE58C9" w:rsidRDefault="0058118F" w:rsidP="0058118F">
      <w:pPr>
        <w:ind w:firstLine="708"/>
      </w:pPr>
      <w:r w:rsidRPr="00D16DAC">
        <w:t>II. Verletzung in subjektiven Rechten</w:t>
      </w:r>
    </w:p>
    <w:p w14:paraId="7A1E43C7" w14:textId="77777777" w:rsidR="0058118F" w:rsidRDefault="0058118F" w:rsidP="0058118F"/>
    <w:p w14:paraId="54F8E7AC" w14:textId="6419DD5C" w:rsidR="00BE58C9" w:rsidRDefault="009A1364" w:rsidP="0058118F">
      <w:r>
        <w:t>Va</w:t>
      </w:r>
      <w:r w:rsidR="003F18F9">
        <w:t>riante</w:t>
      </w:r>
      <w:r>
        <w:t xml:space="preserve"> 2: </w:t>
      </w:r>
      <w:r w:rsidR="00BE58C9" w:rsidRPr="00BE58C9">
        <w:t>V</w:t>
      </w:r>
      <w:r w:rsidR="0058118F">
        <w:t>erpflichtungskonstellationen</w:t>
      </w:r>
    </w:p>
    <w:p w14:paraId="1EE7463F" w14:textId="4C888BA8" w:rsidR="0058118F" w:rsidRPr="006635F4" w:rsidRDefault="0058118F" w:rsidP="0058118F">
      <w:pPr>
        <w:ind w:firstLine="708"/>
      </w:pPr>
      <w:r w:rsidRPr="006635F4">
        <w:t xml:space="preserve">I. </w:t>
      </w:r>
      <w:r>
        <w:t>Anspruchsgrundlage</w:t>
      </w:r>
    </w:p>
    <w:p w14:paraId="297E96DC" w14:textId="77777777" w:rsidR="0058118F" w:rsidRPr="006635F4" w:rsidRDefault="0058118F" w:rsidP="0058118F">
      <w:pPr>
        <w:ind w:firstLine="708"/>
      </w:pPr>
      <w:r w:rsidRPr="006635F4">
        <w:t>II. Anspruchsvoraussetzungen</w:t>
      </w:r>
    </w:p>
    <w:p w14:paraId="761B2B71" w14:textId="30A3B856" w:rsidR="0058118F" w:rsidRDefault="0058118F" w:rsidP="0058118F">
      <w:pPr>
        <w:ind w:firstLine="708"/>
      </w:pPr>
      <w:r w:rsidRPr="006635F4">
        <w:t>III. Spruchreife? Ansonsten Bescheidung</w:t>
      </w:r>
      <w:r>
        <w:t>s</w:t>
      </w:r>
      <w:r w:rsidR="009A1364">
        <w:t>antrag</w:t>
      </w:r>
    </w:p>
    <w:p w14:paraId="69B88506" w14:textId="77777777" w:rsidR="00BE58C9" w:rsidRPr="00BE58C9" w:rsidRDefault="00BE58C9" w:rsidP="00BE58C9"/>
    <w:p w14:paraId="36F50337" w14:textId="77777777" w:rsidR="006F6E53" w:rsidRDefault="006F6E53">
      <w:pPr>
        <w:jc w:val="left"/>
        <w:rPr>
          <w:rFonts w:asciiTheme="majorHAnsi" w:eastAsiaTheme="majorEastAsia" w:hAnsiTheme="majorHAnsi" w:cstheme="majorBidi"/>
          <w:b/>
          <w:sz w:val="24"/>
          <w:szCs w:val="28"/>
        </w:rPr>
      </w:pPr>
      <w:bookmarkStart w:id="213" w:name="_Toc10464016"/>
      <w:bookmarkStart w:id="214" w:name="_Toc13833432"/>
      <w:bookmarkStart w:id="215" w:name="Fortsetzungsfeststellungsklage"/>
      <w:r>
        <w:br w:type="page"/>
      </w:r>
    </w:p>
    <w:p w14:paraId="40B8870B" w14:textId="598D893D" w:rsidR="00CC7995" w:rsidRDefault="00CC7995" w:rsidP="008779DD">
      <w:pPr>
        <w:pStyle w:val="berschrift2"/>
      </w:pPr>
      <w:bookmarkStart w:id="216" w:name="_Toc22132776"/>
      <w:r>
        <w:t xml:space="preserve">Fall </w:t>
      </w:r>
      <w:r w:rsidR="00F1012B">
        <w:t>6</w:t>
      </w:r>
      <w:r>
        <w:t xml:space="preserve">: Fortsetzungsfeststellungsklage gegen </w:t>
      </w:r>
      <w:r w:rsidR="004D7C04">
        <w:t xml:space="preserve">ein </w:t>
      </w:r>
      <w:r>
        <w:t>Aufenthaltsverbot für Fußballfans (Judith Sikora)</w:t>
      </w:r>
      <w:bookmarkEnd w:id="213"/>
      <w:bookmarkEnd w:id="214"/>
      <w:bookmarkEnd w:id="216"/>
    </w:p>
    <w:p w14:paraId="1CAF756D" w14:textId="12388C2D" w:rsidR="0017745A" w:rsidRPr="0017745A" w:rsidRDefault="0017745A" w:rsidP="0017745A">
      <w:pPr>
        <w:pStyle w:val="Autorin"/>
      </w:pPr>
      <w:r>
        <w:t>Judith Sikora</w:t>
      </w:r>
    </w:p>
    <w:p w14:paraId="38D289D0" w14:textId="77777777" w:rsidR="00CC7995" w:rsidRPr="00CC7995" w:rsidRDefault="00CC7995" w:rsidP="005A16FB">
      <w:pPr>
        <w:pStyle w:val="Randnummer"/>
        <w:framePr w:wrap="around"/>
        <w:numPr>
          <w:ilvl w:val="0"/>
          <w:numId w:val="8"/>
        </w:numPr>
      </w:pPr>
    </w:p>
    <w:p w14:paraId="0B20FECD" w14:textId="71F052A5" w:rsidR="0001383E" w:rsidRPr="00CC7995" w:rsidRDefault="00CC7995" w:rsidP="00CC7995">
      <w:pPr>
        <w:jc w:val="left"/>
      </w:pPr>
      <w:r>
        <w:t>Der Fall ist a</w:t>
      </w:r>
      <w:r w:rsidRPr="00CC7995">
        <w:t xml:space="preserve">ngelehnt an </w:t>
      </w:r>
      <w:hyperlink r:id="rId49" w:history="1">
        <w:r w:rsidRPr="000667CE">
          <w:rPr>
            <w:rStyle w:val="Hyperlink"/>
          </w:rPr>
          <w:t>VG Darmstadt, Beschl. v. 28.4.2016, Az.: 3 L 642/16.DA</w:t>
        </w:r>
      </w:hyperlink>
      <w:r w:rsidRPr="00CC7995">
        <w:t xml:space="preserve"> = NVwZ 2016, 1344</w:t>
      </w:r>
      <w:r w:rsidR="00290A57">
        <w:t>.</w:t>
      </w:r>
    </w:p>
    <w:p w14:paraId="339224FD" w14:textId="77777777" w:rsidR="00CC7995" w:rsidRPr="00CC7995" w:rsidRDefault="00CC7995" w:rsidP="00CC7995">
      <w:pPr>
        <w:pStyle w:val="Randnummer"/>
        <w:framePr w:wrap="around"/>
      </w:pPr>
    </w:p>
    <w:p w14:paraId="08A1DDF9" w14:textId="77777777" w:rsidR="00CC7995" w:rsidRDefault="00CC7995" w:rsidP="00CC7995">
      <w:pPr>
        <w:jc w:val="left"/>
      </w:pPr>
      <w:r w:rsidRPr="00CC7995">
        <w:t>Lernziele/Schwerpunkte: Fortsetzungsfeststellungsklage, Allgemeinverfügung, öffentliche Bekanntgabe, Verhältnis der polizeilichen Generalklausel zu Standardbefugnissen, Bestimmtheit eines Verwaltungsakts</w:t>
      </w:r>
    </w:p>
    <w:p w14:paraId="4833ED3C" w14:textId="77777777" w:rsidR="0001383E" w:rsidRPr="00CC7995" w:rsidRDefault="0001383E" w:rsidP="00CC7995">
      <w:pPr>
        <w:jc w:val="left"/>
      </w:pPr>
    </w:p>
    <w:p w14:paraId="1244078D" w14:textId="77777777" w:rsidR="00CC7995" w:rsidRPr="00F049D6" w:rsidRDefault="00CC7995" w:rsidP="0001383E">
      <w:pPr>
        <w:pStyle w:val="berschrift3"/>
      </w:pPr>
      <w:r w:rsidRPr="00F049D6">
        <w:t>Sachverhalt</w:t>
      </w:r>
    </w:p>
    <w:p w14:paraId="071FA5A8" w14:textId="77777777" w:rsidR="00CC7995" w:rsidRPr="00CC7995" w:rsidRDefault="00CC7995" w:rsidP="00CC7995">
      <w:pPr>
        <w:pStyle w:val="Randnummer"/>
        <w:framePr w:wrap="around"/>
      </w:pPr>
    </w:p>
    <w:p w14:paraId="56E2732E" w14:textId="4CCE6EB9" w:rsidR="00CC7995" w:rsidRPr="00CC7995" w:rsidRDefault="00CC7995" w:rsidP="00CC7995">
      <w:pPr>
        <w:jc w:val="left"/>
      </w:pPr>
      <w:r w:rsidRPr="00CC7995">
        <w:t xml:space="preserve">Anlässlich der als „Hessenderby“ bezeichneten Fußballspiele zwischen dem SV Darmstadt 98 und </w:t>
      </w:r>
      <w:r w:rsidR="00290A57">
        <w:t xml:space="preserve">der </w:t>
      </w:r>
      <w:r w:rsidRPr="00CC7995">
        <w:t>Eintracht Frankfurt kommt es wieder zu heftigen Ausschreitungen zwischen sog. Ultras beider Fangruppen. Dabei haben Frankfurt-Fans nicht nur im Stadion randaliert, sondern Darmstadt</w:t>
      </w:r>
      <w:r w:rsidR="00290A57">
        <w:t>-</w:t>
      </w:r>
      <w:r w:rsidRPr="00CC7995">
        <w:t>Fans auf dem Weg zum oder vom Stadion aufgelauert, beleidigt und zum Teil sogar tätlich angegriffen. Die Eintracht wurde deswegen durch das DFB-Sportgericht zu Zuschauerausschlüssen und Strafzahlungen verurteilt. Trotzdem befürchtet die Polizei, dass einige hartgesottene Frankfurt-Fans trotzdem zum anstehenden Hessenderby in der Rückrunde nach Darmstadt kommen und „Krawall“ machen werden.</w:t>
      </w:r>
    </w:p>
    <w:p w14:paraId="48698613" w14:textId="77777777" w:rsidR="00CC7995" w:rsidRPr="00CC7995" w:rsidRDefault="00CC7995" w:rsidP="00CC7995">
      <w:pPr>
        <w:jc w:val="left"/>
      </w:pPr>
      <w:r w:rsidRPr="00CC7995">
        <w:t xml:space="preserve">Der Magistrat der Stadt Darmstadt erlässt daher am 21.4.2016 folgende Regelung: </w:t>
      </w:r>
    </w:p>
    <w:p w14:paraId="134962FE" w14:textId="77777777" w:rsidR="00CC7995" w:rsidRPr="00CC7995" w:rsidRDefault="00CC7995" w:rsidP="00CC7995">
      <w:pPr>
        <w:jc w:val="left"/>
      </w:pPr>
      <w:r w:rsidRPr="00CC7995">
        <w:t>„Allgemeinverfügung: Fußballbundesligaspiel zwischen dem SV Darmstadt 98 und Eintracht Frankfurt a. M. am 30.4.2016 in Darmstadt</w:t>
      </w:r>
    </w:p>
    <w:p w14:paraId="016766D2" w14:textId="57D55CE3" w:rsidR="00CC7995" w:rsidRPr="00CC7995" w:rsidRDefault="00CC7995" w:rsidP="005A16FB">
      <w:pPr>
        <w:numPr>
          <w:ilvl w:val="0"/>
          <w:numId w:val="5"/>
        </w:numPr>
        <w:jc w:val="left"/>
      </w:pPr>
      <w:r w:rsidRPr="00CC7995">
        <w:t>Anhänger/Fans von Eintracht Frankfurt (erkennbar durch Fanbekleidung, Skandierung von Parolen und sonstigem Auftreten) ist es in der Zeit vom 29.4.2016, 19 Uhr, bis 1.5.201</w:t>
      </w:r>
      <w:r w:rsidR="00290A57">
        <w:t>6</w:t>
      </w:r>
      <w:r w:rsidRPr="00CC7995">
        <w:t xml:space="preserve">, 7 Uhr, verboten sich in dem Bereich … des Darmstädter Stadtgebiets aufzuhalten. </w:t>
      </w:r>
    </w:p>
    <w:p w14:paraId="76E030C5" w14:textId="77777777" w:rsidR="00CC7995" w:rsidRPr="00CC7995" w:rsidRDefault="00CC7995" w:rsidP="005A16FB">
      <w:pPr>
        <w:numPr>
          <w:ilvl w:val="0"/>
          <w:numId w:val="5"/>
        </w:numPr>
        <w:jc w:val="left"/>
      </w:pPr>
      <w:r w:rsidRPr="00CC7995">
        <w:t>Die sofortige Vollziehbarkeit wird angeordnet.“</w:t>
      </w:r>
    </w:p>
    <w:p w14:paraId="11BBF566" w14:textId="77777777" w:rsidR="00CC7995" w:rsidRPr="00CC7995" w:rsidRDefault="00CC7995" w:rsidP="00CC7995">
      <w:pPr>
        <w:jc w:val="left"/>
      </w:pPr>
      <w:r w:rsidRPr="00CC7995">
        <w:t xml:space="preserve">Der Bereich umfasst einen großen Teil des Darmstädter Stadtgebiets, der anhand einer Karte näher aufgezeigt wird. Die Allgemeinverfügung wird damit begründet, dass an der sofortigen Vollziehung der Allgemeinverfügung ein besonderes Interesse bestehe. Gestützt wurde die Maßnahme auf die Generalklausel des § 11 HSOG und in der regionalen Tageszeitung „Darmstädter Echo“ veröffentlicht. </w:t>
      </w:r>
    </w:p>
    <w:p w14:paraId="72C2046C" w14:textId="77777777" w:rsidR="00CC7995" w:rsidRPr="00CC7995" w:rsidRDefault="00CC7995" w:rsidP="00CC7995">
      <w:pPr>
        <w:jc w:val="left"/>
      </w:pPr>
      <w:r w:rsidRPr="00CC7995">
        <w:t xml:space="preserve">Der friedliebende Frankfurt-Fan F ist empört, dass man alle Eintracht-Anhänger unter „Generalverdacht“ stellt. Er und seine Freunde seien weder gewaltbereit noch hätten sie Verständnis für sog. Hooligans. Wenngleich er das Stadionverbot als unfair empfindet, möchte er dennoch in der Nähe sein und seinen Verein mental unterstützen. Außerdem könne das Verbot leicht umgangen werden, indem er seinen Fanschal und das Eintracht-Trikot zu Hause lasse. Um zu verhindern, dass die Polizei mit solchen „Willkürmaßnahmen“ durchkommt, erheben F und sein Kumpel K zunächst Widerspruch. Die Stadt reagiert überraschend schnell und bescheidet den Widerspruch des F und K bereits am nächsten Tag abschlägig. Dies können F und K nicht auf sich sitzen lassen und erheben sogleich formgemäß Klage vor dem zuständigen Verwaltungsgericht. </w:t>
      </w:r>
    </w:p>
    <w:p w14:paraId="1830902F" w14:textId="18EF4831" w:rsidR="00CC7995" w:rsidRPr="00CC7995" w:rsidRDefault="00CC7995" w:rsidP="00CC7995">
      <w:pPr>
        <w:jc w:val="left"/>
      </w:pPr>
      <w:r w:rsidRPr="00CC7995">
        <w:t>Als am darauffolgenden Samstag die Eintracht in Abwesenheit des F verliert, nimmt K seine Klage zurück, da die Weit</w:t>
      </w:r>
      <w:r w:rsidR="00290A57">
        <w:t>er</w:t>
      </w:r>
      <w:r w:rsidRPr="00CC7995">
        <w:t xml:space="preserve">verfolgung nun „ohnehin sinnlos“ sei. F hingegen ist überzeugt davon, dass die Niederlage seines Vereins nur auf mangelnden Fan-Support zurückzuführen sei. Aufgrund entsprechender Pressemitteilungen der Stadt Darmstadt befürchtet F, die Polizei könne das </w:t>
      </w:r>
      <w:r w:rsidR="00D51AD4">
        <w:t>„</w:t>
      </w:r>
      <w:r w:rsidRPr="00CC7995">
        <w:t>fan- und krawalllos</w:t>
      </w:r>
      <w:r w:rsidR="00D51AD4">
        <w:t>“</w:t>
      </w:r>
      <w:r w:rsidRPr="00CC7995">
        <w:t xml:space="preserve"> verlaufene Spiel als Bestätigung ihrer Strategie ansehen und künftig häufiger Aufenthaltsverbote erlassen. Damit dergleichen in Zukunft nicht noch einmal vorkommt, möchte F die Angelegenheit gerichtlich klären lassen und erhebt nach abschlägiger Bescheidung seines Widerspruchs formgemäß Klage vor dem zuständigen Verwaltungsgericht.</w:t>
      </w:r>
    </w:p>
    <w:p w14:paraId="5F220779" w14:textId="77777777" w:rsidR="00CC7995" w:rsidRPr="00CC7995" w:rsidRDefault="00CC7995" w:rsidP="00CC7995">
      <w:pPr>
        <w:jc w:val="left"/>
        <w:rPr>
          <w:b/>
        </w:rPr>
      </w:pPr>
      <w:r w:rsidRPr="00CC7995">
        <w:rPr>
          <w:b/>
        </w:rPr>
        <w:t xml:space="preserve">Hat die Klage des F Aussicht auf Erfolg? </w:t>
      </w:r>
    </w:p>
    <w:p w14:paraId="4C545216" w14:textId="2D55901C" w:rsidR="00CC7995" w:rsidRDefault="00CC7995" w:rsidP="00CC7995">
      <w:pPr>
        <w:jc w:val="left"/>
      </w:pPr>
      <w:r w:rsidRPr="00173FBA">
        <w:rPr>
          <w:b/>
        </w:rPr>
        <w:t>Bearbeiter</w:t>
      </w:r>
      <w:r w:rsidR="00F049D6" w:rsidRPr="00173FBA">
        <w:rPr>
          <w:b/>
        </w:rPr>
        <w:t>*innen</w:t>
      </w:r>
      <w:r w:rsidRPr="00173FBA">
        <w:rPr>
          <w:b/>
        </w:rPr>
        <w:t>vermerk:</w:t>
      </w:r>
      <w:r w:rsidRPr="00CC7995">
        <w:rPr>
          <w:b/>
          <w:u w:val="single"/>
        </w:rPr>
        <w:t xml:space="preserve"> </w:t>
      </w:r>
      <w:r w:rsidRPr="00CC7995">
        <w:t>Es ist davon auszugehen, dass die zuständige Behörde gehandelt hat. Für die Lösung ist auf das VersG des Bundes abzustellen. Auf § 11 und § 31 HSOG wird hingewiesen.</w:t>
      </w:r>
    </w:p>
    <w:p w14:paraId="7BF82ADB" w14:textId="77777777" w:rsidR="00095F85" w:rsidRPr="00CC7995" w:rsidRDefault="00095F85" w:rsidP="00CC7995">
      <w:pPr>
        <w:jc w:val="left"/>
      </w:pPr>
    </w:p>
    <w:p w14:paraId="1BCCEC8A" w14:textId="77777777" w:rsidR="00CC7995" w:rsidRPr="00CC7995" w:rsidRDefault="00CC7995" w:rsidP="00CC7995">
      <w:pPr>
        <w:jc w:val="left"/>
        <w:rPr>
          <w:b/>
        </w:rPr>
      </w:pPr>
      <w:r w:rsidRPr="00CC7995">
        <w:rPr>
          <w:b/>
        </w:rPr>
        <w:t>§ 11 HSOG</w:t>
      </w:r>
    </w:p>
    <w:p w14:paraId="1F9B1F8F" w14:textId="77777777" w:rsidR="00CC7995" w:rsidRDefault="00CC7995" w:rsidP="00CC7995">
      <w:pPr>
        <w:jc w:val="left"/>
      </w:pPr>
      <w:r w:rsidRPr="00CC7995">
        <w:t>Die Gefahrenabwehr- und die Polizeibehörden können die erforderlichen Maßnahmen treffen, um eine im einzelnen Falle bestehende Gefahr für die öffentliche Sicherheit oder Ordnung (Gefahr) abzuwehren, soweit nicht die folgenden Vorschriften die Befugnisse der Gefahrenabwehr- und der Polizeibehörden besonders regeln.</w:t>
      </w:r>
    </w:p>
    <w:p w14:paraId="7A9106BD" w14:textId="77777777" w:rsidR="00095F85" w:rsidRPr="00CC7995" w:rsidRDefault="00095F85" w:rsidP="00CC7995">
      <w:pPr>
        <w:jc w:val="left"/>
      </w:pPr>
    </w:p>
    <w:p w14:paraId="0205B985" w14:textId="77777777" w:rsidR="00CC7995" w:rsidRPr="00CC7995" w:rsidRDefault="00CC7995" w:rsidP="00CC7995">
      <w:pPr>
        <w:jc w:val="left"/>
        <w:rPr>
          <w:b/>
        </w:rPr>
      </w:pPr>
      <w:r w:rsidRPr="00CC7995">
        <w:rPr>
          <w:b/>
        </w:rPr>
        <w:t>§ 31 HSOG</w:t>
      </w:r>
    </w:p>
    <w:p w14:paraId="30AAD4EC" w14:textId="77777777" w:rsidR="00CC7995" w:rsidRPr="00CC7995" w:rsidRDefault="00CC7995" w:rsidP="00CC7995">
      <w:pPr>
        <w:jc w:val="left"/>
      </w:pPr>
      <w:r w:rsidRPr="00CC7995">
        <w:t xml:space="preserve">1) </w:t>
      </w:r>
      <w:r w:rsidRPr="00CC7995">
        <w:rPr>
          <w:vertAlign w:val="superscript"/>
        </w:rPr>
        <w:t>1</w:t>
      </w:r>
      <w:r w:rsidRPr="00CC7995">
        <w:t xml:space="preserve">Die Gefahrenabwehr- und die Polizeibehörden können zur Abwehr einer Gefahr eine Person vorübergehend von einem Ort verweisen oder ihr vorübergehend das Betreten eines Ortes verbieten. </w:t>
      </w:r>
      <w:r w:rsidRPr="00CC7995">
        <w:rPr>
          <w:vertAlign w:val="superscript"/>
        </w:rPr>
        <w:t>2</w:t>
      </w:r>
      <w:r w:rsidRPr="00CC7995">
        <w:t>Die Platzverweisung kann ferner gegen eine Person angeordnet werden, die den Einsatz der Feuerwehr oder andere Hilfs- oder Rettungsmaßnahmen behindert. […]</w:t>
      </w:r>
    </w:p>
    <w:p w14:paraId="45B0400A" w14:textId="628BB153" w:rsidR="0001383E" w:rsidRDefault="00CC7995">
      <w:pPr>
        <w:jc w:val="left"/>
        <w:rPr>
          <w:rFonts w:ascii="Calibri" w:eastAsiaTheme="majorEastAsia" w:hAnsi="Calibri" w:cstheme="majorBidi"/>
          <w:sz w:val="26"/>
          <w:szCs w:val="26"/>
        </w:rPr>
      </w:pPr>
      <w:r w:rsidRPr="00CC7995">
        <w:t xml:space="preserve">(3) </w:t>
      </w:r>
      <w:r w:rsidRPr="00CC7995">
        <w:rPr>
          <w:vertAlign w:val="superscript"/>
        </w:rPr>
        <w:t>1</w:t>
      </w:r>
      <w:r w:rsidRPr="00CC7995">
        <w:t xml:space="preserve">Rechtfertigen Tatsachen die Annahme, dass eine Person in einem bestimmten örtlichen Bereich innerhalb einer Gemeinde eine Straftat begehen wird, so können die Gefahrenabwehr- und die Polizeibehörde ihr für eine bestimmte Zeit verbieten, diesen Bereich zu betreten oder sich dort aufzuhalten, es sei denn, sie hat dort ihre Wohnung oder sie ist aus einem vergleichbar wichtigen Grund auf das Betreten des Bereichs angewiesen (Aufenthaltsverbot). </w:t>
      </w:r>
      <w:r w:rsidRPr="00CC7995">
        <w:rPr>
          <w:vertAlign w:val="superscript"/>
        </w:rPr>
        <w:t>2</w:t>
      </w:r>
      <w:r w:rsidRPr="00CC7995">
        <w:t xml:space="preserve">Unter den Voraussetzungen des Satz 1 können die Polizeibehörden einer Person auch den Kontakt mit bestimmten Personen oder Personen einer bestimmten Gruppe untersagen. </w:t>
      </w:r>
      <w:r w:rsidRPr="00CC7995">
        <w:rPr>
          <w:vertAlign w:val="superscript"/>
        </w:rPr>
        <w:t>3</w:t>
      </w:r>
      <w:r w:rsidRPr="00CC7995">
        <w:t xml:space="preserve">Ein Verbot nach Satz 1 oder 2 ist zeitlich und örtlich auf den zur Verhütung der Straftat erforderlichen Umfang zu beschränken. </w:t>
      </w:r>
      <w:r w:rsidRPr="00CC7995">
        <w:rPr>
          <w:vertAlign w:val="superscript"/>
        </w:rPr>
        <w:t>4</w:t>
      </w:r>
      <w:r w:rsidRPr="00CC7995">
        <w:t>Es darf die Dauer von drei Monaten nicht überschreiten. […]</w:t>
      </w:r>
      <w:r w:rsidR="0001383E">
        <w:br w:type="page"/>
      </w:r>
    </w:p>
    <w:p w14:paraId="201FD100" w14:textId="704C99AC" w:rsidR="00CC7995" w:rsidRDefault="00F049D6" w:rsidP="0001383E">
      <w:pPr>
        <w:pStyle w:val="berschrift3"/>
      </w:pPr>
      <w:r w:rsidRPr="00F049D6">
        <w:t>Lösungsgliederung</w:t>
      </w:r>
    </w:p>
    <w:p w14:paraId="3B65A4AF" w14:textId="77777777" w:rsidR="00F049D6" w:rsidRDefault="00F049D6" w:rsidP="00F049D6">
      <w:pPr>
        <w:pStyle w:val="Randnummer"/>
        <w:framePr w:wrap="around"/>
      </w:pPr>
    </w:p>
    <w:p w14:paraId="681DAC4D" w14:textId="54EA258F" w:rsidR="007537A8" w:rsidRDefault="00CA43AE">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"Fall6" </w:instrText>
      </w:r>
      <w:r>
        <w:rPr>
          <w:rFonts w:eastAsiaTheme="majorEastAsia"/>
        </w:rPr>
        <w:fldChar w:fldCharType="separate"/>
      </w:r>
      <w:hyperlink w:anchor="_Toc22133073" w:history="1">
        <w:r w:rsidR="007537A8" w:rsidRPr="00DA3374">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_Toc22133073 \h </w:instrText>
        </w:r>
        <w:r w:rsidR="007537A8">
          <w:rPr>
            <w:noProof/>
            <w:webHidden/>
          </w:rPr>
        </w:r>
        <w:r w:rsidR="007537A8">
          <w:rPr>
            <w:noProof/>
            <w:webHidden/>
          </w:rPr>
          <w:fldChar w:fldCharType="separate"/>
        </w:r>
        <w:r w:rsidR="007537A8">
          <w:rPr>
            <w:noProof/>
            <w:webHidden/>
          </w:rPr>
          <w:t>87</w:t>
        </w:r>
        <w:r w:rsidR="007537A8">
          <w:rPr>
            <w:noProof/>
            <w:webHidden/>
          </w:rPr>
          <w:fldChar w:fldCharType="end"/>
        </w:r>
      </w:hyperlink>
    </w:p>
    <w:p w14:paraId="5567E2CF" w14:textId="75B0082A" w:rsidR="007537A8" w:rsidRDefault="00091FED">
      <w:pPr>
        <w:pStyle w:val="Verzeichnis4"/>
        <w:tabs>
          <w:tab w:val="right" w:leader="dot" w:pos="7361"/>
        </w:tabs>
        <w:rPr>
          <w:rFonts w:eastAsiaTheme="minorEastAsia"/>
          <w:noProof/>
          <w:sz w:val="22"/>
          <w:szCs w:val="22"/>
          <w:lang w:eastAsia="de-DE"/>
        </w:rPr>
      </w:pPr>
      <w:hyperlink w:anchor="_Toc22133074" w:history="1">
        <w:r w:rsidR="007537A8" w:rsidRPr="00DA3374">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_Toc22133074 \h </w:instrText>
        </w:r>
        <w:r w:rsidR="007537A8">
          <w:rPr>
            <w:noProof/>
            <w:webHidden/>
          </w:rPr>
        </w:r>
        <w:r w:rsidR="007537A8">
          <w:rPr>
            <w:noProof/>
            <w:webHidden/>
          </w:rPr>
          <w:fldChar w:fldCharType="separate"/>
        </w:r>
        <w:r w:rsidR="007537A8">
          <w:rPr>
            <w:noProof/>
            <w:webHidden/>
          </w:rPr>
          <w:t>87</w:t>
        </w:r>
        <w:r w:rsidR="007537A8">
          <w:rPr>
            <w:noProof/>
            <w:webHidden/>
          </w:rPr>
          <w:fldChar w:fldCharType="end"/>
        </w:r>
      </w:hyperlink>
    </w:p>
    <w:p w14:paraId="0D74FB11" w14:textId="1AE58E9A" w:rsidR="007537A8" w:rsidRDefault="00091FED">
      <w:pPr>
        <w:pStyle w:val="Verzeichnis5"/>
        <w:tabs>
          <w:tab w:val="right" w:leader="dot" w:pos="7361"/>
        </w:tabs>
        <w:rPr>
          <w:rFonts w:eastAsiaTheme="minorEastAsia"/>
          <w:noProof/>
          <w:sz w:val="22"/>
          <w:szCs w:val="22"/>
          <w:lang w:eastAsia="de-DE"/>
        </w:rPr>
      </w:pPr>
      <w:hyperlink w:anchor="_Toc22133075" w:history="1">
        <w:r w:rsidR="007537A8" w:rsidRPr="00DA3374">
          <w:rPr>
            <w:rStyle w:val="Hyperlink"/>
            <w:noProof/>
          </w:rPr>
          <w:t>I. Eröffnung des Verwaltungsrechtswegs</w:t>
        </w:r>
        <w:r w:rsidR="007537A8">
          <w:rPr>
            <w:noProof/>
            <w:webHidden/>
          </w:rPr>
          <w:tab/>
        </w:r>
        <w:r w:rsidR="007537A8">
          <w:rPr>
            <w:noProof/>
            <w:webHidden/>
          </w:rPr>
          <w:fldChar w:fldCharType="begin"/>
        </w:r>
        <w:r w:rsidR="007537A8">
          <w:rPr>
            <w:noProof/>
            <w:webHidden/>
          </w:rPr>
          <w:instrText xml:space="preserve"> PAGEREF _Toc22133075 \h </w:instrText>
        </w:r>
        <w:r w:rsidR="007537A8">
          <w:rPr>
            <w:noProof/>
            <w:webHidden/>
          </w:rPr>
        </w:r>
        <w:r w:rsidR="007537A8">
          <w:rPr>
            <w:noProof/>
            <w:webHidden/>
          </w:rPr>
          <w:fldChar w:fldCharType="separate"/>
        </w:r>
        <w:r w:rsidR="007537A8">
          <w:rPr>
            <w:noProof/>
            <w:webHidden/>
          </w:rPr>
          <w:t>87</w:t>
        </w:r>
        <w:r w:rsidR="007537A8">
          <w:rPr>
            <w:noProof/>
            <w:webHidden/>
          </w:rPr>
          <w:fldChar w:fldCharType="end"/>
        </w:r>
      </w:hyperlink>
    </w:p>
    <w:p w14:paraId="5BD062D0" w14:textId="39F6CBBE" w:rsidR="007537A8" w:rsidRDefault="00091FED">
      <w:pPr>
        <w:pStyle w:val="Verzeichnis5"/>
        <w:tabs>
          <w:tab w:val="right" w:leader="dot" w:pos="7361"/>
        </w:tabs>
        <w:rPr>
          <w:rFonts w:eastAsiaTheme="minorEastAsia"/>
          <w:noProof/>
          <w:sz w:val="22"/>
          <w:szCs w:val="22"/>
          <w:lang w:eastAsia="de-DE"/>
        </w:rPr>
      </w:pPr>
      <w:hyperlink w:anchor="_Toc22133076" w:history="1">
        <w:r w:rsidR="007537A8" w:rsidRPr="00DA3374">
          <w:rPr>
            <w:rStyle w:val="Hyperlink"/>
            <w:noProof/>
          </w:rPr>
          <w:t>II. Statthafte Klageart</w:t>
        </w:r>
        <w:r w:rsidR="007537A8">
          <w:rPr>
            <w:noProof/>
            <w:webHidden/>
          </w:rPr>
          <w:tab/>
        </w:r>
        <w:r w:rsidR="007537A8">
          <w:rPr>
            <w:noProof/>
            <w:webHidden/>
          </w:rPr>
          <w:fldChar w:fldCharType="begin"/>
        </w:r>
        <w:r w:rsidR="007537A8">
          <w:rPr>
            <w:noProof/>
            <w:webHidden/>
          </w:rPr>
          <w:instrText xml:space="preserve"> PAGEREF _Toc22133076 \h </w:instrText>
        </w:r>
        <w:r w:rsidR="007537A8">
          <w:rPr>
            <w:noProof/>
            <w:webHidden/>
          </w:rPr>
        </w:r>
        <w:r w:rsidR="007537A8">
          <w:rPr>
            <w:noProof/>
            <w:webHidden/>
          </w:rPr>
          <w:fldChar w:fldCharType="separate"/>
        </w:r>
        <w:r w:rsidR="007537A8">
          <w:rPr>
            <w:noProof/>
            <w:webHidden/>
          </w:rPr>
          <w:t>87</w:t>
        </w:r>
        <w:r w:rsidR="007537A8">
          <w:rPr>
            <w:noProof/>
            <w:webHidden/>
          </w:rPr>
          <w:fldChar w:fldCharType="end"/>
        </w:r>
      </w:hyperlink>
    </w:p>
    <w:p w14:paraId="646BA2C5" w14:textId="4391C22B" w:rsidR="007537A8" w:rsidRDefault="00091FED">
      <w:pPr>
        <w:pStyle w:val="Verzeichnis5"/>
        <w:tabs>
          <w:tab w:val="right" w:leader="dot" w:pos="7361"/>
        </w:tabs>
        <w:rPr>
          <w:rFonts w:eastAsiaTheme="minorEastAsia"/>
          <w:noProof/>
          <w:sz w:val="22"/>
          <w:szCs w:val="22"/>
          <w:lang w:eastAsia="de-DE"/>
        </w:rPr>
      </w:pPr>
      <w:hyperlink w:anchor="_Toc22133077" w:history="1">
        <w:r w:rsidR="007537A8" w:rsidRPr="00DA3374">
          <w:rPr>
            <w:rStyle w:val="Hyperlink"/>
            <w:noProof/>
          </w:rPr>
          <w:t>III. Feststellungsinteresse</w:t>
        </w:r>
        <w:r w:rsidR="007537A8">
          <w:rPr>
            <w:noProof/>
            <w:webHidden/>
          </w:rPr>
          <w:tab/>
        </w:r>
        <w:r w:rsidR="007537A8">
          <w:rPr>
            <w:noProof/>
            <w:webHidden/>
          </w:rPr>
          <w:fldChar w:fldCharType="begin"/>
        </w:r>
        <w:r w:rsidR="007537A8">
          <w:rPr>
            <w:noProof/>
            <w:webHidden/>
          </w:rPr>
          <w:instrText xml:space="preserve"> PAGEREF _Toc22133077 \h </w:instrText>
        </w:r>
        <w:r w:rsidR="007537A8">
          <w:rPr>
            <w:noProof/>
            <w:webHidden/>
          </w:rPr>
        </w:r>
        <w:r w:rsidR="007537A8">
          <w:rPr>
            <w:noProof/>
            <w:webHidden/>
          </w:rPr>
          <w:fldChar w:fldCharType="separate"/>
        </w:r>
        <w:r w:rsidR="007537A8">
          <w:rPr>
            <w:noProof/>
            <w:webHidden/>
          </w:rPr>
          <w:t>88</w:t>
        </w:r>
        <w:r w:rsidR="007537A8">
          <w:rPr>
            <w:noProof/>
            <w:webHidden/>
          </w:rPr>
          <w:fldChar w:fldCharType="end"/>
        </w:r>
      </w:hyperlink>
    </w:p>
    <w:p w14:paraId="10505E46" w14:textId="253B84E2" w:rsidR="007537A8" w:rsidRDefault="00091FED">
      <w:pPr>
        <w:pStyle w:val="Verzeichnis5"/>
        <w:tabs>
          <w:tab w:val="right" w:leader="dot" w:pos="7361"/>
        </w:tabs>
        <w:rPr>
          <w:rFonts w:eastAsiaTheme="minorEastAsia"/>
          <w:noProof/>
          <w:sz w:val="22"/>
          <w:szCs w:val="22"/>
          <w:lang w:eastAsia="de-DE"/>
        </w:rPr>
      </w:pPr>
      <w:hyperlink w:anchor="_Toc22133078" w:history="1">
        <w:r w:rsidR="007537A8" w:rsidRPr="00DA3374">
          <w:rPr>
            <w:rStyle w:val="Hyperlink"/>
            <w:noProof/>
          </w:rPr>
          <w:t>IV. Klagebefugnis</w:t>
        </w:r>
        <w:r w:rsidR="007537A8">
          <w:rPr>
            <w:noProof/>
            <w:webHidden/>
          </w:rPr>
          <w:tab/>
        </w:r>
        <w:r w:rsidR="007537A8">
          <w:rPr>
            <w:noProof/>
            <w:webHidden/>
          </w:rPr>
          <w:fldChar w:fldCharType="begin"/>
        </w:r>
        <w:r w:rsidR="007537A8">
          <w:rPr>
            <w:noProof/>
            <w:webHidden/>
          </w:rPr>
          <w:instrText xml:space="preserve"> PAGEREF _Toc22133078 \h </w:instrText>
        </w:r>
        <w:r w:rsidR="007537A8">
          <w:rPr>
            <w:noProof/>
            <w:webHidden/>
          </w:rPr>
        </w:r>
        <w:r w:rsidR="007537A8">
          <w:rPr>
            <w:noProof/>
            <w:webHidden/>
          </w:rPr>
          <w:fldChar w:fldCharType="separate"/>
        </w:r>
        <w:r w:rsidR="007537A8">
          <w:rPr>
            <w:noProof/>
            <w:webHidden/>
          </w:rPr>
          <w:t>88</w:t>
        </w:r>
        <w:r w:rsidR="007537A8">
          <w:rPr>
            <w:noProof/>
            <w:webHidden/>
          </w:rPr>
          <w:fldChar w:fldCharType="end"/>
        </w:r>
      </w:hyperlink>
    </w:p>
    <w:p w14:paraId="763D5CD2" w14:textId="0CF89477" w:rsidR="007537A8" w:rsidRDefault="00091FED">
      <w:pPr>
        <w:pStyle w:val="Verzeichnis5"/>
        <w:tabs>
          <w:tab w:val="right" w:leader="dot" w:pos="7361"/>
        </w:tabs>
        <w:rPr>
          <w:rFonts w:eastAsiaTheme="minorEastAsia"/>
          <w:noProof/>
          <w:sz w:val="22"/>
          <w:szCs w:val="22"/>
          <w:lang w:eastAsia="de-DE"/>
        </w:rPr>
      </w:pPr>
      <w:hyperlink w:anchor="_Toc22133079" w:history="1">
        <w:r w:rsidR="007537A8" w:rsidRPr="00DA3374">
          <w:rPr>
            <w:rStyle w:val="Hyperlink"/>
            <w:noProof/>
          </w:rPr>
          <w:t>V. Vorverfahren</w:t>
        </w:r>
        <w:r w:rsidR="007537A8">
          <w:rPr>
            <w:noProof/>
            <w:webHidden/>
          </w:rPr>
          <w:tab/>
        </w:r>
        <w:r w:rsidR="007537A8">
          <w:rPr>
            <w:noProof/>
            <w:webHidden/>
          </w:rPr>
          <w:fldChar w:fldCharType="begin"/>
        </w:r>
        <w:r w:rsidR="007537A8">
          <w:rPr>
            <w:noProof/>
            <w:webHidden/>
          </w:rPr>
          <w:instrText xml:space="preserve"> PAGEREF _Toc22133079 \h </w:instrText>
        </w:r>
        <w:r w:rsidR="007537A8">
          <w:rPr>
            <w:noProof/>
            <w:webHidden/>
          </w:rPr>
        </w:r>
        <w:r w:rsidR="007537A8">
          <w:rPr>
            <w:noProof/>
            <w:webHidden/>
          </w:rPr>
          <w:fldChar w:fldCharType="separate"/>
        </w:r>
        <w:r w:rsidR="007537A8">
          <w:rPr>
            <w:noProof/>
            <w:webHidden/>
          </w:rPr>
          <w:t>89</w:t>
        </w:r>
        <w:r w:rsidR="007537A8">
          <w:rPr>
            <w:noProof/>
            <w:webHidden/>
          </w:rPr>
          <w:fldChar w:fldCharType="end"/>
        </w:r>
      </w:hyperlink>
    </w:p>
    <w:p w14:paraId="2B1EE9BD" w14:textId="443B2BE6" w:rsidR="007537A8" w:rsidRDefault="00091FED">
      <w:pPr>
        <w:pStyle w:val="Verzeichnis5"/>
        <w:tabs>
          <w:tab w:val="right" w:leader="dot" w:pos="7361"/>
        </w:tabs>
        <w:rPr>
          <w:rFonts w:eastAsiaTheme="minorEastAsia"/>
          <w:noProof/>
          <w:sz w:val="22"/>
          <w:szCs w:val="22"/>
          <w:lang w:eastAsia="de-DE"/>
        </w:rPr>
      </w:pPr>
      <w:hyperlink w:anchor="_Toc22133080" w:history="1">
        <w:r w:rsidR="007537A8" w:rsidRPr="00DA3374">
          <w:rPr>
            <w:rStyle w:val="Hyperlink"/>
            <w:noProof/>
          </w:rPr>
          <w:t>VI. Form und Frist</w:t>
        </w:r>
        <w:r w:rsidR="007537A8">
          <w:rPr>
            <w:noProof/>
            <w:webHidden/>
          </w:rPr>
          <w:tab/>
        </w:r>
        <w:r w:rsidR="007537A8">
          <w:rPr>
            <w:noProof/>
            <w:webHidden/>
          </w:rPr>
          <w:fldChar w:fldCharType="begin"/>
        </w:r>
        <w:r w:rsidR="007537A8">
          <w:rPr>
            <w:noProof/>
            <w:webHidden/>
          </w:rPr>
          <w:instrText xml:space="preserve"> PAGEREF _Toc22133080 \h </w:instrText>
        </w:r>
        <w:r w:rsidR="007537A8">
          <w:rPr>
            <w:noProof/>
            <w:webHidden/>
          </w:rPr>
        </w:r>
        <w:r w:rsidR="007537A8">
          <w:rPr>
            <w:noProof/>
            <w:webHidden/>
          </w:rPr>
          <w:fldChar w:fldCharType="separate"/>
        </w:r>
        <w:r w:rsidR="007537A8">
          <w:rPr>
            <w:noProof/>
            <w:webHidden/>
          </w:rPr>
          <w:t>89</w:t>
        </w:r>
        <w:r w:rsidR="007537A8">
          <w:rPr>
            <w:noProof/>
            <w:webHidden/>
          </w:rPr>
          <w:fldChar w:fldCharType="end"/>
        </w:r>
      </w:hyperlink>
    </w:p>
    <w:p w14:paraId="5BF9BE77" w14:textId="480633A9" w:rsidR="007537A8" w:rsidRDefault="00091FED">
      <w:pPr>
        <w:pStyle w:val="Verzeichnis5"/>
        <w:tabs>
          <w:tab w:val="right" w:leader="dot" w:pos="7361"/>
        </w:tabs>
        <w:rPr>
          <w:rFonts w:eastAsiaTheme="minorEastAsia"/>
          <w:noProof/>
          <w:sz w:val="22"/>
          <w:szCs w:val="22"/>
          <w:lang w:eastAsia="de-DE"/>
        </w:rPr>
      </w:pPr>
      <w:hyperlink w:anchor="_Toc22133081" w:history="1">
        <w:r w:rsidR="007537A8" w:rsidRPr="00DA3374">
          <w:rPr>
            <w:rStyle w:val="Hyperlink"/>
            <w:noProof/>
          </w:rPr>
          <w:t>VII. Klagegegner</w:t>
        </w:r>
        <w:r w:rsidR="007537A8">
          <w:rPr>
            <w:noProof/>
            <w:webHidden/>
          </w:rPr>
          <w:tab/>
        </w:r>
        <w:r w:rsidR="007537A8">
          <w:rPr>
            <w:noProof/>
            <w:webHidden/>
          </w:rPr>
          <w:fldChar w:fldCharType="begin"/>
        </w:r>
        <w:r w:rsidR="007537A8">
          <w:rPr>
            <w:noProof/>
            <w:webHidden/>
          </w:rPr>
          <w:instrText xml:space="preserve"> PAGEREF _Toc22133081 \h </w:instrText>
        </w:r>
        <w:r w:rsidR="007537A8">
          <w:rPr>
            <w:noProof/>
            <w:webHidden/>
          </w:rPr>
        </w:r>
        <w:r w:rsidR="007537A8">
          <w:rPr>
            <w:noProof/>
            <w:webHidden/>
          </w:rPr>
          <w:fldChar w:fldCharType="separate"/>
        </w:r>
        <w:r w:rsidR="007537A8">
          <w:rPr>
            <w:noProof/>
            <w:webHidden/>
          </w:rPr>
          <w:t>89</w:t>
        </w:r>
        <w:r w:rsidR="007537A8">
          <w:rPr>
            <w:noProof/>
            <w:webHidden/>
          </w:rPr>
          <w:fldChar w:fldCharType="end"/>
        </w:r>
      </w:hyperlink>
    </w:p>
    <w:p w14:paraId="170CCE06" w14:textId="232BE176" w:rsidR="007537A8" w:rsidRDefault="00091FED">
      <w:pPr>
        <w:pStyle w:val="Verzeichnis5"/>
        <w:tabs>
          <w:tab w:val="right" w:leader="dot" w:pos="7361"/>
        </w:tabs>
        <w:rPr>
          <w:rFonts w:eastAsiaTheme="minorEastAsia"/>
          <w:noProof/>
          <w:sz w:val="22"/>
          <w:szCs w:val="22"/>
          <w:lang w:eastAsia="de-DE"/>
        </w:rPr>
      </w:pPr>
      <w:hyperlink w:anchor="_Toc22133082" w:history="1">
        <w:r w:rsidR="007537A8" w:rsidRPr="00DA3374">
          <w:rPr>
            <w:rStyle w:val="Hyperlink"/>
            <w:noProof/>
          </w:rPr>
          <w:t>VIII. Beteiligten- und Prozessfähigkeit</w:t>
        </w:r>
        <w:r w:rsidR="007537A8">
          <w:rPr>
            <w:noProof/>
            <w:webHidden/>
          </w:rPr>
          <w:tab/>
        </w:r>
        <w:r w:rsidR="007537A8">
          <w:rPr>
            <w:noProof/>
            <w:webHidden/>
          </w:rPr>
          <w:fldChar w:fldCharType="begin"/>
        </w:r>
        <w:r w:rsidR="007537A8">
          <w:rPr>
            <w:noProof/>
            <w:webHidden/>
          </w:rPr>
          <w:instrText xml:space="preserve"> PAGEREF _Toc22133082 \h </w:instrText>
        </w:r>
        <w:r w:rsidR="007537A8">
          <w:rPr>
            <w:noProof/>
            <w:webHidden/>
          </w:rPr>
        </w:r>
        <w:r w:rsidR="007537A8">
          <w:rPr>
            <w:noProof/>
            <w:webHidden/>
          </w:rPr>
          <w:fldChar w:fldCharType="separate"/>
        </w:r>
        <w:r w:rsidR="007537A8">
          <w:rPr>
            <w:noProof/>
            <w:webHidden/>
          </w:rPr>
          <w:t>89</w:t>
        </w:r>
        <w:r w:rsidR="007537A8">
          <w:rPr>
            <w:noProof/>
            <w:webHidden/>
          </w:rPr>
          <w:fldChar w:fldCharType="end"/>
        </w:r>
      </w:hyperlink>
    </w:p>
    <w:p w14:paraId="61487A25" w14:textId="3B3D5AFD" w:rsidR="007537A8" w:rsidRDefault="00091FED">
      <w:pPr>
        <w:pStyle w:val="Verzeichnis5"/>
        <w:tabs>
          <w:tab w:val="right" w:leader="dot" w:pos="7361"/>
        </w:tabs>
        <w:rPr>
          <w:rFonts w:eastAsiaTheme="minorEastAsia"/>
          <w:noProof/>
          <w:sz w:val="22"/>
          <w:szCs w:val="22"/>
          <w:lang w:eastAsia="de-DE"/>
        </w:rPr>
      </w:pPr>
      <w:hyperlink w:anchor="_Toc22133083" w:history="1">
        <w:r w:rsidR="007537A8" w:rsidRPr="00DA3374">
          <w:rPr>
            <w:rStyle w:val="Hyperlink"/>
            <w:noProof/>
          </w:rPr>
          <w:t>IX. Zwischenergebnis</w:t>
        </w:r>
        <w:r w:rsidR="007537A8">
          <w:rPr>
            <w:noProof/>
            <w:webHidden/>
          </w:rPr>
          <w:tab/>
        </w:r>
        <w:r w:rsidR="007537A8">
          <w:rPr>
            <w:noProof/>
            <w:webHidden/>
          </w:rPr>
          <w:fldChar w:fldCharType="begin"/>
        </w:r>
        <w:r w:rsidR="007537A8">
          <w:rPr>
            <w:noProof/>
            <w:webHidden/>
          </w:rPr>
          <w:instrText xml:space="preserve"> PAGEREF _Toc22133083 \h </w:instrText>
        </w:r>
        <w:r w:rsidR="007537A8">
          <w:rPr>
            <w:noProof/>
            <w:webHidden/>
          </w:rPr>
        </w:r>
        <w:r w:rsidR="007537A8">
          <w:rPr>
            <w:noProof/>
            <w:webHidden/>
          </w:rPr>
          <w:fldChar w:fldCharType="separate"/>
        </w:r>
        <w:r w:rsidR="007537A8">
          <w:rPr>
            <w:noProof/>
            <w:webHidden/>
          </w:rPr>
          <w:t>89</w:t>
        </w:r>
        <w:r w:rsidR="007537A8">
          <w:rPr>
            <w:noProof/>
            <w:webHidden/>
          </w:rPr>
          <w:fldChar w:fldCharType="end"/>
        </w:r>
      </w:hyperlink>
    </w:p>
    <w:p w14:paraId="3482BF99" w14:textId="2C512720" w:rsidR="007537A8" w:rsidRDefault="00091FED">
      <w:pPr>
        <w:pStyle w:val="Verzeichnis4"/>
        <w:tabs>
          <w:tab w:val="right" w:leader="dot" w:pos="7361"/>
        </w:tabs>
        <w:rPr>
          <w:rFonts w:eastAsiaTheme="minorEastAsia"/>
          <w:noProof/>
          <w:sz w:val="22"/>
          <w:szCs w:val="22"/>
          <w:lang w:eastAsia="de-DE"/>
        </w:rPr>
      </w:pPr>
      <w:hyperlink w:anchor="_Toc22133084" w:history="1">
        <w:r w:rsidR="007537A8" w:rsidRPr="00DA3374">
          <w:rPr>
            <w:rStyle w:val="Hyperlink"/>
            <w:noProof/>
          </w:rPr>
          <w:t>B. Begründetheit</w:t>
        </w:r>
        <w:r w:rsidR="007537A8">
          <w:rPr>
            <w:noProof/>
            <w:webHidden/>
          </w:rPr>
          <w:tab/>
        </w:r>
        <w:r w:rsidR="007537A8">
          <w:rPr>
            <w:noProof/>
            <w:webHidden/>
          </w:rPr>
          <w:fldChar w:fldCharType="begin"/>
        </w:r>
        <w:r w:rsidR="007537A8">
          <w:rPr>
            <w:noProof/>
            <w:webHidden/>
          </w:rPr>
          <w:instrText xml:space="preserve"> PAGEREF _Toc22133084 \h </w:instrText>
        </w:r>
        <w:r w:rsidR="007537A8">
          <w:rPr>
            <w:noProof/>
            <w:webHidden/>
          </w:rPr>
        </w:r>
        <w:r w:rsidR="007537A8">
          <w:rPr>
            <w:noProof/>
            <w:webHidden/>
          </w:rPr>
          <w:fldChar w:fldCharType="separate"/>
        </w:r>
        <w:r w:rsidR="007537A8">
          <w:rPr>
            <w:noProof/>
            <w:webHidden/>
          </w:rPr>
          <w:t>89</w:t>
        </w:r>
        <w:r w:rsidR="007537A8">
          <w:rPr>
            <w:noProof/>
            <w:webHidden/>
          </w:rPr>
          <w:fldChar w:fldCharType="end"/>
        </w:r>
      </w:hyperlink>
    </w:p>
    <w:p w14:paraId="16FD287A" w14:textId="46A73ABA" w:rsidR="007537A8" w:rsidRDefault="00091FED">
      <w:pPr>
        <w:pStyle w:val="Verzeichnis5"/>
        <w:tabs>
          <w:tab w:val="right" w:leader="dot" w:pos="7361"/>
        </w:tabs>
        <w:rPr>
          <w:rFonts w:eastAsiaTheme="minorEastAsia"/>
          <w:noProof/>
          <w:sz w:val="22"/>
          <w:szCs w:val="22"/>
          <w:lang w:eastAsia="de-DE"/>
        </w:rPr>
      </w:pPr>
      <w:hyperlink w:anchor="_Toc22133085" w:history="1">
        <w:r w:rsidR="007537A8" w:rsidRPr="00DA3374">
          <w:rPr>
            <w:rStyle w:val="Hyperlink"/>
            <w:noProof/>
          </w:rPr>
          <w:t>I. Rechtswidrigkeit des Verwaltungsakts</w:t>
        </w:r>
        <w:r w:rsidR="007537A8">
          <w:rPr>
            <w:noProof/>
            <w:webHidden/>
          </w:rPr>
          <w:tab/>
        </w:r>
        <w:r w:rsidR="007537A8">
          <w:rPr>
            <w:noProof/>
            <w:webHidden/>
          </w:rPr>
          <w:fldChar w:fldCharType="begin"/>
        </w:r>
        <w:r w:rsidR="007537A8">
          <w:rPr>
            <w:noProof/>
            <w:webHidden/>
          </w:rPr>
          <w:instrText xml:space="preserve"> PAGEREF _Toc22133085 \h </w:instrText>
        </w:r>
        <w:r w:rsidR="007537A8">
          <w:rPr>
            <w:noProof/>
            <w:webHidden/>
          </w:rPr>
        </w:r>
        <w:r w:rsidR="007537A8">
          <w:rPr>
            <w:noProof/>
            <w:webHidden/>
          </w:rPr>
          <w:fldChar w:fldCharType="separate"/>
        </w:r>
        <w:r w:rsidR="007537A8">
          <w:rPr>
            <w:noProof/>
            <w:webHidden/>
          </w:rPr>
          <w:t>89</w:t>
        </w:r>
        <w:r w:rsidR="007537A8">
          <w:rPr>
            <w:noProof/>
            <w:webHidden/>
          </w:rPr>
          <w:fldChar w:fldCharType="end"/>
        </w:r>
      </w:hyperlink>
    </w:p>
    <w:p w14:paraId="09068646" w14:textId="79A57A84" w:rsidR="007537A8" w:rsidRDefault="00091FED">
      <w:pPr>
        <w:pStyle w:val="Verzeichnis6"/>
        <w:tabs>
          <w:tab w:val="right" w:leader="dot" w:pos="7361"/>
        </w:tabs>
        <w:rPr>
          <w:noProof/>
          <w:sz w:val="22"/>
          <w:szCs w:val="22"/>
          <w:lang w:eastAsia="de-DE"/>
        </w:rPr>
      </w:pPr>
      <w:hyperlink w:anchor="_Toc22133086" w:history="1">
        <w:r w:rsidR="007537A8" w:rsidRPr="00DA3374">
          <w:rPr>
            <w:rStyle w:val="Hyperlink"/>
            <w:noProof/>
          </w:rPr>
          <w:t>1. Ermächtigungsgrundlage</w:t>
        </w:r>
        <w:r w:rsidR="007537A8">
          <w:rPr>
            <w:noProof/>
            <w:webHidden/>
          </w:rPr>
          <w:tab/>
        </w:r>
        <w:r w:rsidR="007537A8">
          <w:rPr>
            <w:noProof/>
            <w:webHidden/>
          </w:rPr>
          <w:fldChar w:fldCharType="begin"/>
        </w:r>
        <w:r w:rsidR="007537A8">
          <w:rPr>
            <w:noProof/>
            <w:webHidden/>
          </w:rPr>
          <w:instrText xml:space="preserve"> PAGEREF _Toc22133086 \h </w:instrText>
        </w:r>
        <w:r w:rsidR="007537A8">
          <w:rPr>
            <w:noProof/>
            <w:webHidden/>
          </w:rPr>
        </w:r>
        <w:r w:rsidR="007537A8">
          <w:rPr>
            <w:noProof/>
            <w:webHidden/>
          </w:rPr>
          <w:fldChar w:fldCharType="separate"/>
        </w:r>
        <w:r w:rsidR="007537A8">
          <w:rPr>
            <w:noProof/>
            <w:webHidden/>
          </w:rPr>
          <w:t>89</w:t>
        </w:r>
        <w:r w:rsidR="007537A8">
          <w:rPr>
            <w:noProof/>
            <w:webHidden/>
          </w:rPr>
          <w:fldChar w:fldCharType="end"/>
        </w:r>
      </w:hyperlink>
    </w:p>
    <w:p w14:paraId="5A59D683" w14:textId="241CE472" w:rsidR="007537A8" w:rsidRDefault="00091FED">
      <w:pPr>
        <w:pStyle w:val="Verzeichnis6"/>
        <w:tabs>
          <w:tab w:val="right" w:leader="dot" w:pos="7361"/>
        </w:tabs>
        <w:rPr>
          <w:noProof/>
          <w:sz w:val="22"/>
          <w:szCs w:val="22"/>
          <w:lang w:eastAsia="de-DE"/>
        </w:rPr>
      </w:pPr>
      <w:hyperlink w:anchor="_Toc22133087" w:history="1">
        <w:r w:rsidR="007537A8" w:rsidRPr="00DA3374">
          <w:rPr>
            <w:rStyle w:val="Hyperlink"/>
            <w:noProof/>
          </w:rPr>
          <w:t>2. Formelle Rechtmäßigkeit</w:t>
        </w:r>
        <w:r w:rsidR="007537A8">
          <w:rPr>
            <w:noProof/>
            <w:webHidden/>
          </w:rPr>
          <w:tab/>
        </w:r>
        <w:r w:rsidR="007537A8">
          <w:rPr>
            <w:noProof/>
            <w:webHidden/>
          </w:rPr>
          <w:fldChar w:fldCharType="begin"/>
        </w:r>
        <w:r w:rsidR="007537A8">
          <w:rPr>
            <w:noProof/>
            <w:webHidden/>
          </w:rPr>
          <w:instrText xml:space="preserve"> PAGEREF _Toc22133087 \h </w:instrText>
        </w:r>
        <w:r w:rsidR="007537A8">
          <w:rPr>
            <w:noProof/>
            <w:webHidden/>
          </w:rPr>
        </w:r>
        <w:r w:rsidR="007537A8">
          <w:rPr>
            <w:noProof/>
            <w:webHidden/>
          </w:rPr>
          <w:fldChar w:fldCharType="separate"/>
        </w:r>
        <w:r w:rsidR="007537A8">
          <w:rPr>
            <w:noProof/>
            <w:webHidden/>
          </w:rPr>
          <w:t>90</w:t>
        </w:r>
        <w:r w:rsidR="007537A8">
          <w:rPr>
            <w:noProof/>
            <w:webHidden/>
          </w:rPr>
          <w:fldChar w:fldCharType="end"/>
        </w:r>
      </w:hyperlink>
    </w:p>
    <w:p w14:paraId="43874A70" w14:textId="242838B7" w:rsidR="007537A8" w:rsidRDefault="00091FED">
      <w:pPr>
        <w:pStyle w:val="Verzeichnis7"/>
        <w:tabs>
          <w:tab w:val="right" w:leader="dot" w:pos="7361"/>
        </w:tabs>
        <w:rPr>
          <w:noProof/>
          <w:sz w:val="22"/>
          <w:szCs w:val="22"/>
          <w:lang w:eastAsia="de-DE"/>
        </w:rPr>
      </w:pPr>
      <w:hyperlink w:anchor="_Toc22133088" w:history="1">
        <w:r w:rsidR="007537A8" w:rsidRPr="00DA3374">
          <w:rPr>
            <w:rStyle w:val="Hyperlink"/>
            <w:noProof/>
          </w:rPr>
          <w:t>a) Zuständigkeit</w:t>
        </w:r>
        <w:r w:rsidR="007537A8">
          <w:rPr>
            <w:noProof/>
            <w:webHidden/>
          </w:rPr>
          <w:tab/>
        </w:r>
        <w:r w:rsidR="007537A8">
          <w:rPr>
            <w:noProof/>
            <w:webHidden/>
          </w:rPr>
          <w:fldChar w:fldCharType="begin"/>
        </w:r>
        <w:r w:rsidR="007537A8">
          <w:rPr>
            <w:noProof/>
            <w:webHidden/>
          </w:rPr>
          <w:instrText xml:space="preserve"> PAGEREF _Toc22133088 \h </w:instrText>
        </w:r>
        <w:r w:rsidR="007537A8">
          <w:rPr>
            <w:noProof/>
            <w:webHidden/>
          </w:rPr>
        </w:r>
        <w:r w:rsidR="007537A8">
          <w:rPr>
            <w:noProof/>
            <w:webHidden/>
          </w:rPr>
          <w:fldChar w:fldCharType="separate"/>
        </w:r>
        <w:r w:rsidR="007537A8">
          <w:rPr>
            <w:noProof/>
            <w:webHidden/>
          </w:rPr>
          <w:t>90</w:t>
        </w:r>
        <w:r w:rsidR="007537A8">
          <w:rPr>
            <w:noProof/>
            <w:webHidden/>
          </w:rPr>
          <w:fldChar w:fldCharType="end"/>
        </w:r>
      </w:hyperlink>
    </w:p>
    <w:p w14:paraId="383F8547" w14:textId="5950C67A" w:rsidR="007537A8" w:rsidRDefault="00091FED">
      <w:pPr>
        <w:pStyle w:val="Verzeichnis7"/>
        <w:tabs>
          <w:tab w:val="right" w:leader="dot" w:pos="7361"/>
        </w:tabs>
        <w:rPr>
          <w:noProof/>
          <w:sz w:val="22"/>
          <w:szCs w:val="22"/>
          <w:lang w:eastAsia="de-DE"/>
        </w:rPr>
      </w:pPr>
      <w:hyperlink w:anchor="_Toc22133089" w:history="1">
        <w:r w:rsidR="007537A8" w:rsidRPr="00DA3374">
          <w:rPr>
            <w:rStyle w:val="Hyperlink"/>
            <w:noProof/>
          </w:rPr>
          <w:t>b) Verfahren</w:t>
        </w:r>
        <w:r w:rsidR="007537A8">
          <w:rPr>
            <w:noProof/>
            <w:webHidden/>
          </w:rPr>
          <w:tab/>
        </w:r>
        <w:r w:rsidR="007537A8">
          <w:rPr>
            <w:noProof/>
            <w:webHidden/>
          </w:rPr>
          <w:fldChar w:fldCharType="begin"/>
        </w:r>
        <w:r w:rsidR="007537A8">
          <w:rPr>
            <w:noProof/>
            <w:webHidden/>
          </w:rPr>
          <w:instrText xml:space="preserve"> PAGEREF _Toc22133089 \h </w:instrText>
        </w:r>
        <w:r w:rsidR="007537A8">
          <w:rPr>
            <w:noProof/>
            <w:webHidden/>
          </w:rPr>
        </w:r>
        <w:r w:rsidR="007537A8">
          <w:rPr>
            <w:noProof/>
            <w:webHidden/>
          </w:rPr>
          <w:fldChar w:fldCharType="separate"/>
        </w:r>
        <w:r w:rsidR="007537A8">
          <w:rPr>
            <w:noProof/>
            <w:webHidden/>
          </w:rPr>
          <w:t>90</w:t>
        </w:r>
        <w:r w:rsidR="007537A8">
          <w:rPr>
            <w:noProof/>
            <w:webHidden/>
          </w:rPr>
          <w:fldChar w:fldCharType="end"/>
        </w:r>
      </w:hyperlink>
    </w:p>
    <w:p w14:paraId="77E8BF6B" w14:textId="2B312410" w:rsidR="007537A8" w:rsidRDefault="00091FED">
      <w:pPr>
        <w:pStyle w:val="Verzeichnis7"/>
        <w:tabs>
          <w:tab w:val="right" w:leader="dot" w:pos="7361"/>
        </w:tabs>
        <w:rPr>
          <w:noProof/>
          <w:sz w:val="22"/>
          <w:szCs w:val="22"/>
          <w:lang w:eastAsia="de-DE"/>
        </w:rPr>
      </w:pPr>
      <w:hyperlink w:anchor="_Toc22133090" w:history="1">
        <w:r w:rsidR="007537A8" w:rsidRPr="00DA3374">
          <w:rPr>
            <w:rStyle w:val="Hyperlink"/>
            <w:noProof/>
          </w:rPr>
          <w:t>c) Begründung</w:t>
        </w:r>
        <w:r w:rsidR="007537A8">
          <w:rPr>
            <w:noProof/>
            <w:webHidden/>
          </w:rPr>
          <w:tab/>
        </w:r>
        <w:r w:rsidR="007537A8">
          <w:rPr>
            <w:noProof/>
            <w:webHidden/>
          </w:rPr>
          <w:fldChar w:fldCharType="begin"/>
        </w:r>
        <w:r w:rsidR="007537A8">
          <w:rPr>
            <w:noProof/>
            <w:webHidden/>
          </w:rPr>
          <w:instrText xml:space="preserve"> PAGEREF _Toc22133090 \h </w:instrText>
        </w:r>
        <w:r w:rsidR="007537A8">
          <w:rPr>
            <w:noProof/>
            <w:webHidden/>
          </w:rPr>
        </w:r>
        <w:r w:rsidR="007537A8">
          <w:rPr>
            <w:noProof/>
            <w:webHidden/>
          </w:rPr>
          <w:fldChar w:fldCharType="separate"/>
        </w:r>
        <w:r w:rsidR="007537A8">
          <w:rPr>
            <w:noProof/>
            <w:webHidden/>
          </w:rPr>
          <w:t>91</w:t>
        </w:r>
        <w:r w:rsidR="007537A8">
          <w:rPr>
            <w:noProof/>
            <w:webHidden/>
          </w:rPr>
          <w:fldChar w:fldCharType="end"/>
        </w:r>
      </w:hyperlink>
    </w:p>
    <w:p w14:paraId="370468C7" w14:textId="56BC4334" w:rsidR="007537A8" w:rsidRDefault="00091FED">
      <w:pPr>
        <w:pStyle w:val="Verzeichnis7"/>
        <w:tabs>
          <w:tab w:val="right" w:leader="dot" w:pos="7361"/>
        </w:tabs>
        <w:rPr>
          <w:noProof/>
          <w:sz w:val="22"/>
          <w:szCs w:val="22"/>
          <w:lang w:eastAsia="de-DE"/>
        </w:rPr>
      </w:pPr>
      <w:hyperlink w:anchor="_Toc22133091" w:history="1">
        <w:r w:rsidR="007537A8" w:rsidRPr="00DA3374">
          <w:rPr>
            <w:rStyle w:val="Hyperlink"/>
            <w:noProof/>
          </w:rPr>
          <w:t>d) Form</w:t>
        </w:r>
        <w:r w:rsidR="007537A8">
          <w:rPr>
            <w:noProof/>
            <w:webHidden/>
          </w:rPr>
          <w:tab/>
        </w:r>
        <w:r w:rsidR="007537A8">
          <w:rPr>
            <w:noProof/>
            <w:webHidden/>
          </w:rPr>
          <w:fldChar w:fldCharType="begin"/>
        </w:r>
        <w:r w:rsidR="007537A8">
          <w:rPr>
            <w:noProof/>
            <w:webHidden/>
          </w:rPr>
          <w:instrText xml:space="preserve"> PAGEREF _Toc22133091 \h </w:instrText>
        </w:r>
        <w:r w:rsidR="007537A8">
          <w:rPr>
            <w:noProof/>
            <w:webHidden/>
          </w:rPr>
        </w:r>
        <w:r w:rsidR="007537A8">
          <w:rPr>
            <w:noProof/>
            <w:webHidden/>
          </w:rPr>
          <w:fldChar w:fldCharType="separate"/>
        </w:r>
        <w:r w:rsidR="007537A8">
          <w:rPr>
            <w:noProof/>
            <w:webHidden/>
          </w:rPr>
          <w:t>91</w:t>
        </w:r>
        <w:r w:rsidR="007537A8">
          <w:rPr>
            <w:noProof/>
            <w:webHidden/>
          </w:rPr>
          <w:fldChar w:fldCharType="end"/>
        </w:r>
      </w:hyperlink>
    </w:p>
    <w:p w14:paraId="3F346C57" w14:textId="25E5B223" w:rsidR="007537A8" w:rsidRDefault="00091FED">
      <w:pPr>
        <w:pStyle w:val="Verzeichnis7"/>
        <w:tabs>
          <w:tab w:val="right" w:leader="dot" w:pos="7361"/>
        </w:tabs>
        <w:rPr>
          <w:noProof/>
          <w:sz w:val="22"/>
          <w:szCs w:val="22"/>
          <w:lang w:eastAsia="de-DE"/>
        </w:rPr>
      </w:pPr>
      <w:hyperlink w:anchor="_Toc22133092" w:history="1">
        <w:r w:rsidR="007537A8" w:rsidRPr="00DA3374">
          <w:rPr>
            <w:rStyle w:val="Hyperlink"/>
            <w:noProof/>
          </w:rPr>
          <w:t>e) Zwischenergebnis</w:t>
        </w:r>
        <w:r w:rsidR="007537A8">
          <w:rPr>
            <w:noProof/>
            <w:webHidden/>
          </w:rPr>
          <w:tab/>
        </w:r>
        <w:r w:rsidR="007537A8">
          <w:rPr>
            <w:noProof/>
            <w:webHidden/>
          </w:rPr>
          <w:fldChar w:fldCharType="begin"/>
        </w:r>
        <w:r w:rsidR="007537A8">
          <w:rPr>
            <w:noProof/>
            <w:webHidden/>
          </w:rPr>
          <w:instrText xml:space="preserve"> PAGEREF _Toc22133092 \h </w:instrText>
        </w:r>
        <w:r w:rsidR="007537A8">
          <w:rPr>
            <w:noProof/>
            <w:webHidden/>
          </w:rPr>
        </w:r>
        <w:r w:rsidR="007537A8">
          <w:rPr>
            <w:noProof/>
            <w:webHidden/>
          </w:rPr>
          <w:fldChar w:fldCharType="separate"/>
        </w:r>
        <w:r w:rsidR="007537A8">
          <w:rPr>
            <w:noProof/>
            <w:webHidden/>
          </w:rPr>
          <w:t>91</w:t>
        </w:r>
        <w:r w:rsidR="007537A8">
          <w:rPr>
            <w:noProof/>
            <w:webHidden/>
          </w:rPr>
          <w:fldChar w:fldCharType="end"/>
        </w:r>
      </w:hyperlink>
    </w:p>
    <w:p w14:paraId="592D1B79" w14:textId="3EC36709" w:rsidR="007537A8" w:rsidRDefault="00091FED">
      <w:pPr>
        <w:pStyle w:val="Verzeichnis6"/>
        <w:tabs>
          <w:tab w:val="right" w:leader="dot" w:pos="7361"/>
        </w:tabs>
        <w:rPr>
          <w:noProof/>
          <w:sz w:val="22"/>
          <w:szCs w:val="22"/>
          <w:lang w:eastAsia="de-DE"/>
        </w:rPr>
      </w:pPr>
      <w:hyperlink w:anchor="_Toc22133093" w:history="1">
        <w:r w:rsidR="007537A8" w:rsidRPr="00DA3374">
          <w:rPr>
            <w:rStyle w:val="Hyperlink"/>
            <w:noProof/>
          </w:rPr>
          <w:t>3. Materielle Rechtmäßigkeit</w:t>
        </w:r>
        <w:r w:rsidR="007537A8">
          <w:rPr>
            <w:noProof/>
            <w:webHidden/>
          </w:rPr>
          <w:tab/>
        </w:r>
        <w:r w:rsidR="007537A8">
          <w:rPr>
            <w:noProof/>
            <w:webHidden/>
          </w:rPr>
          <w:fldChar w:fldCharType="begin"/>
        </w:r>
        <w:r w:rsidR="007537A8">
          <w:rPr>
            <w:noProof/>
            <w:webHidden/>
          </w:rPr>
          <w:instrText xml:space="preserve"> PAGEREF _Toc22133093 \h </w:instrText>
        </w:r>
        <w:r w:rsidR="007537A8">
          <w:rPr>
            <w:noProof/>
            <w:webHidden/>
          </w:rPr>
        </w:r>
        <w:r w:rsidR="007537A8">
          <w:rPr>
            <w:noProof/>
            <w:webHidden/>
          </w:rPr>
          <w:fldChar w:fldCharType="separate"/>
        </w:r>
        <w:r w:rsidR="007537A8">
          <w:rPr>
            <w:noProof/>
            <w:webHidden/>
          </w:rPr>
          <w:t>92</w:t>
        </w:r>
        <w:r w:rsidR="007537A8">
          <w:rPr>
            <w:noProof/>
            <w:webHidden/>
          </w:rPr>
          <w:fldChar w:fldCharType="end"/>
        </w:r>
      </w:hyperlink>
    </w:p>
    <w:p w14:paraId="3283D0F1" w14:textId="5A019F64" w:rsidR="007537A8" w:rsidRDefault="00091FED">
      <w:pPr>
        <w:pStyle w:val="Verzeichnis7"/>
        <w:tabs>
          <w:tab w:val="right" w:leader="dot" w:pos="7361"/>
        </w:tabs>
        <w:rPr>
          <w:noProof/>
          <w:sz w:val="22"/>
          <w:szCs w:val="22"/>
          <w:lang w:eastAsia="de-DE"/>
        </w:rPr>
      </w:pPr>
      <w:hyperlink w:anchor="_Toc22133094" w:history="1">
        <w:r w:rsidR="007537A8" w:rsidRPr="00DA3374">
          <w:rPr>
            <w:rStyle w:val="Hyperlink"/>
            <w:noProof/>
          </w:rPr>
          <w:t>a) Handlungsform</w:t>
        </w:r>
        <w:r w:rsidR="007537A8">
          <w:rPr>
            <w:noProof/>
            <w:webHidden/>
          </w:rPr>
          <w:tab/>
        </w:r>
        <w:r w:rsidR="007537A8">
          <w:rPr>
            <w:noProof/>
            <w:webHidden/>
          </w:rPr>
          <w:fldChar w:fldCharType="begin"/>
        </w:r>
        <w:r w:rsidR="007537A8">
          <w:rPr>
            <w:noProof/>
            <w:webHidden/>
          </w:rPr>
          <w:instrText xml:space="preserve"> PAGEREF _Toc22133094 \h </w:instrText>
        </w:r>
        <w:r w:rsidR="007537A8">
          <w:rPr>
            <w:noProof/>
            <w:webHidden/>
          </w:rPr>
        </w:r>
        <w:r w:rsidR="007537A8">
          <w:rPr>
            <w:noProof/>
            <w:webHidden/>
          </w:rPr>
          <w:fldChar w:fldCharType="separate"/>
        </w:r>
        <w:r w:rsidR="007537A8">
          <w:rPr>
            <w:noProof/>
            <w:webHidden/>
          </w:rPr>
          <w:t>92</w:t>
        </w:r>
        <w:r w:rsidR="007537A8">
          <w:rPr>
            <w:noProof/>
            <w:webHidden/>
          </w:rPr>
          <w:fldChar w:fldCharType="end"/>
        </w:r>
      </w:hyperlink>
    </w:p>
    <w:p w14:paraId="05F37B2E" w14:textId="7D628425" w:rsidR="007537A8" w:rsidRDefault="00091FED">
      <w:pPr>
        <w:pStyle w:val="Verzeichnis7"/>
        <w:tabs>
          <w:tab w:val="right" w:leader="dot" w:pos="7361"/>
        </w:tabs>
        <w:rPr>
          <w:noProof/>
          <w:sz w:val="22"/>
          <w:szCs w:val="22"/>
          <w:lang w:eastAsia="de-DE"/>
        </w:rPr>
      </w:pPr>
      <w:hyperlink w:anchor="_Toc22133095" w:history="1">
        <w:r w:rsidR="007537A8" w:rsidRPr="00DA3374">
          <w:rPr>
            <w:rStyle w:val="Hyperlink"/>
            <w:noProof/>
          </w:rPr>
          <w:t>b) Hilfsgutachterlich: Bestimmtheit, § 37 I HVwVfG</w:t>
        </w:r>
        <w:r w:rsidR="007537A8">
          <w:rPr>
            <w:noProof/>
            <w:webHidden/>
          </w:rPr>
          <w:tab/>
        </w:r>
        <w:r w:rsidR="007537A8">
          <w:rPr>
            <w:noProof/>
            <w:webHidden/>
          </w:rPr>
          <w:fldChar w:fldCharType="begin"/>
        </w:r>
        <w:r w:rsidR="007537A8">
          <w:rPr>
            <w:noProof/>
            <w:webHidden/>
          </w:rPr>
          <w:instrText xml:space="preserve"> PAGEREF _Toc22133095 \h </w:instrText>
        </w:r>
        <w:r w:rsidR="007537A8">
          <w:rPr>
            <w:noProof/>
            <w:webHidden/>
          </w:rPr>
        </w:r>
        <w:r w:rsidR="007537A8">
          <w:rPr>
            <w:noProof/>
            <w:webHidden/>
          </w:rPr>
          <w:fldChar w:fldCharType="separate"/>
        </w:r>
        <w:r w:rsidR="007537A8">
          <w:rPr>
            <w:noProof/>
            <w:webHidden/>
          </w:rPr>
          <w:t>92</w:t>
        </w:r>
        <w:r w:rsidR="007537A8">
          <w:rPr>
            <w:noProof/>
            <w:webHidden/>
          </w:rPr>
          <w:fldChar w:fldCharType="end"/>
        </w:r>
      </w:hyperlink>
    </w:p>
    <w:p w14:paraId="68C94E14" w14:textId="7C788DFD" w:rsidR="007537A8" w:rsidRDefault="00091FED">
      <w:pPr>
        <w:pStyle w:val="Verzeichnis7"/>
        <w:tabs>
          <w:tab w:val="right" w:leader="dot" w:pos="7361"/>
        </w:tabs>
        <w:rPr>
          <w:noProof/>
          <w:sz w:val="22"/>
          <w:szCs w:val="22"/>
          <w:lang w:eastAsia="de-DE"/>
        </w:rPr>
      </w:pPr>
      <w:hyperlink w:anchor="_Toc22133096" w:history="1">
        <w:r w:rsidR="007537A8" w:rsidRPr="00DA3374">
          <w:rPr>
            <w:rStyle w:val="Hyperlink"/>
            <w:noProof/>
          </w:rPr>
          <w:t>c) Hilfsgutachterlich: Tatbestand des § 31 III 1 HSOG</w:t>
        </w:r>
        <w:r w:rsidR="007537A8">
          <w:rPr>
            <w:noProof/>
            <w:webHidden/>
          </w:rPr>
          <w:tab/>
        </w:r>
        <w:r w:rsidR="007537A8">
          <w:rPr>
            <w:noProof/>
            <w:webHidden/>
          </w:rPr>
          <w:fldChar w:fldCharType="begin"/>
        </w:r>
        <w:r w:rsidR="007537A8">
          <w:rPr>
            <w:noProof/>
            <w:webHidden/>
          </w:rPr>
          <w:instrText xml:space="preserve"> PAGEREF _Toc22133096 \h </w:instrText>
        </w:r>
        <w:r w:rsidR="007537A8">
          <w:rPr>
            <w:noProof/>
            <w:webHidden/>
          </w:rPr>
        </w:r>
        <w:r w:rsidR="007537A8">
          <w:rPr>
            <w:noProof/>
            <w:webHidden/>
          </w:rPr>
          <w:fldChar w:fldCharType="separate"/>
        </w:r>
        <w:r w:rsidR="007537A8">
          <w:rPr>
            <w:noProof/>
            <w:webHidden/>
          </w:rPr>
          <w:t>92</w:t>
        </w:r>
        <w:r w:rsidR="007537A8">
          <w:rPr>
            <w:noProof/>
            <w:webHidden/>
          </w:rPr>
          <w:fldChar w:fldCharType="end"/>
        </w:r>
      </w:hyperlink>
    </w:p>
    <w:p w14:paraId="0DC54237" w14:textId="424E43F5" w:rsidR="007537A8" w:rsidRDefault="00091FED">
      <w:pPr>
        <w:pStyle w:val="Verzeichnis8"/>
        <w:tabs>
          <w:tab w:val="right" w:leader="dot" w:pos="7361"/>
        </w:tabs>
        <w:rPr>
          <w:noProof/>
          <w:sz w:val="22"/>
          <w:szCs w:val="22"/>
          <w:lang w:eastAsia="de-DE"/>
        </w:rPr>
      </w:pPr>
      <w:hyperlink w:anchor="_Toc22133097" w:history="1">
        <w:r w:rsidR="007537A8" w:rsidRPr="00DA3374">
          <w:rPr>
            <w:rStyle w:val="Hyperlink"/>
            <w:noProof/>
          </w:rPr>
          <w:t>aa) Adressat</w:t>
        </w:r>
        <w:r w:rsidR="007537A8">
          <w:rPr>
            <w:noProof/>
            <w:webHidden/>
          </w:rPr>
          <w:tab/>
        </w:r>
        <w:r w:rsidR="007537A8">
          <w:rPr>
            <w:noProof/>
            <w:webHidden/>
          </w:rPr>
          <w:fldChar w:fldCharType="begin"/>
        </w:r>
        <w:r w:rsidR="007537A8">
          <w:rPr>
            <w:noProof/>
            <w:webHidden/>
          </w:rPr>
          <w:instrText xml:space="preserve"> PAGEREF _Toc22133097 \h </w:instrText>
        </w:r>
        <w:r w:rsidR="007537A8">
          <w:rPr>
            <w:noProof/>
            <w:webHidden/>
          </w:rPr>
        </w:r>
        <w:r w:rsidR="007537A8">
          <w:rPr>
            <w:noProof/>
            <w:webHidden/>
          </w:rPr>
          <w:fldChar w:fldCharType="separate"/>
        </w:r>
        <w:r w:rsidR="007537A8">
          <w:rPr>
            <w:noProof/>
            <w:webHidden/>
          </w:rPr>
          <w:t>93</w:t>
        </w:r>
        <w:r w:rsidR="007537A8">
          <w:rPr>
            <w:noProof/>
            <w:webHidden/>
          </w:rPr>
          <w:fldChar w:fldCharType="end"/>
        </w:r>
      </w:hyperlink>
    </w:p>
    <w:p w14:paraId="6389EF80" w14:textId="6BD74874" w:rsidR="007537A8" w:rsidRDefault="00091FED">
      <w:pPr>
        <w:pStyle w:val="Verzeichnis8"/>
        <w:tabs>
          <w:tab w:val="right" w:leader="dot" w:pos="7361"/>
        </w:tabs>
        <w:rPr>
          <w:noProof/>
          <w:sz w:val="22"/>
          <w:szCs w:val="22"/>
          <w:lang w:eastAsia="de-DE"/>
        </w:rPr>
      </w:pPr>
      <w:hyperlink w:anchor="_Toc22133098" w:history="1">
        <w:r w:rsidR="007537A8" w:rsidRPr="00DA3374">
          <w:rPr>
            <w:rStyle w:val="Hyperlink"/>
            <w:noProof/>
          </w:rPr>
          <w:t>bb) Eingriffsschwelle</w:t>
        </w:r>
        <w:r w:rsidR="007537A8">
          <w:rPr>
            <w:noProof/>
            <w:webHidden/>
          </w:rPr>
          <w:tab/>
        </w:r>
        <w:r w:rsidR="007537A8">
          <w:rPr>
            <w:noProof/>
            <w:webHidden/>
          </w:rPr>
          <w:fldChar w:fldCharType="begin"/>
        </w:r>
        <w:r w:rsidR="007537A8">
          <w:rPr>
            <w:noProof/>
            <w:webHidden/>
          </w:rPr>
          <w:instrText xml:space="preserve"> PAGEREF _Toc22133098 \h </w:instrText>
        </w:r>
        <w:r w:rsidR="007537A8">
          <w:rPr>
            <w:noProof/>
            <w:webHidden/>
          </w:rPr>
        </w:r>
        <w:r w:rsidR="007537A8">
          <w:rPr>
            <w:noProof/>
            <w:webHidden/>
          </w:rPr>
          <w:fldChar w:fldCharType="separate"/>
        </w:r>
        <w:r w:rsidR="007537A8">
          <w:rPr>
            <w:noProof/>
            <w:webHidden/>
          </w:rPr>
          <w:t>93</w:t>
        </w:r>
        <w:r w:rsidR="007537A8">
          <w:rPr>
            <w:noProof/>
            <w:webHidden/>
          </w:rPr>
          <w:fldChar w:fldCharType="end"/>
        </w:r>
      </w:hyperlink>
    </w:p>
    <w:p w14:paraId="3DB5F231" w14:textId="6DBBD4EA" w:rsidR="007537A8" w:rsidRDefault="00091FED">
      <w:pPr>
        <w:pStyle w:val="Verzeichnis7"/>
        <w:tabs>
          <w:tab w:val="right" w:leader="dot" w:pos="7361"/>
        </w:tabs>
        <w:rPr>
          <w:noProof/>
          <w:sz w:val="22"/>
          <w:szCs w:val="22"/>
          <w:lang w:eastAsia="de-DE"/>
        </w:rPr>
      </w:pPr>
      <w:hyperlink w:anchor="_Toc22133099" w:history="1">
        <w:r w:rsidR="007537A8" w:rsidRPr="00DA3374">
          <w:rPr>
            <w:rStyle w:val="Hyperlink"/>
            <w:noProof/>
          </w:rPr>
          <w:t>d) Hilfsgutachterlich: Ermessen</w:t>
        </w:r>
        <w:r w:rsidR="007537A8">
          <w:rPr>
            <w:noProof/>
            <w:webHidden/>
          </w:rPr>
          <w:tab/>
        </w:r>
        <w:r w:rsidR="007537A8">
          <w:rPr>
            <w:noProof/>
            <w:webHidden/>
          </w:rPr>
          <w:fldChar w:fldCharType="begin"/>
        </w:r>
        <w:r w:rsidR="007537A8">
          <w:rPr>
            <w:noProof/>
            <w:webHidden/>
          </w:rPr>
          <w:instrText xml:space="preserve"> PAGEREF _Toc22133099 \h </w:instrText>
        </w:r>
        <w:r w:rsidR="007537A8">
          <w:rPr>
            <w:noProof/>
            <w:webHidden/>
          </w:rPr>
        </w:r>
        <w:r w:rsidR="007537A8">
          <w:rPr>
            <w:noProof/>
            <w:webHidden/>
          </w:rPr>
          <w:fldChar w:fldCharType="separate"/>
        </w:r>
        <w:r w:rsidR="007537A8">
          <w:rPr>
            <w:noProof/>
            <w:webHidden/>
          </w:rPr>
          <w:t>93</w:t>
        </w:r>
        <w:r w:rsidR="007537A8">
          <w:rPr>
            <w:noProof/>
            <w:webHidden/>
          </w:rPr>
          <w:fldChar w:fldCharType="end"/>
        </w:r>
      </w:hyperlink>
    </w:p>
    <w:p w14:paraId="081922D6" w14:textId="41CE2663" w:rsidR="007537A8" w:rsidRDefault="00091FED">
      <w:pPr>
        <w:pStyle w:val="Verzeichnis7"/>
        <w:tabs>
          <w:tab w:val="right" w:leader="dot" w:pos="7361"/>
        </w:tabs>
        <w:rPr>
          <w:noProof/>
          <w:sz w:val="22"/>
          <w:szCs w:val="22"/>
          <w:lang w:eastAsia="de-DE"/>
        </w:rPr>
      </w:pPr>
      <w:hyperlink w:anchor="_Toc22133100" w:history="1">
        <w:r w:rsidR="007537A8" w:rsidRPr="00DA3374">
          <w:rPr>
            <w:rStyle w:val="Hyperlink"/>
            <w:noProof/>
          </w:rPr>
          <w:t>e) Zwischenergebnis</w:t>
        </w:r>
        <w:r w:rsidR="007537A8">
          <w:rPr>
            <w:noProof/>
            <w:webHidden/>
          </w:rPr>
          <w:tab/>
        </w:r>
        <w:r w:rsidR="007537A8">
          <w:rPr>
            <w:noProof/>
            <w:webHidden/>
          </w:rPr>
          <w:fldChar w:fldCharType="begin"/>
        </w:r>
        <w:r w:rsidR="007537A8">
          <w:rPr>
            <w:noProof/>
            <w:webHidden/>
          </w:rPr>
          <w:instrText xml:space="preserve"> PAGEREF _Toc22133100 \h </w:instrText>
        </w:r>
        <w:r w:rsidR="007537A8">
          <w:rPr>
            <w:noProof/>
            <w:webHidden/>
          </w:rPr>
        </w:r>
        <w:r w:rsidR="007537A8">
          <w:rPr>
            <w:noProof/>
            <w:webHidden/>
          </w:rPr>
          <w:fldChar w:fldCharType="separate"/>
        </w:r>
        <w:r w:rsidR="007537A8">
          <w:rPr>
            <w:noProof/>
            <w:webHidden/>
          </w:rPr>
          <w:t>94</w:t>
        </w:r>
        <w:r w:rsidR="007537A8">
          <w:rPr>
            <w:noProof/>
            <w:webHidden/>
          </w:rPr>
          <w:fldChar w:fldCharType="end"/>
        </w:r>
      </w:hyperlink>
    </w:p>
    <w:p w14:paraId="475A27D6" w14:textId="67D427AD" w:rsidR="007537A8" w:rsidRDefault="00091FED">
      <w:pPr>
        <w:pStyle w:val="Verzeichnis6"/>
        <w:tabs>
          <w:tab w:val="right" w:leader="dot" w:pos="7361"/>
        </w:tabs>
        <w:rPr>
          <w:noProof/>
          <w:sz w:val="22"/>
          <w:szCs w:val="22"/>
          <w:lang w:eastAsia="de-DE"/>
        </w:rPr>
      </w:pPr>
      <w:hyperlink w:anchor="_Toc22133101" w:history="1">
        <w:r w:rsidR="007537A8" w:rsidRPr="00DA3374">
          <w:rPr>
            <w:rStyle w:val="Hyperlink"/>
            <w:noProof/>
          </w:rPr>
          <w:t>4. Zwischenergebnis</w:t>
        </w:r>
        <w:r w:rsidR="007537A8">
          <w:rPr>
            <w:noProof/>
            <w:webHidden/>
          </w:rPr>
          <w:tab/>
        </w:r>
        <w:r w:rsidR="007537A8">
          <w:rPr>
            <w:noProof/>
            <w:webHidden/>
          </w:rPr>
          <w:fldChar w:fldCharType="begin"/>
        </w:r>
        <w:r w:rsidR="007537A8">
          <w:rPr>
            <w:noProof/>
            <w:webHidden/>
          </w:rPr>
          <w:instrText xml:space="preserve"> PAGEREF _Toc22133101 \h </w:instrText>
        </w:r>
        <w:r w:rsidR="007537A8">
          <w:rPr>
            <w:noProof/>
            <w:webHidden/>
          </w:rPr>
        </w:r>
        <w:r w:rsidR="007537A8">
          <w:rPr>
            <w:noProof/>
            <w:webHidden/>
          </w:rPr>
          <w:fldChar w:fldCharType="separate"/>
        </w:r>
        <w:r w:rsidR="007537A8">
          <w:rPr>
            <w:noProof/>
            <w:webHidden/>
          </w:rPr>
          <w:t>94</w:t>
        </w:r>
        <w:r w:rsidR="007537A8">
          <w:rPr>
            <w:noProof/>
            <w:webHidden/>
          </w:rPr>
          <w:fldChar w:fldCharType="end"/>
        </w:r>
      </w:hyperlink>
    </w:p>
    <w:p w14:paraId="68B70A24" w14:textId="60B6D158" w:rsidR="007537A8" w:rsidRDefault="00091FED">
      <w:pPr>
        <w:pStyle w:val="Verzeichnis5"/>
        <w:tabs>
          <w:tab w:val="right" w:leader="dot" w:pos="7361"/>
        </w:tabs>
        <w:rPr>
          <w:rFonts w:eastAsiaTheme="minorEastAsia"/>
          <w:noProof/>
          <w:sz w:val="22"/>
          <w:szCs w:val="22"/>
          <w:lang w:eastAsia="de-DE"/>
        </w:rPr>
      </w:pPr>
      <w:hyperlink w:anchor="_Toc22133102" w:history="1">
        <w:r w:rsidR="007537A8" w:rsidRPr="00DA3374">
          <w:rPr>
            <w:rStyle w:val="Hyperlink"/>
            <w:noProof/>
          </w:rPr>
          <w:t>II. Verletzung in eigenen Rechten</w:t>
        </w:r>
        <w:r w:rsidR="007537A8">
          <w:rPr>
            <w:noProof/>
            <w:webHidden/>
          </w:rPr>
          <w:tab/>
        </w:r>
        <w:r w:rsidR="007537A8">
          <w:rPr>
            <w:noProof/>
            <w:webHidden/>
          </w:rPr>
          <w:fldChar w:fldCharType="begin"/>
        </w:r>
        <w:r w:rsidR="007537A8">
          <w:rPr>
            <w:noProof/>
            <w:webHidden/>
          </w:rPr>
          <w:instrText xml:space="preserve"> PAGEREF _Toc22133102 \h </w:instrText>
        </w:r>
        <w:r w:rsidR="007537A8">
          <w:rPr>
            <w:noProof/>
            <w:webHidden/>
          </w:rPr>
        </w:r>
        <w:r w:rsidR="007537A8">
          <w:rPr>
            <w:noProof/>
            <w:webHidden/>
          </w:rPr>
          <w:fldChar w:fldCharType="separate"/>
        </w:r>
        <w:r w:rsidR="007537A8">
          <w:rPr>
            <w:noProof/>
            <w:webHidden/>
          </w:rPr>
          <w:t>94</w:t>
        </w:r>
        <w:r w:rsidR="007537A8">
          <w:rPr>
            <w:noProof/>
            <w:webHidden/>
          </w:rPr>
          <w:fldChar w:fldCharType="end"/>
        </w:r>
      </w:hyperlink>
    </w:p>
    <w:p w14:paraId="510CF945" w14:textId="5EEC8088" w:rsidR="007537A8" w:rsidRDefault="00091FED">
      <w:pPr>
        <w:pStyle w:val="Verzeichnis4"/>
        <w:tabs>
          <w:tab w:val="right" w:leader="dot" w:pos="7361"/>
        </w:tabs>
        <w:rPr>
          <w:rFonts w:eastAsiaTheme="minorEastAsia"/>
          <w:noProof/>
          <w:sz w:val="22"/>
          <w:szCs w:val="22"/>
          <w:lang w:eastAsia="de-DE"/>
        </w:rPr>
      </w:pPr>
      <w:hyperlink w:anchor="_Toc22133103" w:history="1">
        <w:r w:rsidR="007537A8" w:rsidRPr="00DA3374">
          <w:rPr>
            <w:rStyle w:val="Hyperlink"/>
            <w:noProof/>
          </w:rPr>
          <w:t>C. Ergebnis</w:t>
        </w:r>
        <w:r w:rsidR="007537A8">
          <w:rPr>
            <w:noProof/>
            <w:webHidden/>
          </w:rPr>
          <w:tab/>
        </w:r>
        <w:r w:rsidR="007537A8">
          <w:rPr>
            <w:noProof/>
            <w:webHidden/>
          </w:rPr>
          <w:fldChar w:fldCharType="begin"/>
        </w:r>
        <w:r w:rsidR="007537A8">
          <w:rPr>
            <w:noProof/>
            <w:webHidden/>
          </w:rPr>
          <w:instrText xml:space="preserve"> PAGEREF _Toc22133103 \h </w:instrText>
        </w:r>
        <w:r w:rsidR="007537A8">
          <w:rPr>
            <w:noProof/>
            <w:webHidden/>
          </w:rPr>
        </w:r>
        <w:r w:rsidR="007537A8">
          <w:rPr>
            <w:noProof/>
            <w:webHidden/>
          </w:rPr>
          <w:fldChar w:fldCharType="separate"/>
        </w:r>
        <w:r w:rsidR="007537A8">
          <w:rPr>
            <w:noProof/>
            <w:webHidden/>
          </w:rPr>
          <w:t>94</w:t>
        </w:r>
        <w:r w:rsidR="007537A8">
          <w:rPr>
            <w:noProof/>
            <w:webHidden/>
          </w:rPr>
          <w:fldChar w:fldCharType="end"/>
        </w:r>
      </w:hyperlink>
    </w:p>
    <w:p w14:paraId="21B766F5" w14:textId="79C39F02" w:rsidR="00CA43AE" w:rsidRDefault="00CA43AE" w:rsidP="00CA43AE">
      <w:pPr>
        <w:rPr>
          <w:rFonts w:eastAsiaTheme="majorEastAsia"/>
        </w:rPr>
      </w:pPr>
      <w:r>
        <w:rPr>
          <w:rFonts w:eastAsiaTheme="majorEastAsia"/>
        </w:rPr>
        <w:fldChar w:fldCharType="end"/>
      </w:r>
    </w:p>
    <w:p w14:paraId="0F0CD20C" w14:textId="77777777" w:rsidR="00CA43AE" w:rsidRPr="00F049D6" w:rsidRDefault="00CA43AE" w:rsidP="00CC7995">
      <w:pPr>
        <w:jc w:val="left"/>
      </w:pPr>
    </w:p>
    <w:p w14:paraId="651BA317" w14:textId="77777777" w:rsidR="0001383E" w:rsidRDefault="0001383E">
      <w:pPr>
        <w:jc w:val="left"/>
        <w:rPr>
          <w:rFonts w:ascii="Calibri" w:eastAsiaTheme="majorEastAsia" w:hAnsi="Calibri" w:cstheme="majorBidi"/>
          <w:sz w:val="26"/>
          <w:szCs w:val="26"/>
        </w:rPr>
      </w:pPr>
      <w:r>
        <w:br w:type="page"/>
      </w:r>
    </w:p>
    <w:p w14:paraId="7FA1A8CA" w14:textId="7324C80D" w:rsidR="00CC7995" w:rsidRPr="00F049D6" w:rsidRDefault="00CC7995" w:rsidP="0001383E">
      <w:pPr>
        <w:pStyle w:val="berschrift3"/>
      </w:pPr>
      <w:bookmarkStart w:id="217" w:name="_Toc22133073"/>
      <w:bookmarkStart w:id="218" w:name="Fall6"/>
      <w:r w:rsidRPr="00F049D6">
        <w:t>Lösung</w:t>
      </w:r>
      <w:r w:rsidR="0001383E">
        <w:t>svorschlag</w:t>
      </w:r>
      <w:bookmarkEnd w:id="217"/>
    </w:p>
    <w:p w14:paraId="0714C762" w14:textId="77777777" w:rsidR="00CC7995" w:rsidRPr="00CC7995" w:rsidRDefault="00CC7995" w:rsidP="00CC7995">
      <w:pPr>
        <w:pStyle w:val="Randnummer"/>
        <w:framePr w:wrap="around"/>
      </w:pPr>
    </w:p>
    <w:p w14:paraId="4CC3889A" w14:textId="77777777" w:rsidR="00CC7995" w:rsidRPr="00CC7995" w:rsidRDefault="00CC7995" w:rsidP="000667CE">
      <w:r w:rsidRPr="00CC7995">
        <w:t>Die Klage des F hat Aussicht auf Erfolg, soweit sie zulässig und begründet ist.</w:t>
      </w:r>
    </w:p>
    <w:p w14:paraId="65201404" w14:textId="77777777" w:rsidR="00CC7995" w:rsidRPr="00F049D6" w:rsidRDefault="00CC7995" w:rsidP="000434BF">
      <w:pPr>
        <w:pStyle w:val="berschrift4"/>
      </w:pPr>
      <w:bookmarkStart w:id="219" w:name="_Toc22133074"/>
      <w:r w:rsidRPr="00F049D6">
        <w:t>A. Zulässigkeit</w:t>
      </w:r>
      <w:bookmarkEnd w:id="219"/>
      <w:r w:rsidRPr="00F049D6">
        <w:t xml:space="preserve"> </w:t>
      </w:r>
    </w:p>
    <w:p w14:paraId="4331C1A2" w14:textId="77777777" w:rsidR="00CC7995" w:rsidRPr="00CC7995" w:rsidRDefault="00CC7995" w:rsidP="00CC7995">
      <w:pPr>
        <w:pStyle w:val="Randnummer"/>
        <w:framePr w:wrap="around"/>
      </w:pPr>
    </w:p>
    <w:p w14:paraId="1AACDAA9" w14:textId="77777777" w:rsidR="00CC7995" w:rsidRPr="00CC7995" w:rsidRDefault="00CC7995" w:rsidP="000667CE">
      <w:r w:rsidRPr="00CC7995">
        <w:t>Die Klage des F ist zulässig, wenn alle Sachentscheidungsvoraussetzungen vorliegen.</w:t>
      </w:r>
    </w:p>
    <w:p w14:paraId="548B1227" w14:textId="77777777" w:rsidR="00CC7995" w:rsidRPr="00F049D6" w:rsidRDefault="00CC7995" w:rsidP="000434BF">
      <w:pPr>
        <w:pStyle w:val="berschrift5"/>
      </w:pPr>
      <w:bookmarkStart w:id="220" w:name="_Toc22133075"/>
      <w:r w:rsidRPr="00F049D6">
        <w:t>I. Eröffnung des Verwaltungsrechtswegs</w:t>
      </w:r>
      <w:bookmarkEnd w:id="220"/>
    </w:p>
    <w:p w14:paraId="66DE452E" w14:textId="77777777" w:rsidR="00CC7995" w:rsidRPr="00CC7995" w:rsidRDefault="00CC7995" w:rsidP="00CC7995">
      <w:pPr>
        <w:pStyle w:val="Randnummer"/>
        <w:framePr w:wrap="around"/>
      </w:pPr>
    </w:p>
    <w:p w14:paraId="764447D8" w14:textId="534D5E6D" w:rsidR="00CC7995" w:rsidRPr="00CC7995" w:rsidRDefault="00CC7995" w:rsidP="000667CE">
      <w:r w:rsidRPr="00CC7995">
        <w:t xml:space="preserve">Zunächst müsste der Verwaltungsrechtsweg eröffnet sein. Mangels aufdrängender Zuweisung an den Verwaltungsrechtsweg ist dafür auf die Generalklausel des § 40 I </w:t>
      </w:r>
      <w:r w:rsidR="00D51AD4">
        <w:t xml:space="preserve">1 </w:t>
      </w:r>
      <w:r w:rsidRPr="00CC7995">
        <w:t>VwGO abzustellen. § 40 I 1 VwGO eröffnet den Verwaltungsrechtsweg für alle öffentlich-rechtlichen Streitigkeiten nichtverfassungsrechtlicher Art. Eine Streitigkeit ist öffentlich-rechtlich, wenn die streitentscheidenden Normen solche des öffentlichen Rechts sind. Vorliegend kommt es auf Normen des HVwVfG</w:t>
      </w:r>
      <w:r w:rsidR="00290A57">
        <w:rPr>
          <w:rStyle w:val="Funotenzeichen"/>
        </w:rPr>
        <w:footnoteReference w:id="192"/>
      </w:r>
      <w:r w:rsidRPr="00CC7995">
        <w:t xml:space="preserve"> und des HSOG an, diese berechtigen einen Träger öffentlicher Gewalt, nämlich die Gefahrenabwehr- und Polizeibehörden (sog. modifizierte Subjektstheorie) und sind daher solche des öffentlichen Rechts. Mangels doppelter Verfassungsunmittelbarkeit ist die Streitigkeit auch nichtverfassungsrechtlicher Art. Eine abdrängende Sonderzuweisung ist nicht ersichtlich, sodass der Verwaltungsrechtsweg eröffnet ist. </w:t>
      </w:r>
    </w:p>
    <w:p w14:paraId="70A87F2B" w14:textId="77777777" w:rsidR="00CC7995" w:rsidRPr="00F049D6" w:rsidRDefault="00CC7995" w:rsidP="000434BF">
      <w:pPr>
        <w:pStyle w:val="berschrift5"/>
      </w:pPr>
      <w:bookmarkStart w:id="221" w:name="_Toc22133076"/>
      <w:r w:rsidRPr="00F049D6">
        <w:t>II. Statthafte Klageart</w:t>
      </w:r>
      <w:bookmarkEnd w:id="221"/>
      <w:r w:rsidRPr="00F049D6">
        <w:t xml:space="preserve"> </w:t>
      </w:r>
    </w:p>
    <w:p w14:paraId="7810F409" w14:textId="77777777" w:rsidR="00CC7995" w:rsidRPr="00CC7995" w:rsidRDefault="00CC7995" w:rsidP="00CC7995">
      <w:pPr>
        <w:pStyle w:val="Randnummer"/>
        <w:framePr w:wrap="around"/>
      </w:pPr>
    </w:p>
    <w:p w14:paraId="0B2377AE" w14:textId="77777777" w:rsidR="00CC7995" w:rsidRPr="00CC7995" w:rsidRDefault="00CC7995" w:rsidP="000667CE">
      <w:r w:rsidRPr="00CC7995">
        <w:t>Die Statthaftigkeit richtet sich nach dem Begehr des Klägers, § 88 VwGO. F möchte, dass das Vorgehen der Polizei für unzulässig erklärt wird.</w:t>
      </w:r>
    </w:p>
    <w:p w14:paraId="6AB306C8" w14:textId="77777777" w:rsidR="00CC7995" w:rsidRPr="00CC7995" w:rsidRDefault="00CC7995" w:rsidP="000667CE">
      <w:r w:rsidRPr="00CC7995">
        <w:t xml:space="preserve">Die Feststellung der Rechtswidrigkeit staatlichen Handelns könnte F mithilfe eine Feststellungsklage nach § 43 I VwGO erreichen. Die allgemeine Feststellungsklage dient der Feststellung des Bestehens oder Nichtbestehens eines Rechtsverhältnisses. Dieses wird zwar weit verstanden, nämlich als die sich aus einem konkreten Sachverhalt ergebende öffentlich-rechtliche Beziehung einer Person zu einer anderen Person oder zu einer Sache. Jedoch ist die Feststellungsklage nach § 43 II VwGO subsidiär gegenüber anderen Klagearten. </w:t>
      </w:r>
    </w:p>
    <w:p w14:paraId="711805D0" w14:textId="0EA88075" w:rsidR="00CC7995" w:rsidRPr="00CC7995" w:rsidRDefault="00CC7995" w:rsidP="000667CE">
      <w:r w:rsidRPr="00CC7995">
        <w:t>Wenn die „Allgemeinverfügung“ der Stadt Darmstadt einen Verwaltungsakt darstellt, wäre die Anfechtungsklage nach § 42 I Alt. 1 VwGO die richtige Klageart, um diesen aus der Welt zu schaffen. Die Verfügung mit dem Regelungsinhalt, dass es Eintracht-Anhänger untersagt</w:t>
      </w:r>
      <w:r w:rsidR="00D51AD4">
        <w:t xml:space="preserve"> wird</w:t>
      </w:r>
      <w:r w:rsidRPr="00CC7995">
        <w:t>, sich innerhalb einer bestimmten Frist in einem bestimmten Bereich des Darmstädter Stadtgebiets aufzuhalten, wurde von einem Träger öffentlicher Gewalt auf dem Gebiet des öffentlichen Rechts mit Außenwirkung zur Regelung eines Einzelfalls, nämlich des Spiels am 29.4.2016, erlassen.</w:t>
      </w:r>
      <w:r w:rsidRPr="00CC7995">
        <w:rPr>
          <w:vertAlign w:val="superscript"/>
        </w:rPr>
        <w:footnoteReference w:id="193"/>
      </w:r>
      <w:r w:rsidRPr="00CC7995">
        <w:t xml:space="preserve"> Problematisch könnte aber sein, dass sich die Untersagungsverfügung nicht an einen Adressaten, sondern generell an „Anhänger/Fans von Eintracht Frankfurt“</w:t>
      </w:r>
      <w:r w:rsidR="00D51AD4">
        <w:t xml:space="preserve"> richtet</w:t>
      </w:r>
      <w:r w:rsidRPr="00CC7995">
        <w:t>. Es könnte sich aber um eine personenbezogene Allgemeinverfügung handeln.</w:t>
      </w:r>
      <w:r w:rsidR="000667CE">
        <w:rPr>
          <w:rStyle w:val="Funotenzeichen"/>
        </w:rPr>
        <w:footnoteReference w:id="194"/>
      </w:r>
      <w:r w:rsidRPr="00CC7995">
        <w:t xml:space="preserve"> Der Bezeichnung als Allgemeinverfügung kommt keine konstitutive, sondern allenfalls indizielle Bedeutung für die Handlungsform zu; es kommt vielmehr darauf an, ob die sachlichen Voraussetzungen i.S.d. § 35 S. 2 Var. 1 HVwVfG vorliegen.</w:t>
      </w:r>
      <w:r w:rsidRPr="00CC7995">
        <w:rPr>
          <w:vertAlign w:val="superscript"/>
        </w:rPr>
        <w:footnoteReference w:id="195"/>
      </w:r>
      <w:r w:rsidRPr="00CC7995">
        <w:t xml:space="preserve"> Dafür müsste sich die „Allgemeinverfügung“ an einen bestimmten oder bestimmbaren Personenkreis richten. Der Adressatenkreis muss zum Zeitpunkt des Erlasses noch nicht feststehen, es ist ausreichend, dass er durch allgemeine Merkmale bestimmbar ist.</w:t>
      </w:r>
      <w:r w:rsidRPr="00CC7995">
        <w:rPr>
          <w:vertAlign w:val="superscript"/>
        </w:rPr>
        <w:footnoteReference w:id="196"/>
      </w:r>
      <w:r w:rsidRPr="00CC7995">
        <w:t xml:space="preserve"> Hier sind die Adressaten durch ihre Anhängerschaft zur Eintracht zumindest gattungsmäßig bezeichnet, sodass der Personenkreis hinreichend eingrenzt ist. Es handelt sich um eine belastende personenbezogene Allgemeinverfügung, sodass die Anfechtungsklage die richtige Klageart war.</w:t>
      </w:r>
    </w:p>
    <w:p w14:paraId="41A3F0A0" w14:textId="77777777" w:rsidR="00CC7995" w:rsidRPr="00CC7995" w:rsidRDefault="00CC7995" w:rsidP="000667CE">
      <w:r w:rsidRPr="00CC7995">
        <w:t>Allerdings hat sich die Allgemeinverfügung durch Zeitablauf nach der Klageerhebung i.S.d. § 43 II HVwVfG</w:t>
      </w:r>
      <w:r w:rsidRPr="00CC7995">
        <w:rPr>
          <w:vertAlign w:val="superscript"/>
        </w:rPr>
        <w:footnoteReference w:id="197"/>
      </w:r>
      <w:r w:rsidRPr="00CC7995">
        <w:t xml:space="preserve"> erledigt. Daher ist nunmehr die Fortsetzungsfeststellungsklage die richtige Klageart. Der Vorsitzende wird nach § 86 III VwGO auf die Umstellung des Klageantrags hinwirken. </w:t>
      </w:r>
    </w:p>
    <w:p w14:paraId="12E2945A" w14:textId="77777777" w:rsidR="00CC7995" w:rsidRPr="00F049D6" w:rsidRDefault="00CC7995" w:rsidP="000434BF">
      <w:pPr>
        <w:pStyle w:val="berschrift5"/>
      </w:pPr>
      <w:bookmarkStart w:id="222" w:name="_Toc22133077"/>
      <w:r w:rsidRPr="00F049D6">
        <w:t>III. Feststellungsinteresse</w:t>
      </w:r>
      <w:bookmarkEnd w:id="222"/>
    </w:p>
    <w:p w14:paraId="3D6F06EA" w14:textId="77777777" w:rsidR="00CC7995" w:rsidRPr="00CC7995" w:rsidRDefault="00CC7995" w:rsidP="00CC7995">
      <w:pPr>
        <w:pStyle w:val="Randnummer"/>
        <w:framePr w:wrap="around"/>
      </w:pPr>
    </w:p>
    <w:p w14:paraId="1961F479" w14:textId="28D07023" w:rsidR="00CC7995" w:rsidRPr="00CC7995" w:rsidRDefault="00CC7995" w:rsidP="000667CE">
      <w:r w:rsidRPr="00CC7995">
        <w:t>§ 113 I 4 VwGO setzt ein berechtigtes Interesse des Klägers an der Feststellung der Rechtswidrigkeit voraus, d.h. ein nach vernünftigen Erwägungen schutzwürdiges Interesse rechtlicher, wirtschaftlicher oder ideeller Art. Ein Feststellungsinteresse nimmt die Rechtsprechung regelmäßig in einer der folgenden Fallgruppen an: Wiederholungsgefahr, Rehabilitationsinteresse, präjudizielle Wirkung, tiefgreifender oder sich typischer</w:t>
      </w:r>
      <w:r w:rsidR="00D51AD4">
        <w:t>weise</w:t>
      </w:r>
      <w:r w:rsidRPr="00CC7995">
        <w:t xml:space="preserve"> kurzfristig erledigende Grundrechtseingriffe. </w:t>
      </w:r>
    </w:p>
    <w:p w14:paraId="5DEC8D23" w14:textId="677762B9" w:rsidR="00CC7995" w:rsidRPr="00CC7995" w:rsidRDefault="00CC7995" w:rsidP="00CC7995">
      <w:pPr>
        <w:jc w:val="left"/>
      </w:pPr>
      <w:r w:rsidRPr="00CC7995">
        <w:t>Ein Feststellungsinteresse könnte hier unter dem Gesichtspunkt der Wiederholungsgefahr bestehen. Dafür ist die hinreichend bestimmte Gefahr erforderlich, dass unter im Wesentlichen unveränderten tatsächlichen und rechtlichen Umständen ein gleichartiger Verwaltungsakt ergehen wird. Die „Hessenderbys“ – Hin- und Rückrunde – finden zweimal pro Spielzeit statt und bislang</w:t>
      </w:r>
      <w:r w:rsidR="00D51AD4">
        <w:t xml:space="preserve"> kam</w:t>
      </w:r>
      <w:r w:rsidRPr="00CC7995">
        <w:t xml:space="preserve"> es jedes Mal zu Ausschreitungen. Das vergangene Spiel war seit langer Zeit das erste friedliche, sodass F befürchtet, dass Aufenthaltsverbote für Fußballfans in Zukunft öfter erlassen werden. Diese Befürchtung wird durch </w:t>
      </w:r>
      <w:r w:rsidR="00D51AD4">
        <w:t xml:space="preserve">die Pressemitteilung </w:t>
      </w:r>
      <w:r w:rsidRPr="00CC7995">
        <w:t>bestätigt, sodass eine Wiederholungsgefahr vorliegt und F ein Feststellungsinteresse hat.</w:t>
      </w:r>
    </w:p>
    <w:p w14:paraId="394EA145" w14:textId="77777777" w:rsidR="00CC7995" w:rsidRPr="00F049D6" w:rsidRDefault="00CC7995" w:rsidP="000434BF">
      <w:pPr>
        <w:pStyle w:val="berschrift5"/>
      </w:pPr>
      <w:bookmarkStart w:id="223" w:name="_Toc22133078"/>
      <w:r w:rsidRPr="00F049D6">
        <w:t>IV. Klagebefugnis</w:t>
      </w:r>
      <w:bookmarkEnd w:id="223"/>
    </w:p>
    <w:p w14:paraId="67690C68" w14:textId="77777777" w:rsidR="00CC7995" w:rsidRPr="00CC7995" w:rsidRDefault="00CC7995" w:rsidP="00CC7995">
      <w:pPr>
        <w:pStyle w:val="Randnummer"/>
        <w:framePr w:wrap="around"/>
      </w:pPr>
    </w:p>
    <w:p w14:paraId="188DB819" w14:textId="40A281B2" w:rsidR="00CC7995" w:rsidRDefault="00CC7995" w:rsidP="000667CE">
      <w:r w:rsidRPr="00CC7995">
        <w:t>Es ist umstritten, ob neben dem besonderen Feststellungsinteresse auch die Klagebefugnis nach § 42 II VwGO vorliegen muss. F ist als Adressat des belastenden Verwaltungsakts möglicherweise in seine</w:t>
      </w:r>
      <w:r w:rsidR="00290A57">
        <w:t>m</w:t>
      </w:r>
      <w:r w:rsidRPr="00CC7995">
        <w:t xml:space="preserve"> Recht auf Freizügigkeit aus Art. 11 I GG, mindestens aber in seiner allgemeinen Handlungsfreiheit aus Art. 2 I GG beeinträchtigt, so dass eine Entscheidung dahinstehen kann.</w:t>
      </w:r>
    </w:p>
    <w:p w14:paraId="5AF03952" w14:textId="77777777" w:rsidR="00772351" w:rsidRPr="00CC7995" w:rsidRDefault="00772351" w:rsidP="00CC7995">
      <w:pPr>
        <w:jc w:val="left"/>
      </w:pPr>
    </w:p>
    <w:p w14:paraId="13F6A12A" w14:textId="77777777" w:rsidR="00CC7995" w:rsidRPr="00F049D6" w:rsidRDefault="00CC7995" w:rsidP="000434BF">
      <w:pPr>
        <w:pStyle w:val="berschrift5"/>
      </w:pPr>
      <w:bookmarkStart w:id="224" w:name="_Toc22133079"/>
      <w:r w:rsidRPr="00F049D6">
        <w:t>V. Vorverfahren</w:t>
      </w:r>
      <w:bookmarkEnd w:id="224"/>
    </w:p>
    <w:p w14:paraId="440DE3F9" w14:textId="77777777" w:rsidR="00CC7995" w:rsidRPr="00CC7995" w:rsidRDefault="00CC7995" w:rsidP="00CC7995">
      <w:pPr>
        <w:pStyle w:val="Randnummer"/>
        <w:framePr w:wrap="around"/>
      </w:pPr>
    </w:p>
    <w:p w14:paraId="77917CB4" w14:textId="77777777" w:rsidR="00CC7995" w:rsidRPr="00CC7995" w:rsidRDefault="00CC7995" w:rsidP="000667CE">
      <w:r w:rsidRPr="00CC7995">
        <w:t>Da sich der Verwaltungsakt erst nach Klageerhebung erledigt hat, müssen zum Zeitpunkt der Erhebung der Anfechtungsklage alle Zulässigkeitsvoraussetzungen für diese vorliegen. Daher war ein Vorverfahren nach § 68 I 1 VwGO durchzuführen. F hat fristgemäß einen Anfechtungswiderspruch erhoben, der negativ beschieden wurde. Das Vorverfahren wurde damit ordnungsgemäß und erfolglos durchgeführt.</w:t>
      </w:r>
    </w:p>
    <w:p w14:paraId="363FE023" w14:textId="77777777" w:rsidR="00CC7995" w:rsidRPr="00F049D6" w:rsidRDefault="00CC7995" w:rsidP="000434BF">
      <w:pPr>
        <w:pStyle w:val="berschrift5"/>
      </w:pPr>
      <w:bookmarkStart w:id="225" w:name="_Toc22133080"/>
      <w:r w:rsidRPr="00F049D6">
        <w:t>VI. Form und Frist</w:t>
      </w:r>
      <w:bookmarkEnd w:id="225"/>
    </w:p>
    <w:p w14:paraId="69753F9A" w14:textId="77777777" w:rsidR="00CC7995" w:rsidRPr="00CC7995" w:rsidRDefault="00CC7995" w:rsidP="00CC7995">
      <w:pPr>
        <w:pStyle w:val="Randnummer"/>
        <w:framePr w:wrap="around"/>
      </w:pPr>
    </w:p>
    <w:p w14:paraId="4B8678C7" w14:textId="77777777" w:rsidR="00CC7995" w:rsidRPr="00CC7995" w:rsidRDefault="00CC7995" w:rsidP="000667CE">
      <w:r w:rsidRPr="00CC7995">
        <w:t>Laut Sachverhalt hat F die Form des § 82 VwGO gewahrt. Die Anfechtungsklage wurde einen Tag nach Zustellung des Widerspruchbescheids erhoben, sodass die Frist des § 74 I 1 VwGO ebenfalls eingehalten wurde.</w:t>
      </w:r>
    </w:p>
    <w:p w14:paraId="6C2F4809" w14:textId="77777777" w:rsidR="00CC7995" w:rsidRPr="00F049D6" w:rsidRDefault="00CC7995" w:rsidP="000434BF">
      <w:pPr>
        <w:pStyle w:val="berschrift5"/>
      </w:pPr>
      <w:bookmarkStart w:id="226" w:name="_Toc22133081"/>
      <w:r w:rsidRPr="00F049D6">
        <w:t>VII. Klagegegner</w:t>
      </w:r>
      <w:bookmarkEnd w:id="226"/>
    </w:p>
    <w:p w14:paraId="5215EF81" w14:textId="77777777" w:rsidR="00CC7995" w:rsidRPr="00CC7995" w:rsidRDefault="00CC7995" w:rsidP="00CC7995">
      <w:pPr>
        <w:pStyle w:val="Randnummer"/>
        <w:framePr w:wrap="around"/>
      </w:pPr>
    </w:p>
    <w:p w14:paraId="6CEB76FB" w14:textId="11BA53A7" w:rsidR="00CC7995" w:rsidRPr="00CC7995" w:rsidRDefault="00CC7995" w:rsidP="000667CE">
      <w:r w:rsidRPr="00CC7995">
        <w:t>Die Anfechtungsklage müsste nach § 78 I Nr. 1 VwGO gegen den Rechtsträger der handelnden Behörde gerichtet worden sein. Gehandelt hat nach §§ 31 III 1, 82 I HSOG, §§ 9 II 2, 66 I 1 HGO der Magistrat der Stadt Darmstadt als untere Verwaltungsbehörde. Die Stadt Darmstadt ist damit nach § 78 I Nr. 1 VwGO analog der zuständige Klagegegner für die Fortsetzungsfeststellungsklage.</w:t>
      </w:r>
    </w:p>
    <w:p w14:paraId="62D62D36" w14:textId="77777777" w:rsidR="00CC7995" w:rsidRPr="00F049D6" w:rsidRDefault="00CC7995" w:rsidP="000434BF">
      <w:pPr>
        <w:pStyle w:val="berschrift5"/>
      </w:pPr>
      <w:bookmarkStart w:id="227" w:name="_Toc22133082"/>
      <w:r w:rsidRPr="00F049D6">
        <w:t>VIII. Beteiligten- und Prozessfähigkeit</w:t>
      </w:r>
      <w:bookmarkEnd w:id="227"/>
    </w:p>
    <w:p w14:paraId="2E920BAB" w14:textId="77777777" w:rsidR="00CC7995" w:rsidRPr="00CC7995" w:rsidRDefault="00CC7995" w:rsidP="00CC7995">
      <w:pPr>
        <w:pStyle w:val="Randnummer"/>
        <w:framePr w:wrap="around"/>
      </w:pPr>
    </w:p>
    <w:p w14:paraId="4D916B80" w14:textId="7745F794" w:rsidR="00CC7995" w:rsidRPr="00CC7995" w:rsidRDefault="00CC7995" w:rsidP="000667CE">
      <w:r w:rsidRPr="00CC7995">
        <w:t>Die Beteiligten- und Prozessfähigkeit des F als natürliche Person ergibt sich aus §§ 61 Nr. 1 Alt. 1, 62 I Nr. 1 VwGO. Die Stadt Darmstadt ist gemäß §§ 61 Nr. 1 Alt. 2, 62 III VwGO beteiligten- und prozessfähig.</w:t>
      </w:r>
    </w:p>
    <w:p w14:paraId="4E77CD85" w14:textId="77777777" w:rsidR="00CC7995" w:rsidRPr="00F049D6" w:rsidRDefault="00CC7995" w:rsidP="000434BF">
      <w:pPr>
        <w:pStyle w:val="berschrift5"/>
      </w:pPr>
      <w:bookmarkStart w:id="228" w:name="_Toc22133083"/>
      <w:r w:rsidRPr="00F049D6">
        <w:t>IX. Zwischenergebnis</w:t>
      </w:r>
      <w:bookmarkEnd w:id="228"/>
    </w:p>
    <w:p w14:paraId="33D676DD" w14:textId="77777777" w:rsidR="00CC7995" w:rsidRPr="00CC7995" w:rsidRDefault="00CC7995" w:rsidP="00CC7995">
      <w:pPr>
        <w:pStyle w:val="Randnummer"/>
        <w:framePr w:wrap="around"/>
      </w:pPr>
    </w:p>
    <w:p w14:paraId="6514414E" w14:textId="77777777" w:rsidR="00CC7995" w:rsidRDefault="00CC7995" w:rsidP="000667CE">
      <w:r w:rsidRPr="00CC7995">
        <w:t>Mithin ist die Fortsetzungsfeststellungsklage zulässig.</w:t>
      </w:r>
    </w:p>
    <w:p w14:paraId="34B787E2" w14:textId="77777777" w:rsidR="000434BF" w:rsidRPr="00CC7995" w:rsidRDefault="000434BF" w:rsidP="00CC7995">
      <w:pPr>
        <w:jc w:val="left"/>
      </w:pPr>
    </w:p>
    <w:p w14:paraId="683B110F" w14:textId="77777777" w:rsidR="00CC7995" w:rsidRPr="00F049D6" w:rsidRDefault="00CC7995" w:rsidP="000434BF">
      <w:pPr>
        <w:pStyle w:val="berschrift4"/>
      </w:pPr>
      <w:bookmarkStart w:id="229" w:name="_Toc22133084"/>
      <w:r w:rsidRPr="00F049D6">
        <w:t>B. Begründetheit</w:t>
      </w:r>
      <w:bookmarkEnd w:id="229"/>
    </w:p>
    <w:p w14:paraId="459ACAA9" w14:textId="77777777" w:rsidR="00CC7995" w:rsidRPr="00CC7995" w:rsidRDefault="00CC7995" w:rsidP="00CC7995">
      <w:pPr>
        <w:pStyle w:val="Randnummer"/>
        <w:framePr w:wrap="around"/>
      </w:pPr>
    </w:p>
    <w:p w14:paraId="3D0A61CA" w14:textId="77777777" w:rsidR="00CC7995" w:rsidRPr="00CC7995" w:rsidRDefault="00CC7995" w:rsidP="000667CE">
      <w:r w:rsidRPr="00CC7995">
        <w:t>Die Klage ist gem. § 113 I 4 VwGO begründet, soweit der Verwaltungsakt rechtswidrig war und der Kläger dadurch in seinen Rechten verletzt ist.</w:t>
      </w:r>
    </w:p>
    <w:p w14:paraId="52F22CD9" w14:textId="77777777" w:rsidR="00CC7995" w:rsidRPr="00F049D6" w:rsidRDefault="00CC7995" w:rsidP="000434BF">
      <w:pPr>
        <w:pStyle w:val="berschrift5"/>
      </w:pPr>
      <w:bookmarkStart w:id="230" w:name="_Toc22133085"/>
      <w:r w:rsidRPr="00F049D6">
        <w:t>I. Rechtswidrigkeit des Verwaltungsakts</w:t>
      </w:r>
      <w:bookmarkEnd w:id="230"/>
    </w:p>
    <w:p w14:paraId="5E5D8F15" w14:textId="77777777" w:rsidR="00CC7995" w:rsidRPr="00CC7995" w:rsidRDefault="00CC7995" w:rsidP="00CC7995">
      <w:pPr>
        <w:pStyle w:val="Randnummer"/>
        <w:framePr w:wrap="around"/>
      </w:pPr>
    </w:p>
    <w:p w14:paraId="2FAF6576" w14:textId="77777777" w:rsidR="00CC7995" w:rsidRPr="00CC7995" w:rsidRDefault="00CC7995" w:rsidP="000667CE">
      <w:r w:rsidRPr="00CC7995">
        <w:t>Die Allgemeinverfügung müsste rechtswidrig sein. Das ist der Fall, wenn sie nicht auf einer verfassungskonformen Ermächtigungsgrundlage beruht oder sich formell oder materiell nicht in ihren Grenzen hält.</w:t>
      </w:r>
    </w:p>
    <w:p w14:paraId="46634A2D" w14:textId="77777777" w:rsidR="00CC7995" w:rsidRPr="00F049D6" w:rsidRDefault="00CC7995" w:rsidP="000434BF">
      <w:pPr>
        <w:pStyle w:val="berschrift6"/>
      </w:pPr>
      <w:bookmarkStart w:id="231" w:name="_Toc22133086"/>
      <w:r w:rsidRPr="00F049D6">
        <w:t>1. Ermächtigungsgrundlage</w:t>
      </w:r>
      <w:bookmarkEnd w:id="231"/>
    </w:p>
    <w:p w14:paraId="464702BA" w14:textId="77777777" w:rsidR="00CC7995" w:rsidRPr="00CC7995" w:rsidRDefault="00CC7995" w:rsidP="00CC7995">
      <w:pPr>
        <w:pStyle w:val="Randnummer"/>
        <w:framePr w:wrap="around"/>
      </w:pPr>
    </w:p>
    <w:p w14:paraId="6A217E3B" w14:textId="32CBE754" w:rsidR="00CC7995" w:rsidRPr="00CC7995" w:rsidRDefault="00CC7995" w:rsidP="000667CE">
      <w:r w:rsidRPr="00CC7995">
        <w:t>Als Ermächtigungsgrundlage wurde die polizeiliche Generalklausel des § 11 HSOG angegeben. Der Rückgriff auf die polizeiliche Generalklausel könnte aber durch eine speziellere Regelung gesperrt sein.</w:t>
      </w:r>
      <w:r w:rsidRPr="00CC7995">
        <w:rPr>
          <w:vertAlign w:val="superscript"/>
        </w:rPr>
        <w:footnoteReference w:id="198"/>
      </w:r>
      <w:r w:rsidRPr="00CC7995">
        <w:t xml:space="preserve"> In Betracht kommen § 31 I HSOG (Platzverweis) und § 31 III 1 HSOG (Aufenthaltsverbot). Diese beiden Standardmaßnahmen unterscheiden sich durch ihren räumlichen und zeitlichen Anwendungsbereich. Ein Platzverweis untersagt typischerweise kurzfristig den Aufenthalt an einem eng umgrenzten Ort, das Aufenthaltsverbot wird regelmäßig für einen längeren Zeitraum (arg. ex § 31 III 4 HSOG) und einen größeren Bereich eingesetzt. Die Verfügung untersagt den Aufenthalt in einem großen Bereich des Stadtgebiets für die Zeit von Freitagabend bis Sonntagmorgen. Daher handelt es sich um ein Aufenthaltsverbot. § 31 III HSOG regelt das Aufenthaltsverbot als Maßnahme der Gefahrenabwehr abschließend.</w:t>
      </w:r>
      <w:r w:rsidRPr="00CC7995">
        <w:rPr>
          <w:vertAlign w:val="superscript"/>
        </w:rPr>
        <w:footnoteReference w:id="199"/>
      </w:r>
      <w:r w:rsidRPr="00CC7995">
        <w:t xml:space="preserve"> Da hier ein Aufenthaltsverbot erlassen wurde, tritt die Generalklausel des § 11 HSOG im Wege der Subsidiarität hinter die spezielleren Befugnisse zurück. Der § 31 III 1 HSOG ist eine abschließende Sonderregelung für alle polizeilichen Maßnahmen im Anwendungsbereich des Aufenthaltsverbots, d.h. für alle Maßnahmen, die auf eine in § 31 III 1 HSOG abschließend geregelte Rechtsfolge zielen</w:t>
      </w:r>
      <w:r w:rsidR="00E05673">
        <w:t>.</w:t>
      </w:r>
      <w:r w:rsidRPr="00CC7995">
        <w:rPr>
          <w:vertAlign w:val="superscript"/>
        </w:rPr>
        <w:footnoteReference w:id="200"/>
      </w:r>
      <w:r w:rsidRPr="00CC7995">
        <w:t xml:space="preserve"> Als Ermächtigungsgrundlage ist daher § 31 III 1 HSOG heranzuziehen. Dass die Maßnahme laut Sachverhalt ursprünglich auf § 11 HSOG gestützt wurde, ist unerheblich, da das Verwaltungsgericht eine sachlich unzutreffende Befugnisnorm durch die einschlägige ersetzen kann</w:t>
      </w:r>
      <w:r w:rsidR="00290A57">
        <w:t>.</w:t>
      </w:r>
      <w:r w:rsidRPr="00CC7995">
        <w:rPr>
          <w:vertAlign w:val="superscript"/>
        </w:rPr>
        <w:footnoteReference w:id="201"/>
      </w:r>
      <w:r w:rsidRPr="00CC7995">
        <w:t xml:space="preserve"> </w:t>
      </w:r>
    </w:p>
    <w:p w14:paraId="3DFD42A8" w14:textId="77777777" w:rsidR="00CC7995" w:rsidRPr="00F049D6" w:rsidRDefault="00CC7995" w:rsidP="000434BF">
      <w:pPr>
        <w:pStyle w:val="berschrift6"/>
      </w:pPr>
      <w:bookmarkStart w:id="232" w:name="_Toc22133087"/>
      <w:r w:rsidRPr="00F049D6">
        <w:t>2. Formelle Rechtmäßigkeit</w:t>
      </w:r>
      <w:bookmarkEnd w:id="232"/>
    </w:p>
    <w:p w14:paraId="2D407B34" w14:textId="77777777" w:rsidR="00CC7995" w:rsidRPr="00CC7995" w:rsidRDefault="00CC7995" w:rsidP="00CC7995">
      <w:pPr>
        <w:pStyle w:val="Randnummer"/>
        <w:framePr w:wrap="around"/>
      </w:pPr>
    </w:p>
    <w:p w14:paraId="37F3097D" w14:textId="77777777" w:rsidR="00CC7995" w:rsidRPr="00CC7995" w:rsidRDefault="00CC7995" w:rsidP="000667CE">
      <w:r w:rsidRPr="00CC7995">
        <w:t>Das Innenstadtverbot müsste formell rechtmäßig zustande gekommen sein.</w:t>
      </w:r>
    </w:p>
    <w:p w14:paraId="36477064" w14:textId="77777777" w:rsidR="00CC7995" w:rsidRPr="00F049D6" w:rsidRDefault="00CC7995" w:rsidP="000434BF">
      <w:pPr>
        <w:pStyle w:val="berschrift7"/>
      </w:pPr>
      <w:bookmarkStart w:id="233" w:name="_Toc22133088"/>
      <w:r w:rsidRPr="00F049D6">
        <w:t>a) Zuständigkeit</w:t>
      </w:r>
      <w:bookmarkEnd w:id="233"/>
    </w:p>
    <w:p w14:paraId="1DC3475E" w14:textId="77777777" w:rsidR="00CC7995" w:rsidRPr="00CC7995" w:rsidRDefault="00CC7995" w:rsidP="00CC7995">
      <w:pPr>
        <w:pStyle w:val="Randnummer"/>
        <w:framePr w:wrap="around"/>
      </w:pPr>
    </w:p>
    <w:p w14:paraId="6DAF7F46" w14:textId="4AEE2BF4" w:rsidR="00CC7995" w:rsidRPr="00CC7995" w:rsidRDefault="00CC7995" w:rsidP="000667CE">
      <w:r w:rsidRPr="00CC7995">
        <w:t xml:space="preserve">Es müsste die zuständige Behörde gehandelt haben. Nach § 31 III 1 HSOG sind die Gefahrenabwehr- und Polizeibehörden zuständig. Gehandelt hat hier der Magistrat der Stadt Darmstadt. Er war als untere Verwaltungsbehörde nach §§ 31 III 1, 82 I HSOG, §§ 9 II 2, 66 I 1 HGO zuständig, da kein Eilfall vorlag. </w:t>
      </w:r>
    </w:p>
    <w:p w14:paraId="5DEC0E11" w14:textId="77777777" w:rsidR="00CC7995" w:rsidRPr="00F049D6" w:rsidRDefault="00CC7995" w:rsidP="000434BF">
      <w:pPr>
        <w:pStyle w:val="berschrift7"/>
      </w:pPr>
      <w:bookmarkStart w:id="234" w:name="_Toc22133089"/>
      <w:r w:rsidRPr="00F049D6">
        <w:t>b) Verfahren</w:t>
      </w:r>
      <w:bookmarkEnd w:id="234"/>
      <w:r w:rsidRPr="00F049D6">
        <w:t xml:space="preserve"> </w:t>
      </w:r>
    </w:p>
    <w:p w14:paraId="1AB1178F" w14:textId="77777777" w:rsidR="00CC7995" w:rsidRPr="00CC7995" w:rsidRDefault="00CC7995" w:rsidP="00CC7995">
      <w:pPr>
        <w:pStyle w:val="Randnummer"/>
        <w:framePr w:wrap="around"/>
      </w:pPr>
    </w:p>
    <w:p w14:paraId="43E47C17" w14:textId="2D9FBF05" w:rsidR="00CC7995" w:rsidRPr="00CC7995" w:rsidRDefault="00CC7995" w:rsidP="000667CE">
      <w:r w:rsidRPr="00CC7995">
        <w:t>Vor Erlass eines belastenden Verwaltungsakts ist der Adressat grundsätzlich anzuhören, § 28 I HVwVfG.</w:t>
      </w:r>
      <w:r w:rsidRPr="00CC7995">
        <w:rPr>
          <w:vertAlign w:val="superscript"/>
        </w:rPr>
        <w:footnoteReference w:id="202"/>
      </w:r>
      <w:r w:rsidRPr="00CC7995">
        <w:t xml:space="preserve"> Eine Anhörung der betroffenen Frankfurter Fans fand nicht statt. Bei dem Innenstadtverbot handelt es sich jedoch um eine personenbezogene Allgemeinverfügung gem. § 35 S. 2 Var. 1 </w:t>
      </w:r>
      <w:r w:rsidR="00290A57">
        <w:t>HVwVfG</w:t>
      </w:r>
      <w:r w:rsidRPr="00CC7995">
        <w:t xml:space="preserve">, die sich an einen nach allgemeinen Merkmalen bestimmten oder bestimmbaren Adressatenkreis richtet. Deshalb durfte gem. § 28 II Nr. 4 </w:t>
      </w:r>
      <w:r w:rsidR="00290A57">
        <w:t>HVwVfG</w:t>
      </w:r>
      <w:r w:rsidRPr="00CC7995">
        <w:t xml:space="preserve"> von einer Anhörung abgesehen werden.</w:t>
      </w:r>
    </w:p>
    <w:p w14:paraId="5EC3161E" w14:textId="77777777" w:rsidR="00CC7995" w:rsidRPr="00F049D6" w:rsidRDefault="00CC7995" w:rsidP="000434BF">
      <w:pPr>
        <w:pStyle w:val="berschrift7"/>
      </w:pPr>
      <w:bookmarkStart w:id="235" w:name="_Toc22133090"/>
      <w:r w:rsidRPr="00F049D6">
        <w:t>c) Begründung</w:t>
      </w:r>
      <w:bookmarkEnd w:id="235"/>
    </w:p>
    <w:p w14:paraId="16E18D70" w14:textId="77777777" w:rsidR="00CC7995" w:rsidRPr="00CC7995" w:rsidRDefault="00CC7995" w:rsidP="00CC7995">
      <w:pPr>
        <w:pStyle w:val="Randnummer"/>
        <w:framePr w:wrap="around"/>
      </w:pPr>
    </w:p>
    <w:p w14:paraId="7D346126" w14:textId="05685AAA" w:rsidR="00CC7995" w:rsidRPr="00CC7995" w:rsidRDefault="00CC7995" w:rsidP="000667CE">
      <w:r w:rsidRPr="00CC7995">
        <w:t xml:space="preserve">Nach § 39 I </w:t>
      </w:r>
      <w:r w:rsidR="00290A57">
        <w:t>HVwVfG</w:t>
      </w:r>
      <w:r w:rsidR="00290A57" w:rsidRPr="00CC7995">
        <w:t xml:space="preserve"> </w:t>
      </w:r>
      <w:r w:rsidRPr="00CC7995">
        <w:t xml:space="preserve">müsste der Verwaltungsakt ordnungsgemäß begründet worden sein. Dass in der Begründung eine falsche Ermächtigungsgrundlage angegeben war, schadet nicht, da § 39 I </w:t>
      </w:r>
      <w:r w:rsidR="00290A57">
        <w:t>HVwVfG</w:t>
      </w:r>
      <w:r w:rsidR="00290A57" w:rsidRPr="00CC7995">
        <w:t xml:space="preserve"> </w:t>
      </w:r>
      <w:r w:rsidRPr="00CC7995">
        <w:t>nur überhaupt eine, jedoch keine inhaltlich tragfähige Begründung verlangt</w:t>
      </w:r>
      <w:r w:rsidR="00D51AD4">
        <w:t>.</w:t>
      </w:r>
      <w:r w:rsidRPr="00CC7995">
        <w:rPr>
          <w:vertAlign w:val="superscript"/>
        </w:rPr>
        <w:footnoteReference w:id="203"/>
      </w:r>
    </w:p>
    <w:p w14:paraId="1034AF26" w14:textId="77777777" w:rsidR="00CC7995" w:rsidRPr="00F049D6" w:rsidRDefault="00CC7995" w:rsidP="000434BF">
      <w:pPr>
        <w:pStyle w:val="berschrift7"/>
      </w:pPr>
      <w:bookmarkStart w:id="236" w:name="_Toc22133091"/>
      <w:r w:rsidRPr="00F049D6">
        <w:t>d) Form</w:t>
      </w:r>
      <w:bookmarkEnd w:id="236"/>
    </w:p>
    <w:p w14:paraId="65FBB5E9" w14:textId="77777777" w:rsidR="00CC7995" w:rsidRPr="00CC7995" w:rsidRDefault="00CC7995" w:rsidP="00CC7995">
      <w:pPr>
        <w:pStyle w:val="Randnummer"/>
        <w:framePr w:wrap="around"/>
      </w:pPr>
    </w:p>
    <w:p w14:paraId="50300159" w14:textId="2440C6F9" w:rsidR="00CC7995" w:rsidRPr="00CC7995" w:rsidRDefault="00CC7995" w:rsidP="000667CE">
      <w:r w:rsidRPr="00CC7995">
        <w:t>Das Aufenthaltsverbot müsste auch i.S.d. § 41 HVwVfG</w:t>
      </w:r>
      <w:r w:rsidRPr="00CC7995">
        <w:rPr>
          <w:vertAlign w:val="superscript"/>
        </w:rPr>
        <w:footnoteReference w:id="204"/>
      </w:r>
      <w:r w:rsidRPr="00CC7995">
        <w:t xml:space="preserve"> ordnungsgemäß bekannt gegeben worden sein. Nach § 41 I 1 HVwVfG ist ein Verwaltungsakt grundsätzlich dem Adressaten bekannt zu geben. Dem F wurde die Verfügung zwar nicht individuell bekannt gegeben. § 41 III 2 </w:t>
      </w:r>
      <w:r w:rsidR="00290A57">
        <w:t xml:space="preserve">HVwVfG </w:t>
      </w:r>
      <w:r w:rsidRPr="00CC7995">
        <w:t xml:space="preserve">sieht jedoch vor, dass Allgemeinverfügungen öffentlich bekannt gegeben werden dürfen, wenn die individuelle Bekanntgabe untunlich ist. Dies ist der Fall bei Unmöglichkeit oder wenn die Individualbekanntgabe mit besonderen Schwierigkeiten verbunden ist. Hier ist der Kreis der Betroffenen, nämlich die zum Hessenderby anreisenden Eintracht-Anhänger, im Vorhinein nicht feststellbar. Das Aufenthaltsverbot richtet sich an alle Fans der Eintracht, unabhängig von bereits verhängten Stadionverboten oder gekauften Karten. Daher war die Ermittlung aller Adressaten nicht möglich und die Allgemeinverfügung durfte öffentlich bekannt gegeben werden nach § 41 III 2 </w:t>
      </w:r>
      <w:r w:rsidR="00290A57">
        <w:t>HVwVfG</w:t>
      </w:r>
      <w:r w:rsidRPr="00CC7995">
        <w:t xml:space="preserve">. </w:t>
      </w:r>
    </w:p>
    <w:p w14:paraId="5CB0842E" w14:textId="5A0F7A2C" w:rsidR="00CC7995" w:rsidRPr="00CC7995" w:rsidRDefault="00CC7995" w:rsidP="000667CE">
      <w:r w:rsidRPr="00CC7995">
        <w:t xml:space="preserve">Gemäß § 41 IV </w:t>
      </w:r>
      <w:r w:rsidR="00290A57">
        <w:t>HVwVfG</w:t>
      </w:r>
      <w:r w:rsidR="00290A57" w:rsidRPr="00CC7995">
        <w:t xml:space="preserve"> </w:t>
      </w:r>
      <w:r w:rsidRPr="00CC7995">
        <w:t xml:space="preserve">müsste der verfügende Teil der Allgemeinverfügung ortsüblich bekannt gemacht worden sein. Fraglich ist, wie das Merkmal der Ortüblichkeit zu bestimmen ist. Eine Ansicht schlägt vor, aus Sicht des Adressatenkreises zu fragen, was ortsüblich ist. Sie begründet dies mit der Binnensystematik von § 41 </w:t>
      </w:r>
      <w:r w:rsidR="00290A57">
        <w:t>HVwVfG</w:t>
      </w:r>
      <w:r w:rsidRPr="00CC7995">
        <w:t xml:space="preserve">, der die Bekanntgabe regelt. Da Fans der Eintracht vor allem außerhalb von Darmstadt wohnen, würde die bloße Veröffentlichung im „Darmstädter Echo“ Fans im übrigen Hessen und in anderen Bundesländern nicht erreichen, sodass eine örtliche Tageszeitung das Kriterium der Ortsüblichkeit aus deren Sicht nicht erfüllen würde. Gegen diese Auslegung spricht jedoch ein systematischer Vergleich mit den §§ 67 I 5, 69 II 3, 74 V 2 </w:t>
      </w:r>
      <w:r w:rsidR="00290A57">
        <w:t>HVwVfG</w:t>
      </w:r>
      <w:r w:rsidRPr="00CC7995">
        <w:t>, die</w:t>
      </w:r>
      <w:r w:rsidR="00D51AD4">
        <w:t xml:space="preserve"> für öffentliche Bekanntmachungen </w:t>
      </w:r>
      <w:r w:rsidRPr="00CC7995">
        <w:t>die Veröffentlichung im amtlichen Veröffentlichungsblatt der zuständigen Behörde und außerdem in örtlichen Tageszeitungen, die in dem Bereich verbreitet sind, in dem sich die Entscheidung voraussichtlich auswirken wird, vorschreiben. Daher ist die Ortsüblichkeit im Rahmen von § 41 IV</w:t>
      </w:r>
      <w:r w:rsidR="00290A57">
        <w:t xml:space="preserve"> H</w:t>
      </w:r>
      <w:r w:rsidRPr="00CC7995">
        <w:t>VwVfG so auszulegen, dass es allein auf die Üblichkeit bei der handelnden Behörde ankommt – auch dann, wenn sich die Entscheidung überörtlich auswirkt.</w:t>
      </w:r>
      <w:r w:rsidRPr="00CC7995">
        <w:rPr>
          <w:vertAlign w:val="superscript"/>
        </w:rPr>
        <w:footnoteReference w:id="205"/>
      </w:r>
      <w:r w:rsidRPr="00CC7995">
        <w:t xml:space="preserve"> Daher genügt die Veröffentlichung im „Darmstädter Echo“ der Form des § 41 IV </w:t>
      </w:r>
      <w:r w:rsidR="00290A57">
        <w:t>HVwVfG</w:t>
      </w:r>
      <w:r w:rsidRPr="00CC7995">
        <w:t xml:space="preserve">. </w:t>
      </w:r>
    </w:p>
    <w:p w14:paraId="737F3D8A" w14:textId="77777777" w:rsidR="00CC7995" w:rsidRPr="00F049D6" w:rsidRDefault="00CC7995" w:rsidP="000434BF">
      <w:pPr>
        <w:pStyle w:val="berschrift7"/>
      </w:pPr>
      <w:bookmarkStart w:id="237" w:name="_Toc22133092"/>
      <w:r w:rsidRPr="00F049D6">
        <w:t>e) Zwischenergebnis</w:t>
      </w:r>
      <w:bookmarkEnd w:id="237"/>
      <w:r w:rsidRPr="00F049D6">
        <w:t xml:space="preserve"> </w:t>
      </w:r>
    </w:p>
    <w:p w14:paraId="047E9CA4" w14:textId="77777777" w:rsidR="00CC7995" w:rsidRPr="00CC7995" w:rsidRDefault="00CC7995" w:rsidP="00CC7995">
      <w:pPr>
        <w:pStyle w:val="Randnummer"/>
        <w:framePr w:wrap="around"/>
      </w:pPr>
    </w:p>
    <w:p w14:paraId="7368C533" w14:textId="77777777" w:rsidR="00CC7995" w:rsidRDefault="00CC7995" w:rsidP="000667CE">
      <w:r w:rsidRPr="00CC7995">
        <w:t>Folglich ist die Allgemeinverfügung formell rechtmäßig.</w:t>
      </w:r>
    </w:p>
    <w:p w14:paraId="72BCE3CD" w14:textId="77777777" w:rsidR="00CC7995" w:rsidRPr="00F049D6" w:rsidRDefault="00CC7995" w:rsidP="000434BF">
      <w:pPr>
        <w:pStyle w:val="berschrift6"/>
      </w:pPr>
      <w:bookmarkStart w:id="238" w:name="_Toc22133093"/>
      <w:r w:rsidRPr="00F049D6">
        <w:t>3. Materielle Rechtmäßigkeit</w:t>
      </w:r>
      <w:bookmarkEnd w:id="238"/>
    </w:p>
    <w:p w14:paraId="084BEFC3" w14:textId="77777777" w:rsidR="00CC7995" w:rsidRPr="00CC7995" w:rsidRDefault="00CC7995" w:rsidP="00CC7995">
      <w:pPr>
        <w:pStyle w:val="Randnummer"/>
        <w:framePr w:wrap="around"/>
      </w:pPr>
    </w:p>
    <w:p w14:paraId="537C18F9" w14:textId="77777777" w:rsidR="00CC7995" w:rsidRPr="00CC7995" w:rsidRDefault="00CC7995" w:rsidP="000667CE">
      <w:r w:rsidRPr="00CC7995">
        <w:t xml:space="preserve">Das Aufenthaltsverbot müsste darüber hinaus auch materiell rechtmäßig sein. </w:t>
      </w:r>
    </w:p>
    <w:p w14:paraId="7F445FD5" w14:textId="77777777" w:rsidR="00CC7995" w:rsidRPr="00F049D6" w:rsidRDefault="00CC7995" w:rsidP="000434BF">
      <w:pPr>
        <w:pStyle w:val="berschrift7"/>
      </w:pPr>
      <w:bookmarkStart w:id="239" w:name="_Toc22133094"/>
      <w:r w:rsidRPr="00F049D6">
        <w:t>a) Handlungsform</w:t>
      </w:r>
      <w:bookmarkEnd w:id="239"/>
    </w:p>
    <w:p w14:paraId="7D1D648A" w14:textId="3C92B9CB" w:rsidR="00CC7995" w:rsidRPr="00CC7995" w:rsidRDefault="00CC7995" w:rsidP="000667CE">
      <w:r w:rsidRPr="00CC7995">
        <w:t>Zunächst ist fraglich, ob die Behörde das Aufenthaltsverbot überhaupt in der Form einer Allgemeinverfügung erlassen durfte. Der Wortlaut des § 31 III 1 HSOG spricht ausdrücklich von „einer Person“ als Adressat der Maßnahme. Daher wird größtenteils die Zulässigkeit eines Aufenthaltsverbots durch Allgemeinverfügung abgelehnt.</w:t>
      </w:r>
      <w:r w:rsidRPr="00CC7995">
        <w:rPr>
          <w:vertAlign w:val="superscript"/>
        </w:rPr>
        <w:footnoteReference w:id="206"/>
      </w:r>
      <w:r w:rsidRPr="00CC7995">
        <w:t xml:space="preserve"> Darüber hinaus ergibt eine teleologische Auslegung, dass die Norm auf die Verhinderung der Straftat durch eine bestimmte Person zielt. Die für Befugnis erforderliche Prognose muss daher bezogen auf ein Individuum und einen Einzelfall erfolgen. Dies ist unmöglich, wenn sich das Verbot von vornherein auf einen nicht eindeutig bestimmten</w:t>
      </w:r>
      <w:r w:rsidR="00D51AD4">
        <w:t>, sondern lediglich bestimmbaren</w:t>
      </w:r>
      <w:r w:rsidRPr="00CC7995">
        <w:t xml:space="preserve"> Personenkreis bezie</w:t>
      </w:r>
      <w:r>
        <w:t>ht, wie dies hier der Fall ist.</w:t>
      </w:r>
    </w:p>
    <w:p w14:paraId="7DE6D375" w14:textId="77777777" w:rsidR="00CC7995" w:rsidRPr="00F049D6" w:rsidRDefault="00CC7995" w:rsidP="000434BF">
      <w:pPr>
        <w:pStyle w:val="berschrift7"/>
      </w:pPr>
      <w:bookmarkStart w:id="240" w:name="_Toc22133095"/>
      <w:r w:rsidRPr="00F049D6">
        <w:t>b) Hilfsgutachterlich: Bestimmtheit, § 37 I HVwVfG</w:t>
      </w:r>
      <w:bookmarkEnd w:id="240"/>
    </w:p>
    <w:p w14:paraId="153F85AE" w14:textId="77777777" w:rsidR="00CC7995" w:rsidRPr="00CC7995" w:rsidRDefault="00CC7995" w:rsidP="00CC7995">
      <w:pPr>
        <w:pStyle w:val="Randnummer"/>
        <w:framePr w:wrap="around"/>
      </w:pPr>
    </w:p>
    <w:p w14:paraId="1B4B1B2E" w14:textId="5D21AB55" w:rsidR="00CC7995" w:rsidRPr="00CC7995" w:rsidRDefault="00CC7995" w:rsidP="000667CE">
      <w:r w:rsidRPr="00CC7995">
        <w:t xml:space="preserve">Das Aufenthaltsverbot müsste ferner hinreichend bestimmt sein, § 37 I </w:t>
      </w:r>
      <w:r w:rsidR="00783ECC">
        <w:t>HVwVfG</w:t>
      </w:r>
      <w:r w:rsidRPr="00CC7995">
        <w:t>. Die Bestimmtheit verlangt, dass der Verwaltungsakt so präzise und konkret gefasst wird, dass der Adressat erkennen kann, wie er sich zu verhalten hat und die Behörden den Verwaltungsakt insbesondere vollstrecken können. Insbesondere müssen die Betroffenen erkennen, ob sie als Adressat der Maßnahme in Frage kommen. Bei einer personenbezogenen Allgemeinverfügung können die Adressaten naturgemäß nur nach allgemeinen Merkmalen bestimmt sein. Fraglich ist jedoch, ob die Umschreibung als „Anhänger/Fans von Eintracht Frankfurt (erkennbar durch Fanbekleidung, Skandierung von Parolen und sonstigem Auftreten)“ diese Voraussetzungen erfüllt. Hier wird nicht deutlich, ob der Klammerzusatz nur ein Identifizierungshinweis ist oder ob von vornherein nur solche Anhänger betroffen sein sollen, die in der beschriebenen Form nach außen hin erkennbar sind. Nach der Formulierung ist nicht ausgeschlossen, dass sich alle Eintracht-Fans angesprochen fühlen, auch wenn sie ihre Faneigenschaft nicht äußerlich zur Schau stellen. Das Tragen von Fanbekleidung und das Skandieren von Parolen mögen noch geeignete Kriterien sein, den betroffenen Adressatenkreis der Verfügung hinreichend deutlich abzugrenzen. Was jedoch mit „sonstigem Auftreten“ gemeint ist, bleibt unklar</w:t>
      </w:r>
      <w:r w:rsidR="00D51AD4">
        <w:t>.</w:t>
      </w:r>
      <w:r w:rsidRPr="00CC7995">
        <w:rPr>
          <w:vertAlign w:val="superscript"/>
        </w:rPr>
        <w:footnoteReference w:id="207"/>
      </w:r>
      <w:r w:rsidRPr="00CC7995">
        <w:t xml:space="preserve"> Daher ist der Adressatenkreis des Verwaltungsakts nicht </w:t>
      </w:r>
      <w:r w:rsidR="00D51AD4">
        <w:t>hinreichend</w:t>
      </w:r>
      <w:r w:rsidRPr="00CC7995">
        <w:t xml:space="preserve"> bestimmt. Auch dies führt zur Rechtswidrigkeit der Allgemeinverfügung.</w:t>
      </w:r>
    </w:p>
    <w:p w14:paraId="5FC62CD1" w14:textId="77777777" w:rsidR="00CC7995" w:rsidRPr="00F049D6" w:rsidRDefault="00CC7995" w:rsidP="000434BF">
      <w:pPr>
        <w:pStyle w:val="berschrift7"/>
      </w:pPr>
      <w:bookmarkStart w:id="241" w:name="_Toc22133096"/>
      <w:r w:rsidRPr="00F049D6">
        <w:t>c) Hilfsgutachterlich: Tatbestand des § 31 III 1 HSOG</w:t>
      </w:r>
      <w:bookmarkEnd w:id="241"/>
    </w:p>
    <w:p w14:paraId="0C2AAD56" w14:textId="77777777" w:rsidR="00AF0C32" w:rsidRPr="00AF0C32" w:rsidRDefault="00AF0C32" w:rsidP="00AF0C32">
      <w:pPr>
        <w:pStyle w:val="Randnummer"/>
        <w:framePr w:wrap="around"/>
      </w:pPr>
    </w:p>
    <w:p w14:paraId="50B22478" w14:textId="77777777" w:rsidR="00CC7995" w:rsidRPr="00CC7995" w:rsidRDefault="00CC7995" w:rsidP="000667CE">
      <w:r w:rsidRPr="00CC7995">
        <w:t xml:space="preserve">Darüber hinaus müsste der Tatbestand des Aufenthaltsverbots vorliegen. Nach § 31 III 1 HSOG kann einer Person vorübergehend das Betreten eines bestimmten örtlichen Bereichs verboten werden, wenn Tatsachen die Annahme rechtfertigen, dass sie dort Straftaten begehen wird. </w:t>
      </w:r>
    </w:p>
    <w:p w14:paraId="44334693" w14:textId="77777777" w:rsidR="00CC7995" w:rsidRPr="00F049D6" w:rsidRDefault="00CC7995" w:rsidP="000434BF">
      <w:pPr>
        <w:pStyle w:val="berschrift8"/>
      </w:pPr>
      <w:bookmarkStart w:id="242" w:name="_Toc22133097"/>
      <w:r w:rsidRPr="00F049D6">
        <w:t>aa) Adressat</w:t>
      </w:r>
      <w:bookmarkEnd w:id="242"/>
    </w:p>
    <w:p w14:paraId="19C704ED" w14:textId="77777777" w:rsidR="00AF0C32" w:rsidRPr="00AF0C32" w:rsidRDefault="00AF0C32" w:rsidP="00AF0C32">
      <w:pPr>
        <w:pStyle w:val="Randnummer"/>
        <w:framePr w:wrap="around"/>
      </w:pPr>
    </w:p>
    <w:p w14:paraId="7E275981" w14:textId="5AB69AA4" w:rsidR="00CC7995" w:rsidRPr="00CC7995" w:rsidRDefault="00CC7995" w:rsidP="000667CE">
      <w:r w:rsidRPr="00CC7995">
        <w:t>Die Allgemeinverfügung richtet sich an alle Anhänger der Eintracht, die durch Fanbekleidung, Skandierung von Parolen oder sonstiges Auftreten zu erkennen sind. Das Aufenthaltsverbot richtet sich damit nicht gegen eine Person, sondern mehrere. Daher ist das Tatbestandsmerkmal „einer Person“ nicht erfüllt, sodass die Allgemeinverfügung schon aus diesem Grund rechtswidrig ist</w:t>
      </w:r>
      <w:r w:rsidR="00D51AD4">
        <w:t>.</w:t>
      </w:r>
    </w:p>
    <w:p w14:paraId="46A19D7A" w14:textId="77777777" w:rsidR="00CC7995" w:rsidRPr="00F049D6" w:rsidRDefault="00CC7995" w:rsidP="000434BF">
      <w:pPr>
        <w:pStyle w:val="berschrift8"/>
      </w:pPr>
      <w:bookmarkStart w:id="243" w:name="_Toc22133098"/>
      <w:r w:rsidRPr="00F049D6">
        <w:t>bb) Eingriffsschwelle</w:t>
      </w:r>
      <w:bookmarkEnd w:id="243"/>
    </w:p>
    <w:p w14:paraId="0314AC54" w14:textId="77777777" w:rsidR="00AF0C32" w:rsidRPr="00AF0C32" w:rsidRDefault="00AF0C32" w:rsidP="00AF0C32">
      <w:pPr>
        <w:pStyle w:val="Randnummer"/>
        <w:framePr w:wrap="around"/>
      </w:pPr>
    </w:p>
    <w:p w14:paraId="412335A6" w14:textId="5BED9A8E" w:rsidR="00CC7995" w:rsidRPr="00CC7995" w:rsidRDefault="00CC7995" w:rsidP="000667CE">
      <w:r w:rsidRPr="00CC7995">
        <w:t xml:space="preserve">Weiter müssten Tatsachen vorliegen, die die Annahme rechtfertigen, dass es in einem bestimmten örtlichen Bereich zu einer Straftat kommen wird. Dafür müssen konkrete </w:t>
      </w:r>
      <w:r w:rsidR="00D51AD4">
        <w:t>Anhaltspunkte</w:t>
      </w:r>
      <w:r w:rsidRPr="00CC7995">
        <w:t xml:space="preserve"> vorliegen, welche die Prognose erlauben, dass der Adressat der Verfügung an einem bestimmten Ort mit hinreichender Wahrscheinlichkeit eine Straftat begehen wird.</w:t>
      </w:r>
      <w:r w:rsidRPr="00CC7995">
        <w:rPr>
          <w:vertAlign w:val="superscript"/>
        </w:rPr>
        <w:footnoteReference w:id="208"/>
      </w:r>
      <w:r w:rsidRPr="00CC7995">
        <w:t xml:space="preserve"> Dies ist jedoch nicht ersichtlich. Auch wenn polizeiliche Erkenntnisse zu gewaltbereiten Problemfans vorliegen, lässt dies nicht die Annahme zu, dass jeder Fan von Eintracht Frankfurt sich diesem Personenkreis zurechnen lässt. Es liegen darüber hinaus auch keine Anhaltspunkte vor, dass alle Eintracht-Fans per se gewaltbereit sind. Daher </w:t>
      </w:r>
      <w:r w:rsidR="00D51AD4">
        <w:t xml:space="preserve">ist </w:t>
      </w:r>
      <w:r w:rsidRPr="00CC7995">
        <w:t xml:space="preserve">auch </w:t>
      </w:r>
      <w:r w:rsidR="00D51AD4">
        <w:t>die erforderliche Eingriffsschwelle nicht gegeben</w:t>
      </w:r>
      <w:r w:rsidRPr="00CC7995">
        <w:t>.</w:t>
      </w:r>
    </w:p>
    <w:p w14:paraId="40679DC2" w14:textId="77777777" w:rsidR="00CC7995" w:rsidRPr="00F049D6" w:rsidRDefault="00CC7995" w:rsidP="000434BF">
      <w:pPr>
        <w:pStyle w:val="berschrift7"/>
      </w:pPr>
      <w:bookmarkStart w:id="244" w:name="_Toc22133099"/>
      <w:r w:rsidRPr="00F049D6">
        <w:t>d) Hilfsgutachterlich: Ermessen</w:t>
      </w:r>
      <w:bookmarkEnd w:id="244"/>
    </w:p>
    <w:p w14:paraId="4B23B6C8" w14:textId="77777777" w:rsidR="00AF0C32" w:rsidRPr="00AF0C32" w:rsidRDefault="00AF0C32" w:rsidP="00AF0C32">
      <w:pPr>
        <w:pStyle w:val="Randnummer"/>
        <w:framePr w:wrap="around"/>
      </w:pPr>
    </w:p>
    <w:p w14:paraId="621BF7DD" w14:textId="737F1DBA" w:rsidR="00CC7995" w:rsidRPr="00CC7995" w:rsidRDefault="00CC7995" w:rsidP="000667CE">
      <w:r w:rsidRPr="00CC7995">
        <w:t xml:space="preserve">Ferner müsste der Magistrat in den Grenzen des ihm durch § 31 III 1 </w:t>
      </w:r>
      <w:r w:rsidR="00783ECC">
        <w:t>HVwVfG</w:t>
      </w:r>
      <w:r w:rsidR="00783ECC" w:rsidRPr="00CC7995">
        <w:t xml:space="preserve"> </w:t>
      </w:r>
      <w:r w:rsidRPr="00CC7995">
        <w:t xml:space="preserve">eingeräumten Ermessens gehandelt haben, vgl. § 40 LVwVfG, § 114 1 VwGO. Die Allgemeinverfügung könnte </w:t>
      </w:r>
      <w:r w:rsidR="00014626">
        <w:t>insbesondere</w:t>
      </w:r>
      <w:r w:rsidRPr="00CC7995">
        <w:t xml:space="preserve"> ermessensfehlerhaft sein, wenn das Aufenthaltsverbot nicht verhältnismäßig gem. § 4 HSOG wäre (Fall der Ermessensüberschreitung). Eine Maßnahme ist verhältnismäßig, wenn sie zur Erreichung eines legitimen Ziels geeignet, erforderlich und angemessen ist.</w:t>
      </w:r>
    </w:p>
    <w:p w14:paraId="6600B1B3" w14:textId="77777777" w:rsidR="00CC7995" w:rsidRPr="00CC7995" w:rsidRDefault="00CC7995" w:rsidP="000667CE">
      <w:r w:rsidRPr="00CC7995">
        <w:t>Die Verhinderung der Begehung von Straftaten, die anlässlich des Fußballspiels nicht ausgeschlossen sind, stellt zwar einen solchen legitimen Zweck dar.</w:t>
      </w:r>
    </w:p>
    <w:p w14:paraId="43AE06C1" w14:textId="77777777" w:rsidR="00CC7995" w:rsidRPr="00CC7995" w:rsidRDefault="00CC7995" w:rsidP="000667CE">
      <w:r w:rsidRPr="00CC7995">
        <w:t>Fraglich ist jedoch, ob das Aufenthaltsverbot auch geeignet ist. Dies ist deshalb nicht eindeutig, weil gewaltbereite Fans das Verbot umgehen könnten, indem sie auf das Tragen von Fanbekleidung verzichten und so nicht als Fans erkennbar sind. Darüber hinaus kann das Aufenthaltsverbot zu einer bloßen Verdrängung der Ausschreitungen außerhalb des Verbotsbereichs führen. Allerdings reicht für die Eignung des Verbots eine Förderung des Zwecks aus. Ein Aufeinandertreffen von Fans beider Mannschaften ist im Stadtgebiet am wahrscheinlichsten, sodass das Aufenthaltsgebot nicht ungeeignet ist, dort Auseinandersetzungen zu verhindern.</w:t>
      </w:r>
      <w:r w:rsidRPr="00CC7995">
        <w:rPr>
          <w:vertAlign w:val="superscript"/>
        </w:rPr>
        <w:footnoteReference w:id="209"/>
      </w:r>
    </w:p>
    <w:p w14:paraId="0645F514" w14:textId="77777777" w:rsidR="00CC7995" w:rsidRPr="00CC7995" w:rsidRDefault="00CC7995" w:rsidP="000667CE">
      <w:r w:rsidRPr="00CC7995">
        <w:t xml:space="preserve">Zweifelhaft ist jedoch die Erforderlichkeit des Aufenthaltsverbots angesichts der Größe des räumlichen Geltungsbereichs. Allein die Unkenntnis der Behörde über die konkreten Aufenthaltsorte der Fans dürfte nicht ausreichen, um die Ausdehnung auf einen derart großen Teil des Stadtgebiets zu rechtfertigen. Als milderes Mittel käme hier insbesondere die Begrenzung des Aufenthaltsverbots auf ein kleineres Gebiet in Darmstadt mit besonderem Bezug zur Gefahr, etwa der Bereich ums Stadion, den Bahnhof oder der Weg zwischen beiden Orten in Betracht. </w:t>
      </w:r>
    </w:p>
    <w:p w14:paraId="44D7C75F" w14:textId="4CA4B33F" w:rsidR="00CC7995" w:rsidRPr="00CC7995" w:rsidRDefault="00CC7995" w:rsidP="000667CE">
      <w:r w:rsidRPr="00CC7995">
        <w:t>Im Rahmen der Angemessenheit ist zu berücksichtigen, ob die Betroffenen in ihren Grundrechten beeinträchtigt werden. Es ist umstritten, ob ein Aufenthaltsverbot in das Grundrecht auf Freizügigkeit aus Art. 11 I GG oder nur in die allgemeine Handlungsfreiheit aus Art. 2 I GG eingreift</w:t>
      </w:r>
      <w:r w:rsidR="00D51AD4">
        <w:t>.</w:t>
      </w:r>
      <w:r w:rsidRPr="00CC7995">
        <w:rPr>
          <w:vertAlign w:val="superscript"/>
        </w:rPr>
        <w:footnoteReference w:id="210"/>
      </w:r>
      <w:r w:rsidRPr="00CC7995">
        <w:t xml:space="preserve"> Kriterien für die Abgrenzung sind </w:t>
      </w:r>
      <w:r w:rsidR="00014626">
        <w:t>insbesondere</w:t>
      </w:r>
      <w:r w:rsidRPr="00CC7995">
        <w:t xml:space="preserve"> die Persönlichkeitsrelevanz des Aufenthaltsbestimmungsrechts in der konkreten Situation, die zeitliche Dauer und örtliche Reichweite</w:t>
      </w:r>
      <w:r w:rsidR="00D51AD4">
        <w:t>.</w:t>
      </w:r>
      <w:r w:rsidRPr="00CC7995">
        <w:rPr>
          <w:vertAlign w:val="superscript"/>
        </w:rPr>
        <w:footnoteReference w:id="211"/>
      </w:r>
      <w:r w:rsidRPr="00CC7995">
        <w:t xml:space="preserve"> Bei einem Aufenthaltsverbot von insgesamt 36 Stunden am Stück für einen großen Teil des Darmstädter Stadtgebiets während eines für Fans sehr wichtigen Fußballspiels lässt sich ein Eingriff in die Freizügigkeit gut begründen (a.A. vertretbar). </w:t>
      </w:r>
    </w:p>
    <w:p w14:paraId="25086FD0" w14:textId="77777777" w:rsidR="00CC7995" w:rsidRPr="00CC7995" w:rsidRDefault="00CC7995" w:rsidP="000667CE">
      <w:r w:rsidRPr="00CC7995">
        <w:t xml:space="preserve">Für einen gewichtigen Eingriff in die Rechte der Betroffenen spricht daher, dass das Spezialgrundrecht aus Art. 11 I GG betroffen ist. Außerdem werden Personen mit einem Aufenthaltsverbot belegt, die bisher nicht gewalttätig geworden sind und dies auch nicht werden wollen. Es werden mithin Personen in Anspruch genommen, die keine Verhaltensstörer i.S.d. § 6 HSOG sind. Die Behörden müssten vielmehr durch entsprechende Einzelmaßnahmen gegen solche Fans vorgehen, die tatsächlich auffällig geworden sind. </w:t>
      </w:r>
    </w:p>
    <w:p w14:paraId="20844370" w14:textId="28CD5544" w:rsidR="00CC7995" w:rsidRPr="00F049D6" w:rsidRDefault="00F049D6" w:rsidP="000434BF">
      <w:pPr>
        <w:pStyle w:val="berschrift7"/>
      </w:pPr>
      <w:bookmarkStart w:id="245" w:name="_Toc22133100"/>
      <w:r w:rsidRPr="00F049D6">
        <w:t>e</w:t>
      </w:r>
      <w:r w:rsidR="00CC7995" w:rsidRPr="00F049D6">
        <w:t>) Zwischenergebnis</w:t>
      </w:r>
      <w:bookmarkEnd w:id="245"/>
    </w:p>
    <w:p w14:paraId="3427ED34" w14:textId="77777777" w:rsidR="00AF0C32" w:rsidRPr="00AF0C32" w:rsidRDefault="00AF0C32" w:rsidP="00AF0C32">
      <w:pPr>
        <w:pStyle w:val="Randnummer"/>
        <w:framePr w:wrap="around"/>
      </w:pPr>
    </w:p>
    <w:p w14:paraId="0D1BE97F" w14:textId="77777777" w:rsidR="00CC7995" w:rsidRPr="00CC7995" w:rsidRDefault="00CC7995" w:rsidP="000667CE">
      <w:r w:rsidRPr="00CC7995">
        <w:t>Das Aufenthaltsverbot war nicht angemessen und damit nicht verhältnismäßig.</w:t>
      </w:r>
    </w:p>
    <w:p w14:paraId="67E09E44" w14:textId="77777777" w:rsidR="00CC7995" w:rsidRPr="00F049D6" w:rsidRDefault="00CC7995" w:rsidP="000434BF">
      <w:pPr>
        <w:pStyle w:val="berschrift6"/>
      </w:pPr>
      <w:bookmarkStart w:id="246" w:name="_Toc22133101"/>
      <w:r w:rsidRPr="00F049D6">
        <w:t>4. Zwischenergebnis</w:t>
      </w:r>
      <w:bookmarkEnd w:id="246"/>
    </w:p>
    <w:p w14:paraId="7AC3A680" w14:textId="77777777" w:rsidR="00AF0C32" w:rsidRPr="00AF0C32" w:rsidRDefault="00AF0C32" w:rsidP="00AF0C32">
      <w:pPr>
        <w:pStyle w:val="Randnummer"/>
        <w:framePr w:wrap="around"/>
      </w:pPr>
    </w:p>
    <w:p w14:paraId="2F2487D9" w14:textId="77777777" w:rsidR="00CC7995" w:rsidRPr="00CC7995" w:rsidRDefault="00CC7995" w:rsidP="000667CE">
      <w:r w:rsidRPr="00CC7995">
        <w:t>Die Allgemeinverfügung war aus einer Vielzahl von Gründen rechtswidrig.</w:t>
      </w:r>
    </w:p>
    <w:p w14:paraId="6A39A54D" w14:textId="77777777" w:rsidR="00CC7995" w:rsidRPr="00F049D6" w:rsidRDefault="00CC7995" w:rsidP="000434BF">
      <w:pPr>
        <w:pStyle w:val="berschrift5"/>
      </w:pPr>
      <w:bookmarkStart w:id="247" w:name="_Toc22133102"/>
      <w:r w:rsidRPr="00F049D6">
        <w:t>II. Verletzung in eigenen Rechten</w:t>
      </w:r>
      <w:bookmarkEnd w:id="247"/>
    </w:p>
    <w:p w14:paraId="3ED768B2" w14:textId="77777777" w:rsidR="00AF0C32" w:rsidRPr="00AF0C32" w:rsidRDefault="00AF0C32" w:rsidP="00AF0C32">
      <w:pPr>
        <w:pStyle w:val="Randnummer"/>
        <w:framePr w:wrap="around"/>
      </w:pPr>
    </w:p>
    <w:p w14:paraId="408771CF" w14:textId="77777777" w:rsidR="00CC7995" w:rsidRDefault="00CC7995" w:rsidP="000667CE">
      <w:r w:rsidRPr="00CC7995">
        <w:t>Die rechtswidrige Allgemeinverfügung verletzt den F auch in seinem Recht auf Freizügigkeit sowie jedenfalls in seiner allgemeinen Handlungsfreiheit.</w:t>
      </w:r>
    </w:p>
    <w:p w14:paraId="07D4C220" w14:textId="77777777" w:rsidR="000434BF" w:rsidRPr="00CC7995" w:rsidRDefault="000434BF" w:rsidP="00CC7995">
      <w:pPr>
        <w:jc w:val="left"/>
      </w:pPr>
    </w:p>
    <w:p w14:paraId="7555C7DF" w14:textId="77777777" w:rsidR="00CC7995" w:rsidRPr="00F049D6" w:rsidRDefault="00CC7995" w:rsidP="000434BF">
      <w:pPr>
        <w:pStyle w:val="berschrift4"/>
      </w:pPr>
      <w:bookmarkStart w:id="248" w:name="_Toc22133103"/>
      <w:r w:rsidRPr="00F049D6">
        <w:t>C. Ergebnis</w:t>
      </w:r>
      <w:bookmarkEnd w:id="248"/>
      <w:r w:rsidRPr="00F049D6">
        <w:t xml:space="preserve"> </w:t>
      </w:r>
    </w:p>
    <w:p w14:paraId="68D85997" w14:textId="77777777" w:rsidR="00AF0C32" w:rsidRPr="00AF0C32" w:rsidRDefault="00AF0C32" w:rsidP="00AF0C32">
      <w:pPr>
        <w:pStyle w:val="Randnummer"/>
        <w:framePr w:wrap="around"/>
      </w:pPr>
    </w:p>
    <w:p w14:paraId="33817D1C" w14:textId="1E616C98" w:rsidR="0001383E" w:rsidRDefault="00CC7995" w:rsidP="000667CE">
      <w:pPr>
        <w:rPr>
          <w:rFonts w:asciiTheme="majorHAnsi" w:eastAsiaTheme="majorEastAsia" w:hAnsiTheme="majorHAnsi" w:cstheme="majorBidi"/>
          <w:color w:val="2E74B5" w:themeColor="accent1" w:themeShade="BF"/>
          <w:sz w:val="28"/>
          <w:szCs w:val="28"/>
        </w:rPr>
      </w:pPr>
      <w:r w:rsidRPr="00CC7995">
        <w:t>Die Klage des F ist zulässig und begründet, sie hat daher Aussicht auf Erfolg</w:t>
      </w:r>
      <w:bookmarkEnd w:id="218"/>
      <w:r w:rsidR="00772351">
        <w:t>.</w:t>
      </w:r>
      <w:bookmarkStart w:id="249" w:name="_Toc10464017"/>
      <w:bookmarkStart w:id="250" w:name="_Toc13833433"/>
      <w:r w:rsidR="0001383E">
        <w:br w:type="page"/>
      </w:r>
    </w:p>
    <w:p w14:paraId="4694F842" w14:textId="06F30132" w:rsidR="00CC7995" w:rsidRDefault="00F1012B" w:rsidP="008779DD">
      <w:pPr>
        <w:pStyle w:val="berschrift2"/>
      </w:pPr>
      <w:bookmarkStart w:id="251" w:name="_Toc22132777"/>
      <w:r>
        <w:t>Fall 7</w:t>
      </w:r>
      <w:r w:rsidR="00CC7995">
        <w:t>: Fortsetzungsfeststellungsklage gegen die Untersagung eines politischen Straßentheaters (Judith Sikora)</w:t>
      </w:r>
      <w:bookmarkEnd w:id="249"/>
      <w:bookmarkEnd w:id="250"/>
      <w:bookmarkEnd w:id="251"/>
    </w:p>
    <w:p w14:paraId="1E6648F5" w14:textId="550991BB" w:rsidR="0017745A" w:rsidRPr="0017745A" w:rsidRDefault="0017745A" w:rsidP="0017745A">
      <w:pPr>
        <w:pStyle w:val="Autorin"/>
      </w:pPr>
      <w:r>
        <w:t>Judith Sikora</w:t>
      </w:r>
    </w:p>
    <w:p w14:paraId="46B452F3" w14:textId="77777777" w:rsidR="00CC7995" w:rsidRPr="00CC7995" w:rsidRDefault="00CC7995" w:rsidP="00CC7995">
      <w:pPr>
        <w:pStyle w:val="Randnummer"/>
        <w:framePr w:wrap="around"/>
      </w:pPr>
    </w:p>
    <w:p w14:paraId="0CA8562D" w14:textId="320BD373" w:rsidR="00CC7995" w:rsidRPr="00CC7995" w:rsidRDefault="00CC7995" w:rsidP="00CC7995">
      <w:r>
        <w:t>Der Fall ist</w:t>
      </w:r>
      <w:r w:rsidRPr="00CC7995">
        <w:t xml:space="preserve"> angelehnt an </w:t>
      </w:r>
      <w:hyperlink r:id="rId50" w:history="1">
        <w:r w:rsidRPr="000667CE">
          <w:rPr>
            <w:rStyle w:val="Hyperlink"/>
          </w:rPr>
          <w:t xml:space="preserve">Hessischen VGH, </w:t>
        </w:r>
        <w:r w:rsidR="000667CE" w:rsidRPr="000667CE">
          <w:rPr>
            <w:rStyle w:val="Hyperlink"/>
          </w:rPr>
          <w:t>Urt. v. 17.3.2011, Az.:</w:t>
        </w:r>
        <w:r w:rsidRPr="000667CE">
          <w:rPr>
            <w:rStyle w:val="Hyperlink"/>
          </w:rPr>
          <w:t xml:space="preserve"> 8 A 1188/10</w:t>
        </w:r>
      </w:hyperlink>
      <w:r w:rsidR="00783ECC">
        <w:t xml:space="preserve"> = </w:t>
      </w:r>
      <w:r w:rsidRPr="00CC7995">
        <w:t>NVwZ-RR 2011, 519 ff.</w:t>
      </w:r>
    </w:p>
    <w:p w14:paraId="0EDEFBC3" w14:textId="77777777" w:rsidR="00CC7995" w:rsidRDefault="00CC7995" w:rsidP="00CC7995">
      <w:pPr>
        <w:pStyle w:val="Randnummer"/>
        <w:framePr w:wrap="around"/>
      </w:pPr>
    </w:p>
    <w:p w14:paraId="37892DDB" w14:textId="77777777" w:rsidR="00CC7995" w:rsidRDefault="00CC7995" w:rsidP="00CC7995">
      <w:r w:rsidRPr="00CC7995">
        <w:t xml:space="preserve">Lernziele/Schwerpunkte: Fortsetzungsfeststellungsklage, Versammlungsfreiheit, Kunstfreiheit, Vorfeldmaßnahmen, Minusmaßnahmen, verfassungskonforme Auslegung </w:t>
      </w:r>
    </w:p>
    <w:p w14:paraId="1A357383" w14:textId="77777777" w:rsidR="0001383E" w:rsidRPr="00CC7995" w:rsidRDefault="0001383E" w:rsidP="00CC7995"/>
    <w:p w14:paraId="36E88462" w14:textId="77777777" w:rsidR="00CC7995" w:rsidRPr="00F049D6" w:rsidRDefault="00CC7995" w:rsidP="0001383E">
      <w:pPr>
        <w:pStyle w:val="berschrift3"/>
      </w:pPr>
      <w:r w:rsidRPr="00F049D6">
        <w:t>Sachverhalt</w:t>
      </w:r>
    </w:p>
    <w:p w14:paraId="1B6D2642" w14:textId="77777777" w:rsidR="00CC7995" w:rsidRPr="00CC7995" w:rsidRDefault="00CC7995" w:rsidP="00CC7995">
      <w:pPr>
        <w:pStyle w:val="Randnummer"/>
        <w:framePr w:wrap="around"/>
      </w:pPr>
    </w:p>
    <w:p w14:paraId="112B6637" w14:textId="39D2F2A9" w:rsidR="00CC7995" w:rsidRPr="00CC7995" w:rsidRDefault="00CC7995" w:rsidP="00CC7995">
      <w:r w:rsidRPr="00CC7995">
        <w:t xml:space="preserve">Vor dem Haupteingang der C-Bank in Frankfurt a.M. veranstaltete A mit weiteren Teilnehmern eine ordnungsgemäß angemeldete „Kundgebung mit Kunstbeitrag“ zum Thema „Frieden und Sicherheit“. Die Versammlung sollte an einem Donnerstag von 11-14 Uhr stattfinden. Im Anmeldeformular hatte A unter „Sonstiges“ angegeben: „2 Kostüme, Attrappen, Informationen“. Einen </w:t>
      </w:r>
      <w:r w:rsidR="00D51AD4">
        <w:t>Auflage</w:t>
      </w:r>
      <w:r w:rsidRPr="00CC7995">
        <w:t>nbescheid erhielt A nicht. Um ihrer Kritik am Einsatz der Bundeswehr zum Schutz wirtschaftlicher Interessen Nachdruck zu verleihen, stellte sich A zusammen mit dem Teilnehmer B in Bundeswehr-Kampfanzügen mit Gefechtshelmen und Sturmgewehrattrappen als „Wachposten“ vor den Eingang der Bank. Die anderen Teilnehmer verteilten unterdessen im „Banker-Habitus“ Flugblätter, die sich kritisch mit der Zusammenarbeit zwischen Wirtschaft, Politik und Bundeswehr zum „Bankenschutz“ auseinandersetzen. Nach etwa 15 bis 20 Minuten wurden A und B von zwei Polizisten angesprochen und darauf hingewiesen, dass das öffentliche Tragen von Anscheinswaffen gegen das Waffengesetz verstoße. Daher müssten die Gewehrattrappen beschlagnahmt oder so verstaut werden, dass sie für Passanten nicht sichtbar seien. Als A und B protestierten und auf die Bedeutung der Waffenattrappen für ihren Kunstbeitrag hinwiesen, erklärten die Polizisten, dass die Waffen täuschend echt aussähen und die Passanten und Bankangestellten beunruhigten. Sie seien von besorgten Umstehenden gefragt worden, „was denn die Bundeswehr hier mache“. Daraufhin erließen sie „eine beschränkende Verfügung nach Versammlungsgesetz“, in der das öffentliche Führen der Anscheinswaffen untersagt wurde. Schließlich verpackten A und B die Waffenattrappen und verließen den Platz.</w:t>
      </w:r>
    </w:p>
    <w:p w14:paraId="48FD11D0" w14:textId="6CB40865" w:rsidR="00CC7995" w:rsidRPr="00CC7995" w:rsidRDefault="00CC7995" w:rsidP="00CC7995">
      <w:r w:rsidRPr="00CC7995">
        <w:t xml:space="preserve">A fühlt sich in ihrer Versammlungs- und Kunstfreiheit verletzt. Weil sie in Zukunft vergleichbare Aktionen vor anderen Banken plant und mit erneuten Verhinderungen durch die Polizei rechnet, erhebt sie beim örtlichen Verwaltungsgericht eine „Feststellungsklage“. Es könne nicht </w:t>
      </w:r>
      <w:r w:rsidR="00D51AD4">
        <w:t>an</w:t>
      </w:r>
      <w:r w:rsidRPr="00CC7995">
        <w:t xml:space="preserve">gehen, dass die Sturmgewehrattrappen als Bestandteil ihres Kunstbeitrags von der Polizei beschlagnahmt werden dürfen. Bei Theateraufführungen würden sonst auch Waffenattrappen verwendet. Außerdem mangele es schon an einer Rechtsgrundlage; das Versammlungsgesetz kenne keine Befugnis zur Beschlagnahme von Gegenständen. </w:t>
      </w:r>
    </w:p>
    <w:p w14:paraId="2FA13D7E" w14:textId="77777777" w:rsidR="00CC7995" w:rsidRPr="00CC7995" w:rsidRDefault="00CC7995" w:rsidP="00CC7995">
      <w:r w:rsidRPr="00CC7995">
        <w:t>Die Polizei beruft sich demgegenüber auf den drohenden Verstoß gegen das Waffengesetz, der abgewendet werden sollte. Mit der Untersagung sei das mildeste Mittel gewählt worden. Alternativ hätte A aus der Versammlung ausgeschlossen und die Anscheinswaffe nach allgemeinem Polizeirecht beschlagnahmt werden können. So habe man der Versammlungsfreiheit der A hinreichend Rechnung getragen. Auf deren Kunstfreiheit komme es schon deswegen nicht an, weil die vor Ort anwesenden Polizeibeamten häufig bei unübersichtlichen Sachverhalten unter Zeitdruck handeln müssten und sich nicht erst die Darstellungen anschauen könnten, um zu entscheiden, ob sie verfassungsrechtlich geschützte Kunst seien. Überdies seien sie Polizisten und keine Kunstsachverständigen.</w:t>
      </w:r>
    </w:p>
    <w:p w14:paraId="1C296291" w14:textId="77777777" w:rsidR="00CC7995" w:rsidRPr="00CC7995" w:rsidRDefault="00CC7995" w:rsidP="00CC7995">
      <w:pPr>
        <w:rPr>
          <w:b/>
        </w:rPr>
      </w:pPr>
      <w:r w:rsidRPr="00CC7995">
        <w:rPr>
          <w:b/>
        </w:rPr>
        <w:t>Beurteilen Sie die Erfolgsaussichten der Klage der A!</w:t>
      </w:r>
    </w:p>
    <w:p w14:paraId="5B926866" w14:textId="56BF94B1" w:rsidR="00CC7995" w:rsidRDefault="00CC7995" w:rsidP="00CC7995">
      <w:r w:rsidRPr="00CC7995">
        <w:rPr>
          <w:b/>
        </w:rPr>
        <w:t>Bearbeiter</w:t>
      </w:r>
      <w:r w:rsidR="00F049D6">
        <w:rPr>
          <w:b/>
        </w:rPr>
        <w:t>*innen</w:t>
      </w:r>
      <w:r w:rsidRPr="00CC7995">
        <w:rPr>
          <w:b/>
        </w:rPr>
        <w:t xml:space="preserve">vermerk: </w:t>
      </w:r>
      <w:r w:rsidRPr="00CC7995">
        <w:t>Es ist davon auszugehen, dass die zuständige Behörde gehandelt hat. Für die Lösung ist auf das VersG des Bundes sowie auf die polizeiliche G</w:t>
      </w:r>
      <w:r w:rsidR="00D51AD4">
        <w:t>eneralklausel des Landes Hessen abzustellen.</w:t>
      </w:r>
      <w:r w:rsidRPr="00CC7995">
        <w:t xml:space="preserve"> Auf § 42a Waffengesetz (</w:t>
      </w:r>
      <w:r w:rsidRPr="00CC7995">
        <w:rPr>
          <w:i/>
        </w:rPr>
        <w:t>Sartorius</w:t>
      </w:r>
      <w:r w:rsidRPr="00CC7995">
        <w:t xml:space="preserve"> Nr. 820) wird hingewiesen. </w:t>
      </w:r>
    </w:p>
    <w:p w14:paraId="0013FF09" w14:textId="77777777" w:rsidR="00095F85" w:rsidRPr="00CC7995" w:rsidRDefault="00095F85" w:rsidP="00CC7995"/>
    <w:p w14:paraId="37099B09" w14:textId="77777777" w:rsidR="00CC7995" w:rsidRPr="00095F85" w:rsidRDefault="00CC7995" w:rsidP="00CC7995">
      <w:pPr>
        <w:rPr>
          <w:b/>
          <w:bCs/>
        </w:rPr>
      </w:pPr>
      <w:r w:rsidRPr="00095F85">
        <w:rPr>
          <w:b/>
          <w:bCs/>
        </w:rPr>
        <w:t>§ 42a WaffG</w:t>
      </w:r>
    </w:p>
    <w:p w14:paraId="068D7B5E" w14:textId="77777777" w:rsidR="00CC7995" w:rsidRPr="00095F85" w:rsidRDefault="00CC7995" w:rsidP="00CC7995">
      <w:pPr>
        <w:rPr>
          <w:bCs/>
        </w:rPr>
      </w:pPr>
      <w:r w:rsidRPr="00095F85">
        <w:rPr>
          <w:bCs/>
        </w:rPr>
        <w:t>Verbot des Führens von Anscheinswaffen und bestimmten tragbaren Gegenständen</w:t>
      </w:r>
    </w:p>
    <w:p w14:paraId="7CC2897B" w14:textId="77777777" w:rsidR="00CC7995" w:rsidRPr="00095F85" w:rsidRDefault="00CC7995" w:rsidP="00CC7995">
      <w:r w:rsidRPr="00095F85">
        <w:t>(1) Es ist verboten</w:t>
      </w:r>
    </w:p>
    <w:p w14:paraId="4E2126B3" w14:textId="77777777" w:rsidR="00CC7995" w:rsidRPr="00095F85" w:rsidRDefault="00CC7995" w:rsidP="00CC7995">
      <w:r w:rsidRPr="00095F85">
        <w:t xml:space="preserve">1. Anscheinswaffen, </w:t>
      </w:r>
    </w:p>
    <w:p w14:paraId="68D673F9" w14:textId="77777777" w:rsidR="00CC7995" w:rsidRPr="00095F85" w:rsidRDefault="00CC7995" w:rsidP="00CC7995">
      <w:r w:rsidRPr="00095F85">
        <w:t>2. Hieb- und Stoßwaffen nach Anlage 1 Abschnitt 1 Unterabschnitt 2 Nr. 1.1 oder</w:t>
      </w:r>
    </w:p>
    <w:p w14:paraId="062BF439" w14:textId="77777777" w:rsidR="00CC7995" w:rsidRPr="00095F85" w:rsidRDefault="00CC7995" w:rsidP="00CC7995">
      <w:r w:rsidRPr="00095F85">
        <w:t xml:space="preserve">3. Messer mit einhändig feststellbarer Klinge (Einhandmesser) oder feststehende Messer mit einer Klingenlänge über 12 cm zu führen. </w:t>
      </w:r>
    </w:p>
    <w:p w14:paraId="5F44DD3C" w14:textId="77777777" w:rsidR="00CC7995" w:rsidRPr="00095F85" w:rsidRDefault="00CC7995" w:rsidP="00CC7995">
      <w:r w:rsidRPr="00095F85">
        <w:t>(2) Absatz 1 gilt nicht</w:t>
      </w:r>
    </w:p>
    <w:p w14:paraId="6FE83F47" w14:textId="77777777" w:rsidR="00CC7995" w:rsidRPr="00095F85" w:rsidRDefault="00CC7995" w:rsidP="00CC7995">
      <w:r w:rsidRPr="00095F85">
        <w:t>1. für die Verwendung bei Foto-, Film- oder Fernsehaufnahmen oder Theateraufführungen,</w:t>
      </w:r>
    </w:p>
    <w:p w14:paraId="3BD089FE" w14:textId="77777777" w:rsidR="00CC7995" w:rsidRPr="00095F85" w:rsidRDefault="00CC7995" w:rsidP="00CC7995">
      <w:r w:rsidRPr="00095F85">
        <w:t xml:space="preserve">2. für den Transport in einem verschlossenen Behältnis. </w:t>
      </w:r>
    </w:p>
    <w:p w14:paraId="4A4AB136" w14:textId="77777777" w:rsidR="00CC7995" w:rsidRDefault="00CC7995" w:rsidP="00CC7995">
      <w:r w:rsidRPr="00095F85">
        <w:t>3. für das Führen der Gegenstände nach Absatz 1 Nr. 2 und 3, sofern ein berechtigtes Interesse vorliegt. Weitergehende Regelungen bleiben unberührt. […]</w:t>
      </w:r>
    </w:p>
    <w:p w14:paraId="1A2B9992" w14:textId="77777777" w:rsidR="00095F85" w:rsidRPr="00095F85" w:rsidRDefault="00095F85" w:rsidP="00CC7995"/>
    <w:p w14:paraId="15170896" w14:textId="77777777" w:rsidR="00CC7995" w:rsidRPr="00095F85" w:rsidRDefault="00CC7995" w:rsidP="00CC7995">
      <w:pPr>
        <w:rPr>
          <w:b/>
        </w:rPr>
      </w:pPr>
      <w:r w:rsidRPr="00095F85">
        <w:rPr>
          <w:b/>
        </w:rPr>
        <w:t xml:space="preserve">§ 11 HSOG </w:t>
      </w:r>
    </w:p>
    <w:p w14:paraId="1C9AA125" w14:textId="15AF2A58" w:rsidR="0001383E" w:rsidRPr="00095F85" w:rsidRDefault="00CC7995" w:rsidP="00095F85">
      <w:r w:rsidRPr="00CC7995">
        <w:t>Die Gefahrenabwehr- und die Polizeibehörden können die erforderlichen Maßnahmen treffen, um eine im einzelnen Falle bestehende Gefahr für die öffentliche Sicherheit oder Ordnung (Gefahr) abzuwehren, soweit nicht die folgenden Vorschriften die Befugnisse der Gefahrenabwehr- und der Po</w:t>
      </w:r>
      <w:r w:rsidR="00095F85">
        <w:t>lizeibehörden besonders regeln.</w:t>
      </w:r>
      <w:r w:rsidR="0001383E">
        <w:br w:type="page"/>
      </w:r>
    </w:p>
    <w:p w14:paraId="686E49A0" w14:textId="3CD042AC" w:rsidR="00F049D6" w:rsidRPr="00F049D6" w:rsidRDefault="00F049D6" w:rsidP="0001383E">
      <w:pPr>
        <w:pStyle w:val="berschrift3"/>
      </w:pPr>
      <w:r w:rsidRPr="00F049D6">
        <w:t>Lösungsgliederung</w:t>
      </w:r>
    </w:p>
    <w:p w14:paraId="379B589F" w14:textId="77777777" w:rsidR="00F049D6" w:rsidRPr="00CC7995" w:rsidRDefault="00F049D6" w:rsidP="00F049D6">
      <w:pPr>
        <w:pStyle w:val="Randnummer"/>
        <w:framePr w:wrap="around"/>
      </w:pPr>
    </w:p>
    <w:p w14:paraId="1887F3A3" w14:textId="793552B3" w:rsidR="007537A8" w:rsidRDefault="00CA43AE">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"Fall7" </w:instrText>
      </w:r>
      <w:r>
        <w:rPr>
          <w:rFonts w:eastAsiaTheme="majorEastAsia"/>
        </w:rPr>
        <w:fldChar w:fldCharType="separate"/>
      </w:r>
      <w:hyperlink w:anchor="_Toc22133104" w:history="1">
        <w:r w:rsidR="007537A8" w:rsidRPr="00E6008E">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_Toc22133104 \h </w:instrText>
        </w:r>
        <w:r w:rsidR="007537A8">
          <w:rPr>
            <w:noProof/>
            <w:webHidden/>
          </w:rPr>
        </w:r>
        <w:r w:rsidR="007537A8">
          <w:rPr>
            <w:noProof/>
            <w:webHidden/>
          </w:rPr>
          <w:fldChar w:fldCharType="separate"/>
        </w:r>
        <w:r w:rsidR="007537A8">
          <w:rPr>
            <w:noProof/>
            <w:webHidden/>
          </w:rPr>
          <w:t>100</w:t>
        </w:r>
        <w:r w:rsidR="007537A8">
          <w:rPr>
            <w:noProof/>
            <w:webHidden/>
          </w:rPr>
          <w:fldChar w:fldCharType="end"/>
        </w:r>
      </w:hyperlink>
    </w:p>
    <w:p w14:paraId="329A7507" w14:textId="34C4CF34" w:rsidR="007537A8" w:rsidRDefault="00091FED">
      <w:pPr>
        <w:pStyle w:val="Verzeichnis4"/>
        <w:tabs>
          <w:tab w:val="right" w:leader="dot" w:pos="7361"/>
        </w:tabs>
        <w:rPr>
          <w:rFonts w:eastAsiaTheme="minorEastAsia"/>
          <w:noProof/>
          <w:sz w:val="22"/>
          <w:szCs w:val="22"/>
          <w:lang w:eastAsia="de-DE"/>
        </w:rPr>
      </w:pPr>
      <w:hyperlink w:anchor="_Toc22133105" w:history="1">
        <w:r w:rsidR="007537A8" w:rsidRPr="00E6008E">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_Toc22133105 \h </w:instrText>
        </w:r>
        <w:r w:rsidR="007537A8">
          <w:rPr>
            <w:noProof/>
            <w:webHidden/>
          </w:rPr>
        </w:r>
        <w:r w:rsidR="007537A8">
          <w:rPr>
            <w:noProof/>
            <w:webHidden/>
          </w:rPr>
          <w:fldChar w:fldCharType="separate"/>
        </w:r>
        <w:r w:rsidR="007537A8">
          <w:rPr>
            <w:noProof/>
            <w:webHidden/>
          </w:rPr>
          <w:t>100</w:t>
        </w:r>
        <w:r w:rsidR="007537A8">
          <w:rPr>
            <w:noProof/>
            <w:webHidden/>
          </w:rPr>
          <w:fldChar w:fldCharType="end"/>
        </w:r>
      </w:hyperlink>
    </w:p>
    <w:p w14:paraId="6A886BF3" w14:textId="205056C4" w:rsidR="007537A8" w:rsidRDefault="00091FED">
      <w:pPr>
        <w:pStyle w:val="Verzeichnis5"/>
        <w:tabs>
          <w:tab w:val="right" w:leader="dot" w:pos="7361"/>
        </w:tabs>
        <w:rPr>
          <w:rFonts w:eastAsiaTheme="minorEastAsia"/>
          <w:noProof/>
          <w:sz w:val="22"/>
          <w:szCs w:val="22"/>
          <w:lang w:eastAsia="de-DE"/>
        </w:rPr>
      </w:pPr>
      <w:hyperlink w:anchor="_Toc22133106" w:history="1">
        <w:r w:rsidR="007537A8" w:rsidRPr="00E6008E">
          <w:rPr>
            <w:rStyle w:val="Hyperlink"/>
            <w:noProof/>
          </w:rPr>
          <w:t>I. Eröffnung des Verwaltungsrechtswegs</w:t>
        </w:r>
        <w:r w:rsidR="007537A8">
          <w:rPr>
            <w:noProof/>
            <w:webHidden/>
          </w:rPr>
          <w:tab/>
        </w:r>
        <w:r w:rsidR="007537A8">
          <w:rPr>
            <w:noProof/>
            <w:webHidden/>
          </w:rPr>
          <w:fldChar w:fldCharType="begin"/>
        </w:r>
        <w:r w:rsidR="007537A8">
          <w:rPr>
            <w:noProof/>
            <w:webHidden/>
          </w:rPr>
          <w:instrText xml:space="preserve"> PAGEREF _Toc22133106 \h </w:instrText>
        </w:r>
        <w:r w:rsidR="007537A8">
          <w:rPr>
            <w:noProof/>
            <w:webHidden/>
          </w:rPr>
        </w:r>
        <w:r w:rsidR="007537A8">
          <w:rPr>
            <w:noProof/>
            <w:webHidden/>
          </w:rPr>
          <w:fldChar w:fldCharType="separate"/>
        </w:r>
        <w:r w:rsidR="007537A8">
          <w:rPr>
            <w:noProof/>
            <w:webHidden/>
          </w:rPr>
          <w:t>100</w:t>
        </w:r>
        <w:r w:rsidR="007537A8">
          <w:rPr>
            <w:noProof/>
            <w:webHidden/>
          </w:rPr>
          <w:fldChar w:fldCharType="end"/>
        </w:r>
      </w:hyperlink>
    </w:p>
    <w:p w14:paraId="0EA24463" w14:textId="5D3402A0" w:rsidR="007537A8" w:rsidRDefault="00091FED">
      <w:pPr>
        <w:pStyle w:val="Verzeichnis5"/>
        <w:tabs>
          <w:tab w:val="right" w:leader="dot" w:pos="7361"/>
        </w:tabs>
        <w:rPr>
          <w:rFonts w:eastAsiaTheme="minorEastAsia"/>
          <w:noProof/>
          <w:sz w:val="22"/>
          <w:szCs w:val="22"/>
          <w:lang w:eastAsia="de-DE"/>
        </w:rPr>
      </w:pPr>
      <w:hyperlink w:anchor="_Toc22133107" w:history="1">
        <w:r w:rsidR="007537A8" w:rsidRPr="00E6008E">
          <w:rPr>
            <w:rStyle w:val="Hyperlink"/>
            <w:noProof/>
          </w:rPr>
          <w:t>II. Statthafte Klageart</w:t>
        </w:r>
        <w:r w:rsidR="007537A8">
          <w:rPr>
            <w:noProof/>
            <w:webHidden/>
          </w:rPr>
          <w:tab/>
        </w:r>
        <w:r w:rsidR="007537A8">
          <w:rPr>
            <w:noProof/>
            <w:webHidden/>
          </w:rPr>
          <w:fldChar w:fldCharType="begin"/>
        </w:r>
        <w:r w:rsidR="007537A8">
          <w:rPr>
            <w:noProof/>
            <w:webHidden/>
          </w:rPr>
          <w:instrText xml:space="preserve"> PAGEREF _Toc22133107 \h </w:instrText>
        </w:r>
        <w:r w:rsidR="007537A8">
          <w:rPr>
            <w:noProof/>
            <w:webHidden/>
          </w:rPr>
        </w:r>
        <w:r w:rsidR="007537A8">
          <w:rPr>
            <w:noProof/>
            <w:webHidden/>
          </w:rPr>
          <w:fldChar w:fldCharType="separate"/>
        </w:r>
        <w:r w:rsidR="007537A8">
          <w:rPr>
            <w:noProof/>
            <w:webHidden/>
          </w:rPr>
          <w:t>100</w:t>
        </w:r>
        <w:r w:rsidR="007537A8">
          <w:rPr>
            <w:noProof/>
            <w:webHidden/>
          </w:rPr>
          <w:fldChar w:fldCharType="end"/>
        </w:r>
      </w:hyperlink>
    </w:p>
    <w:p w14:paraId="02264E27" w14:textId="00AAB28D" w:rsidR="007537A8" w:rsidRDefault="00091FED">
      <w:pPr>
        <w:pStyle w:val="Verzeichnis5"/>
        <w:tabs>
          <w:tab w:val="right" w:leader="dot" w:pos="7361"/>
        </w:tabs>
        <w:rPr>
          <w:rFonts w:eastAsiaTheme="minorEastAsia"/>
          <w:noProof/>
          <w:sz w:val="22"/>
          <w:szCs w:val="22"/>
          <w:lang w:eastAsia="de-DE"/>
        </w:rPr>
      </w:pPr>
      <w:hyperlink w:anchor="_Toc22133108" w:history="1">
        <w:r w:rsidR="007537A8" w:rsidRPr="00E6008E">
          <w:rPr>
            <w:rStyle w:val="Hyperlink"/>
            <w:noProof/>
          </w:rPr>
          <w:t>III. Feststellungsinteresse</w:t>
        </w:r>
        <w:r w:rsidR="007537A8">
          <w:rPr>
            <w:noProof/>
            <w:webHidden/>
          </w:rPr>
          <w:tab/>
        </w:r>
        <w:r w:rsidR="007537A8">
          <w:rPr>
            <w:noProof/>
            <w:webHidden/>
          </w:rPr>
          <w:fldChar w:fldCharType="begin"/>
        </w:r>
        <w:r w:rsidR="007537A8">
          <w:rPr>
            <w:noProof/>
            <w:webHidden/>
          </w:rPr>
          <w:instrText xml:space="preserve"> PAGEREF _Toc22133108 \h </w:instrText>
        </w:r>
        <w:r w:rsidR="007537A8">
          <w:rPr>
            <w:noProof/>
            <w:webHidden/>
          </w:rPr>
        </w:r>
        <w:r w:rsidR="007537A8">
          <w:rPr>
            <w:noProof/>
            <w:webHidden/>
          </w:rPr>
          <w:fldChar w:fldCharType="separate"/>
        </w:r>
        <w:r w:rsidR="007537A8">
          <w:rPr>
            <w:noProof/>
            <w:webHidden/>
          </w:rPr>
          <w:t>101</w:t>
        </w:r>
        <w:r w:rsidR="007537A8">
          <w:rPr>
            <w:noProof/>
            <w:webHidden/>
          </w:rPr>
          <w:fldChar w:fldCharType="end"/>
        </w:r>
      </w:hyperlink>
    </w:p>
    <w:p w14:paraId="1290ECE3" w14:textId="059B2C5D" w:rsidR="007537A8" w:rsidRDefault="00091FED">
      <w:pPr>
        <w:pStyle w:val="Verzeichnis5"/>
        <w:tabs>
          <w:tab w:val="right" w:leader="dot" w:pos="7361"/>
        </w:tabs>
        <w:rPr>
          <w:rFonts w:eastAsiaTheme="minorEastAsia"/>
          <w:noProof/>
          <w:sz w:val="22"/>
          <w:szCs w:val="22"/>
          <w:lang w:eastAsia="de-DE"/>
        </w:rPr>
      </w:pPr>
      <w:hyperlink w:anchor="_Toc22133109" w:history="1">
        <w:r w:rsidR="007537A8" w:rsidRPr="00E6008E">
          <w:rPr>
            <w:rStyle w:val="Hyperlink"/>
            <w:noProof/>
          </w:rPr>
          <w:t>IV. Klagebefugnis</w:t>
        </w:r>
        <w:r w:rsidR="007537A8">
          <w:rPr>
            <w:noProof/>
            <w:webHidden/>
          </w:rPr>
          <w:tab/>
        </w:r>
        <w:r w:rsidR="007537A8">
          <w:rPr>
            <w:noProof/>
            <w:webHidden/>
          </w:rPr>
          <w:fldChar w:fldCharType="begin"/>
        </w:r>
        <w:r w:rsidR="007537A8">
          <w:rPr>
            <w:noProof/>
            <w:webHidden/>
          </w:rPr>
          <w:instrText xml:space="preserve"> PAGEREF _Toc22133109 \h </w:instrText>
        </w:r>
        <w:r w:rsidR="007537A8">
          <w:rPr>
            <w:noProof/>
            <w:webHidden/>
          </w:rPr>
        </w:r>
        <w:r w:rsidR="007537A8">
          <w:rPr>
            <w:noProof/>
            <w:webHidden/>
          </w:rPr>
          <w:fldChar w:fldCharType="separate"/>
        </w:r>
        <w:r w:rsidR="007537A8">
          <w:rPr>
            <w:noProof/>
            <w:webHidden/>
          </w:rPr>
          <w:t>101</w:t>
        </w:r>
        <w:r w:rsidR="007537A8">
          <w:rPr>
            <w:noProof/>
            <w:webHidden/>
          </w:rPr>
          <w:fldChar w:fldCharType="end"/>
        </w:r>
      </w:hyperlink>
    </w:p>
    <w:p w14:paraId="5CDC7537" w14:textId="7E0DF367" w:rsidR="007537A8" w:rsidRDefault="00091FED">
      <w:pPr>
        <w:pStyle w:val="Verzeichnis5"/>
        <w:tabs>
          <w:tab w:val="right" w:leader="dot" w:pos="7361"/>
        </w:tabs>
        <w:rPr>
          <w:rFonts w:eastAsiaTheme="minorEastAsia"/>
          <w:noProof/>
          <w:sz w:val="22"/>
          <w:szCs w:val="22"/>
          <w:lang w:eastAsia="de-DE"/>
        </w:rPr>
      </w:pPr>
      <w:hyperlink w:anchor="_Toc22133110" w:history="1">
        <w:r w:rsidR="007537A8" w:rsidRPr="00E6008E">
          <w:rPr>
            <w:rStyle w:val="Hyperlink"/>
            <w:noProof/>
          </w:rPr>
          <w:t>V. Vorverfahren</w:t>
        </w:r>
        <w:r w:rsidR="007537A8">
          <w:rPr>
            <w:noProof/>
            <w:webHidden/>
          </w:rPr>
          <w:tab/>
        </w:r>
        <w:r w:rsidR="007537A8">
          <w:rPr>
            <w:noProof/>
            <w:webHidden/>
          </w:rPr>
          <w:fldChar w:fldCharType="begin"/>
        </w:r>
        <w:r w:rsidR="007537A8">
          <w:rPr>
            <w:noProof/>
            <w:webHidden/>
          </w:rPr>
          <w:instrText xml:space="preserve"> PAGEREF _Toc22133110 \h </w:instrText>
        </w:r>
        <w:r w:rsidR="007537A8">
          <w:rPr>
            <w:noProof/>
            <w:webHidden/>
          </w:rPr>
        </w:r>
        <w:r w:rsidR="007537A8">
          <w:rPr>
            <w:noProof/>
            <w:webHidden/>
          </w:rPr>
          <w:fldChar w:fldCharType="separate"/>
        </w:r>
        <w:r w:rsidR="007537A8">
          <w:rPr>
            <w:noProof/>
            <w:webHidden/>
          </w:rPr>
          <w:t>101</w:t>
        </w:r>
        <w:r w:rsidR="007537A8">
          <w:rPr>
            <w:noProof/>
            <w:webHidden/>
          </w:rPr>
          <w:fldChar w:fldCharType="end"/>
        </w:r>
      </w:hyperlink>
    </w:p>
    <w:p w14:paraId="1089AB08" w14:textId="403ABAD1" w:rsidR="007537A8" w:rsidRDefault="00091FED">
      <w:pPr>
        <w:pStyle w:val="Verzeichnis5"/>
        <w:tabs>
          <w:tab w:val="right" w:leader="dot" w:pos="7361"/>
        </w:tabs>
        <w:rPr>
          <w:rFonts w:eastAsiaTheme="minorEastAsia"/>
          <w:noProof/>
          <w:sz w:val="22"/>
          <w:szCs w:val="22"/>
          <w:lang w:eastAsia="de-DE"/>
        </w:rPr>
      </w:pPr>
      <w:hyperlink w:anchor="_Toc22133111" w:history="1">
        <w:r w:rsidR="007537A8" w:rsidRPr="00E6008E">
          <w:rPr>
            <w:rStyle w:val="Hyperlink"/>
            <w:noProof/>
          </w:rPr>
          <w:t>VI. Klagefrist</w:t>
        </w:r>
        <w:r w:rsidR="007537A8">
          <w:rPr>
            <w:noProof/>
            <w:webHidden/>
          </w:rPr>
          <w:tab/>
        </w:r>
        <w:r w:rsidR="007537A8">
          <w:rPr>
            <w:noProof/>
            <w:webHidden/>
          </w:rPr>
          <w:fldChar w:fldCharType="begin"/>
        </w:r>
        <w:r w:rsidR="007537A8">
          <w:rPr>
            <w:noProof/>
            <w:webHidden/>
          </w:rPr>
          <w:instrText xml:space="preserve"> PAGEREF _Toc22133111 \h </w:instrText>
        </w:r>
        <w:r w:rsidR="007537A8">
          <w:rPr>
            <w:noProof/>
            <w:webHidden/>
          </w:rPr>
        </w:r>
        <w:r w:rsidR="007537A8">
          <w:rPr>
            <w:noProof/>
            <w:webHidden/>
          </w:rPr>
          <w:fldChar w:fldCharType="separate"/>
        </w:r>
        <w:r w:rsidR="007537A8">
          <w:rPr>
            <w:noProof/>
            <w:webHidden/>
          </w:rPr>
          <w:t>102</w:t>
        </w:r>
        <w:r w:rsidR="007537A8">
          <w:rPr>
            <w:noProof/>
            <w:webHidden/>
          </w:rPr>
          <w:fldChar w:fldCharType="end"/>
        </w:r>
      </w:hyperlink>
    </w:p>
    <w:p w14:paraId="0C73028A" w14:textId="58594D4C" w:rsidR="007537A8" w:rsidRDefault="00091FED">
      <w:pPr>
        <w:pStyle w:val="Verzeichnis5"/>
        <w:tabs>
          <w:tab w:val="right" w:leader="dot" w:pos="7361"/>
        </w:tabs>
        <w:rPr>
          <w:rFonts w:eastAsiaTheme="minorEastAsia"/>
          <w:noProof/>
          <w:sz w:val="22"/>
          <w:szCs w:val="22"/>
          <w:lang w:eastAsia="de-DE"/>
        </w:rPr>
      </w:pPr>
      <w:hyperlink w:anchor="_Toc22133112" w:history="1">
        <w:r w:rsidR="007537A8" w:rsidRPr="00E6008E">
          <w:rPr>
            <w:rStyle w:val="Hyperlink"/>
            <w:noProof/>
          </w:rPr>
          <w:t>VII. Klagegegner</w:t>
        </w:r>
        <w:r w:rsidR="007537A8">
          <w:rPr>
            <w:noProof/>
            <w:webHidden/>
          </w:rPr>
          <w:tab/>
        </w:r>
        <w:r w:rsidR="007537A8">
          <w:rPr>
            <w:noProof/>
            <w:webHidden/>
          </w:rPr>
          <w:fldChar w:fldCharType="begin"/>
        </w:r>
        <w:r w:rsidR="007537A8">
          <w:rPr>
            <w:noProof/>
            <w:webHidden/>
          </w:rPr>
          <w:instrText xml:space="preserve"> PAGEREF _Toc22133112 \h </w:instrText>
        </w:r>
        <w:r w:rsidR="007537A8">
          <w:rPr>
            <w:noProof/>
            <w:webHidden/>
          </w:rPr>
        </w:r>
        <w:r w:rsidR="007537A8">
          <w:rPr>
            <w:noProof/>
            <w:webHidden/>
          </w:rPr>
          <w:fldChar w:fldCharType="separate"/>
        </w:r>
        <w:r w:rsidR="007537A8">
          <w:rPr>
            <w:noProof/>
            <w:webHidden/>
          </w:rPr>
          <w:t>102</w:t>
        </w:r>
        <w:r w:rsidR="007537A8">
          <w:rPr>
            <w:noProof/>
            <w:webHidden/>
          </w:rPr>
          <w:fldChar w:fldCharType="end"/>
        </w:r>
      </w:hyperlink>
    </w:p>
    <w:p w14:paraId="33351730" w14:textId="3EEE28FA" w:rsidR="007537A8" w:rsidRDefault="00091FED">
      <w:pPr>
        <w:pStyle w:val="Verzeichnis5"/>
        <w:tabs>
          <w:tab w:val="right" w:leader="dot" w:pos="7361"/>
        </w:tabs>
        <w:rPr>
          <w:rFonts w:eastAsiaTheme="minorEastAsia"/>
          <w:noProof/>
          <w:sz w:val="22"/>
          <w:szCs w:val="22"/>
          <w:lang w:eastAsia="de-DE"/>
        </w:rPr>
      </w:pPr>
      <w:hyperlink w:anchor="_Toc22133113" w:history="1">
        <w:r w:rsidR="007537A8" w:rsidRPr="00E6008E">
          <w:rPr>
            <w:rStyle w:val="Hyperlink"/>
            <w:noProof/>
          </w:rPr>
          <w:t>VIII. Beteiligten- und Prozessfähigkeit</w:t>
        </w:r>
        <w:r w:rsidR="007537A8">
          <w:rPr>
            <w:noProof/>
            <w:webHidden/>
          </w:rPr>
          <w:tab/>
        </w:r>
        <w:r w:rsidR="007537A8">
          <w:rPr>
            <w:noProof/>
            <w:webHidden/>
          </w:rPr>
          <w:fldChar w:fldCharType="begin"/>
        </w:r>
        <w:r w:rsidR="007537A8">
          <w:rPr>
            <w:noProof/>
            <w:webHidden/>
          </w:rPr>
          <w:instrText xml:space="preserve"> PAGEREF _Toc22133113 \h </w:instrText>
        </w:r>
        <w:r w:rsidR="007537A8">
          <w:rPr>
            <w:noProof/>
            <w:webHidden/>
          </w:rPr>
        </w:r>
        <w:r w:rsidR="007537A8">
          <w:rPr>
            <w:noProof/>
            <w:webHidden/>
          </w:rPr>
          <w:fldChar w:fldCharType="separate"/>
        </w:r>
        <w:r w:rsidR="007537A8">
          <w:rPr>
            <w:noProof/>
            <w:webHidden/>
          </w:rPr>
          <w:t>103</w:t>
        </w:r>
        <w:r w:rsidR="007537A8">
          <w:rPr>
            <w:noProof/>
            <w:webHidden/>
          </w:rPr>
          <w:fldChar w:fldCharType="end"/>
        </w:r>
      </w:hyperlink>
    </w:p>
    <w:p w14:paraId="16C768FA" w14:textId="0A048DA5" w:rsidR="007537A8" w:rsidRDefault="00091FED">
      <w:pPr>
        <w:pStyle w:val="Verzeichnis5"/>
        <w:tabs>
          <w:tab w:val="right" w:leader="dot" w:pos="7361"/>
        </w:tabs>
        <w:rPr>
          <w:rFonts w:eastAsiaTheme="minorEastAsia"/>
          <w:noProof/>
          <w:sz w:val="22"/>
          <w:szCs w:val="22"/>
          <w:lang w:eastAsia="de-DE"/>
        </w:rPr>
      </w:pPr>
      <w:hyperlink w:anchor="_Toc22133114" w:history="1">
        <w:r w:rsidR="007537A8" w:rsidRPr="00E6008E">
          <w:rPr>
            <w:rStyle w:val="Hyperlink"/>
            <w:noProof/>
          </w:rPr>
          <w:t>IX. Rechtsschutzbedürfnis</w:t>
        </w:r>
        <w:r w:rsidR="007537A8">
          <w:rPr>
            <w:noProof/>
            <w:webHidden/>
          </w:rPr>
          <w:tab/>
        </w:r>
        <w:r w:rsidR="007537A8">
          <w:rPr>
            <w:noProof/>
            <w:webHidden/>
          </w:rPr>
          <w:fldChar w:fldCharType="begin"/>
        </w:r>
        <w:r w:rsidR="007537A8">
          <w:rPr>
            <w:noProof/>
            <w:webHidden/>
          </w:rPr>
          <w:instrText xml:space="preserve"> PAGEREF _Toc22133114 \h </w:instrText>
        </w:r>
        <w:r w:rsidR="007537A8">
          <w:rPr>
            <w:noProof/>
            <w:webHidden/>
          </w:rPr>
        </w:r>
        <w:r w:rsidR="007537A8">
          <w:rPr>
            <w:noProof/>
            <w:webHidden/>
          </w:rPr>
          <w:fldChar w:fldCharType="separate"/>
        </w:r>
        <w:r w:rsidR="007537A8">
          <w:rPr>
            <w:noProof/>
            <w:webHidden/>
          </w:rPr>
          <w:t>103</w:t>
        </w:r>
        <w:r w:rsidR="007537A8">
          <w:rPr>
            <w:noProof/>
            <w:webHidden/>
          </w:rPr>
          <w:fldChar w:fldCharType="end"/>
        </w:r>
      </w:hyperlink>
    </w:p>
    <w:p w14:paraId="7B12FECE" w14:textId="487F0450" w:rsidR="007537A8" w:rsidRDefault="00091FED">
      <w:pPr>
        <w:pStyle w:val="Verzeichnis5"/>
        <w:tabs>
          <w:tab w:val="right" w:leader="dot" w:pos="7361"/>
        </w:tabs>
        <w:rPr>
          <w:rFonts w:eastAsiaTheme="minorEastAsia"/>
          <w:noProof/>
          <w:sz w:val="22"/>
          <w:szCs w:val="22"/>
          <w:lang w:eastAsia="de-DE"/>
        </w:rPr>
      </w:pPr>
      <w:hyperlink w:anchor="_Toc22133115" w:history="1">
        <w:r w:rsidR="007537A8" w:rsidRPr="00E6008E">
          <w:rPr>
            <w:rStyle w:val="Hyperlink"/>
            <w:noProof/>
          </w:rPr>
          <w:t>X. Zwischenergebnis</w:t>
        </w:r>
        <w:r w:rsidR="007537A8">
          <w:rPr>
            <w:noProof/>
            <w:webHidden/>
          </w:rPr>
          <w:tab/>
        </w:r>
        <w:r w:rsidR="007537A8">
          <w:rPr>
            <w:noProof/>
            <w:webHidden/>
          </w:rPr>
          <w:fldChar w:fldCharType="begin"/>
        </w:r>
        <w:r w:rsidR="007537A8">
          <w:rPr>
            <w:noProof/>
            <w:webHidden/>
          </w:rPr>
          <w:instrText xml:space="preserve"> PAGEREF _Toc22133115 \h </w:instrText>
        </w:r>
        <w:r w:rsidR="007537A8">
          <w:rPr>
            <w:noProof/>
            <w:webHidden/>
          </w:rPr>
        </w:r>
        <w:r w:rsidR="007537A8">
          <w:rPr>
            <w:noProof/>
            <w:webHidden/>
          </w:rPr>
          <w:fldChar w:fldCharType="separate"/>
        </w:r>
        <w:r w:rsidR="007537A8">
          <w:rPr>
            <w:noProof/>
            <w:webHidden/>
          </w:rPr>
          <w:t>103</w:t>
        </w:r>
        <w:r w:rsidR="007537A8">
          <w:rPr>
            <w:noProof/>
            <w:webHidden/>
          </w:rPr>
          <w:fldChar w:fldCharType="end"/>
        </w:r>
      </w:hyperlink>
    </w:p>
    <w:p w14:paraId="22C629B0" w14:textId="7DB00D4A" w:rsidR="007537A8" w:rsidRDefault="00091FED">
      <w:pPr>
        <w:pStyle w:val="Verzeichnis4"/>
        <w:tabs>
          <w:tab w:val="right" w:leader="dot" w:pos="7361"/>
        </w:tabs>
        <w:rPr>
          <w:rFonts w:eastAsiaTheme="minorEastAsia"/>
          <w:noProof/>
          <w:sz w:val="22"/>
          <w:szCs w:val="22"/>
          <w:lang w:eastAsia="de-DE"/>
        </w:rPr>
      </w:pPr>
      <w:hyperlink w:anchor="_Toc22133116" w:history="1">
        <w:r w:rsidR="007537A8" w:rsidRPr="00E6008E">
          <w:rPr>
            <w:rStyle w:val="Hyperlink"/>
            <w:noProof/>
          </w:rPr>
          <w:t>B. Begründetheit</w:t>
        </w:r>
        <w:r w:rsidR="007537A8">
          <w:rPr>
            <w:noProof/>
            <w:webHidden/>
          </w:rPr>
          <w:tab/>
        </w:r>
        <w:r w:rsidR="007537A8">
          <w:rPr>
            <w:noProof/>
            <w:webHidden/>
          </w:rPr>
          <w:fldChar w:fldCharType="begin"/>
        </w:r>
        <w:r w:rsidR="007537A8">
          <w:rPr>
            <w:noProof/>
            <w:webHidden/>
          </w:rPr>
          <w:instrText xml:space="preserve"> PAGEREF _Toc22133116 \h </w:instrText>
        </w:r>
        <w:r w:rsidR="007537A8">
          <w:rPr>
            <w:noProof/>
            <w:webHidden/>
          </w:rPr>
        </w:r>
        <w:r w:rsidR="007537A8">
          <w:rPr>
            <w:noProof/>
            <w:webHidden/>
          </w:rPr>
          <w:fldChar w:fldCharType="separate"/>
        </w:r>
        <w:r w:rsidR="007537A8">
          <w:rPr>
            <w:noProof/>
            <w:webHidden/>
          </w:rPr>
          <w:t>103</w:t>
        </w:r>
        <w:r w:rsidR="007537A8">
          <w:rPr>
            <w:noProof/>
            <w:webHidden/>
          </w:rPr>
          <w:fldChar w:fldCharType="end"/>
        </w:r>
      </w:hyperlink>
    </w:p>
    <w:p w14:paraId="2739FA5D" w14:textId="1EA5A4A4" w:rsidR="007537A8" w:rsidRDefault="00091FED">
      <w:pPr>
        <w:pStyle w:val="Verzeichnis5"/>
        <w:tabs>
          <w:tab w:val="right" w:leader="dot" w:pos="7361"/>
        </w:tabs>
        <w:rPr>
          <w:rFonts w:eastAsiaTheme="minorEastAsia"/>
          <w:noProof/>
          <w:sz w:val="22"/>
          <w:szCs w:val="22"/>
          <w:lang w:eastAsia="de-DE"/>
        </w:rPr>
      </w:pPr>
      <w:hyperlink w:anchor="_Toc22133117" w:history="1">
        <w:r w:rsidR="007537A8" w:rsidRPr="00E6008E">
          <w:rPr>
            <w:rStyle w:val="Hyperlink"/>
            <w:noProof/>
          </w:rPr>
          <w:t>I. Rechtswidrigkeit des Verwaltungsakts</w:t>
        </w:r>
        <w:r w:rsidR="007537A8">
          <w:rPr>
            <w:noProof/>
            <w:webHidden/>
          </w:rPr>
          <w:tab/>
        </w:r>
        <w:r w:rsidR="007537A8">
          <w:rPr>
            <w:noProof/>
            <w:webHidden/>
          </w:rPr>
          <w:fldChar w:fldCharType="begin"/>
        </w:r>
        <w:r w:rsidR="007537A8">
          <w:rPr>
            <w:noProof/>
            <w:webHidden/>
          </w:rPr>
          <w:instrText xml:space="preserve"> PAGEREF _Toc22133117 \h </w:instrText>
        </w:r>
        <w:r w:rsidR="007537A8">
          <w:rPr>
            <w:noProof/>
            <w:webHidden/>
          </w:rPr>
        </w:r>
        <w:r w:rsidR="007537A8">
          <w:rPr>
            <w:noProof/>
            <w:webHidden/>
          </w:rPr>
          <w:fldChar w:fldCharType="separate"/>
        </w:r>
        <w:r w:rsidR="007537A8">
          <w:rPr>
            <w:noProof/>
            <w:webHidden/>
          </w:rPr>
          <w:t>103</w:t>
        </w:r>
        <w:r w:rsidR="007537A8">
          <w:rPr>
            <w:noProof/>
            <w:webHidden/>
          </w:rPr>
          <w:fldChar w:fldCharType="end"/>
        </w:r>
      </w:hyperlink>
    </w:p>
    <w:p w14:paraId="764688D0" w14:textId="16094A3C" w:rsidR="007537A8" w:rsidRDefault="00091FED">
      <w:pPr>
        <w:pStyle w:val="Verzeichnis6"/>
        <w:tabs>
          <w:tab w:val="right" w:leader="dot" w:pos="7361"/>
        </w:tabs>
        <w:rPr>
          <w:noProof/>
          <w:sz w:val="22"/>
          <w:szCs w:val="22"/>
          <w:lang w:eastAsia="de-DE"/>
        </w:rPr>
      </w:pPr>
      <w:hyperlink w:anchor="_Toc22133118" w:history="1">
        <w:r w:rsidR="007537A8" w:rsidRPr="00E6008E">
          <w:rPr>
            <w:rStyle w:val="Hyperlink"/>
            <w:noProof/>
          </w:rPr>
          <w:t>1. Ermächtigungsgrundlage</w:t>
        </w:r>
        <w:r w:rsidR="007537A8">
          <w:rPr>
            <w:noProof/>
            <w:webHidden/>
          </w:rPr>
          <w:tab/>
        </w:r>
        <w:r w:rsidR="007537A8">
          <w:rPr>
            <w:noProof/>
            <w:webHidden/>
          </w:rPr>
          <w:fldChar w:fldCharType="begin"/>
        </w:r>
        <w:r w:rsidR="007537A8">
          <w:rPr>
            <w:noProof/>
            <w:webHidden/>
          </w:rPr>
          <w:instrText xml:space="preserve"> PAGEREF _Toc22133118 \h </w:instrText>
        </w:r>
        <w:r w:rsidR="007537A8">
          <w:rPr>
            <w:noProof/>
            <w:webHidden/>
          </w:rPr>
        </w:r>
        <w:r w:rsidR="007537A8">
          <w:rPr>
            <w:noProof/>
            <w:webHidden/>
          </w:rPr>
          <w:fldChar w:fldCharType="separate"/>
        </w:r>
        <w:r w:rsidR="007537A8">
          <w:rPr>
            <w:noProof/>
            <w:webHidden/>
          </w:rPr>
          <w:t>103</w:t>
        </w:r>
        <w:r w:rsidR="007537A8">
          <w:rPr>
            <w:noProof/>
            <w:webHidden/>
          </w:rPr>
          <w:fldChar w:fldCharType="end"/>
        </w:r>
      </w:hyperlink>
    </w:p>
    <w:p w14:paraId="0AFB9B43" w14:textId="03BFDEAB" w:rsidR="007537A8" w:rsidRDefault="00091FED">
      <w:pPr>
        <w:pStyle w:val="Verzeichnis7"/>
        <w:tabs>
          <w:tab w:val="right" w:leader="dot" w:pos="7361"/>
        </w:tabs>
        <w:rPr>
          <w:noProof/>
          <w:sz w:val="22"/>
          <w:szCs w:val="22"/>
          <w:lang w:eastAsia="de-DE"/>
        </w:rPr>
      </w:pPr>
      <w:hyperlink w:anchor="_Toc22133119" w:history="1">
        <w:r w:rsidR="007537A8" w:rsidRPr="00E6008E">
          <w:rPr>
            <w:rStyle w:val="Hyperlink"/>
            <w:noProof/>
          </w:rPr>
          <w:t>a) Sperrwirkung des VersG</w:t>
        </w:r>
        <w:r w:rsidR="007537A8">
          <w:rPr>
            <w:noProof/>
            <w:webHidden/>
          </w:rPr>
          <w:tab/>
        </w:r>
        <w:r w:rsidR="007537A8">
          <w:rPr>
            <w:noProof/>
            <w:webHidden/>
          </w:rPr>
          <w:fldChar w:fldCharType="begin"/>
        </w:r>
        <w:r w:rsidR="007537A8">
          <w:rPr>
            <w:noProof/>
            <w:webHidden/>
          </w:rPr>
          <w:instrText xml:space="preserve"> PAGEREF _Toc22133119 \h </w:instrText>
        </w:r>
        <w:r w:rsidR="007537A8">
          <w:rPr>
            <w:noProof/>
            <w:webHidden/>
          </w:rPr>
        </w:r>
        <w:r w:rsidR="007537A8">
          <w:rPr>
            <w:noProof/>
            <w:webHidden/>
          </w:rPr>
          <w:fldChar w:fldCharType="separate"/>
        </w:r>
        <w:r w:rsidR="007537A8">
          <w:rPr>
            <w:noProof/>
            <w:webHidden/>
          </w:rPr>
          <w:t>103</w:t>
        </w:r>
        <w:r w:rsidR="007537A8">
          <w:rPr>
            <w:noProof/>
            <w:webHidden/>
          </w:rPr>
          <w:fldChar w:fldCharType="end"/>
        </w:r>
      </w:hyperlink>
    </w:p>
    <w:p w14:paraId="71800B04" w14:textId="37C86365" w:rsidR="007537A8" w:rsidRDefault="00091FED">
      <w:pPr>
        <w:pStyle w:val="Verzeichnis8"/>
        <w:tabs>
          <w:tab w:val="right" w:leader="dot" w:pos="7361"/>
        </w:tabs>
        <w:rPr>
          <w:noProof/>
          <w:sz w:val="22"/>
          <w:szCs w:val="22"/>
          <w:lang w:eastAsia="de-DE"/>
        </w:rPr>
      </w:pPr>
      <w:hyperlink w:anchor="_Toc22133120" w:history="1">
        <w:r w:rsidR="007537A8" w:rsidRPr="00E6008E">
          <w:rPr>
            <w:rStyle w:val="Hyperlink"/>
            <w:noProof/>
          </w:rPr>
          <w:t>aa) Verfassungsmäßigkeit des VersG</w:t>
        </w:r>
        <w:r w:rsidR="007537A8">
          <w:rPr>
            <w:noProof/>
            <w:webHidden/>
          </w:rPr>
          <w:tab/>
        </w:r>
        <w:r w:rsidR="007537A8">
          <w:rPr>
            <w:noProof/>
            <w:webHidden/>
          </w:rPr>
          <w:fldChar w:fldCharType="begin"/>
        </w:r>
        <w:r w:rsidR="007537A8">
          <w:rPr>
            <w:noProof/>
            <w:webHidden/>
          </w:rPr>
          <w:instrText xml:space="preserve"> PAGEREF _Toc22133120 \h </w:instrText>
        </w:r>
        <w:r w:rsidR="007537A8">
          <w:rPr>
            <w:noProof/>
            <w:webHidden/>
          </w:rPr>
        </w:r>
        <w:r w:rsidR="007537A8">
          <w:rPr>
            <w:noProof/>
            <w:webHidden/>
          </w:rPr>
          <w:fldChar w:fldCharType="separate"/>
        </w:r>
        <w:r w:rsidR="007537A8">
          <w:rPr>
            <w:noProof/>
            <w:webHidden/>
          </w:rPr>
          <w:t>103</w:t>
        </w:r>
        <w:r w:rsidR="007537A8">
          <w:rPr>
            <w:noProof/>
            <w:webHidden/>
          </w:rPr>
          <w:fldChar w:fldCharType="end"/>
        </w:r>
      </w:hyperlink>
    </w:p>
    <w:p w14:paraId="583382B3" w14:textId="173A1D0A" w:rsidR="007537A8" w:rsidRDefault="00091FED">
      <w:pPr>
        <w:pStyle w:val="Verzeichnis8"/>
        <w:tabs>
          <w:tab w:val="right" w:leader="dot" w:pos="7361"/>
        </w:tabs>
        <w:rPr>
          <w:noProof/>
          <w:sz w:val="22"/>
          <w:szCs w:val="22"/>
          <w:lang w:eastAsia="de-DE"/>
        </w:rPr>
      </w:pPr>
      <w:hyperlink w:anchor="_Toc22133121" w:history="1">
        <w:r w:rsidR="007537A8" w:rsidRPr="00E6008E">
          <w:rPr>
            <w:rStyle w:val="Hyperlink"/>
            <w:noProof/>
          </w:rPr>
          <w:t>bb) Anwendungsbereich des VersG</w:t>
        </w:r>
        <w:r w:rsidR="007537A8">
          <w:rPr>
            <w:noProof/>
            <w:webHidden/>
          </w:rPr>
          <w:tab/>
        </w:r>
        <w:r w:rsidR="007537A8">
          <w:rPr>
            <w:noProof/>
            <w:webHidden/>
          </w:rPr>
          <w:fldChar w:fldCharType="begin"/>
        </w:r>
        <w:r w:rsidR="007537A8">
          <w:rPr>
            <w:noProof/>
            <w:webHidden/>
          </w:rPr>
          <w:instrText xml:space="preserve"> PAGEREF _Toc22133121 \h </w:instrText>
        </w:r>
        <w:r w:rsidR="007537A8">
          <w:rPr>
            <w:noProof/>
            <w:webHidden/>
          </w:rPr>
        </w:r>
        <w:r w:rsidR="007537A8">
          <w:rPr>
            <w:noProof/>
            <w:webHidden/>
          </w:rPr>
          <w:fldChar w:fldCharType="separate"/>
        </w:r>
        <w:r w:rsidR="007537A8">
          <w:rPr>
            <w:noProof/>
            <w:webHidden/>
          </w:rPr>
          <w:t>104</w:t>
        </w:r>
        <w:r w:rsidR="007537A8">
          <w:rPr>
            <w:noProof/>
            <w:webHidden/>
          </w:rPr>
          <w:fldChar w:fldCharType="end"/>
        </w:r>
      </w:hyperlink>
    </w:p>
    <w:p w14:paraId="4B29FCBF" w14:textId="5796A46D" w:rsidR="007537A8" w:rsidRDefault="00091FED">
      <w:pPr>
        <w:pStyle w:val="Verzeichnis8"/>
        <w:tabs>
          <w:tab w:val="right" w:leader="dot" w:pos="7361"/>
        </w:tabs>
        <w:rPr>
          <w:noProof/>
          <w:sz w:val="22"/>
          <w:szCs w:val="22"/>
          <w:lang w:eastAsia="de-DE"/>
        </w:rPr>
      </w:pPr>
      <w:hyperlink w:anchor="_Toc22133122" w:history="1">
        <w:r w:rsidR="007537A8" w:rsidRPr="00E6008E">
          <w:rPr>
            <w:rStyle w:val="Hyperlink"/>
            <w:noProof/>
          </w:rPr>
          <w:t>cc) Versammlungsausschluss</w:t>
        </w:r>
        <w:r w:rsidR="007537A8">
          <w:rPr>
            <w:noProof/>
            <w:webHidden/>
          </w:rPr>
          <w:tab/>
        </w:r>
        <w:r w:rsidR="007537A8">
          <w:rPr>
            <w:noProof/>
            <w:webHidden/>
          </w:rPr>
          <w:fldChar w:fldCharType="begin"/>
        </w:r>
        <w:r w:rsidR="007537A8">
          <w:rPr>
            <w:noProof/>
            <w:webHidden/>
          </w:rPr>
          <w:instrText xml:space="preserve"> PAGEREF _Toc22133122 \h </w:instrText>
        </w:r>
        <w:r w:rsidR="007537A8">
          <w:rPr>
            <w:noProof/>
            <w:webHidden/>
          </w:rPr>
        </w:r>
        <w:r w:rsidR="007537A8">
          <w:rPr>
            <w:noProof/>
            <w:webHidden/>
          </w:rPr>
          <w:fldChar w:fldCharType="separate"/>
        </w:r>
        <w:r w:rsidR="007537A8">
          <w:rPr>
            <w:noProof/>
            <w:webHidden/>
          </w:rPr>
          <w:t>104</w:t>
        </w:r>
        <w:r w:rsidR="007537A8">
          <w:rPr>
            <w:noProof/>
            <w:webHidden/>
          </w:rPr>
          <w:fldChar w:fldCharType="end"/>
        </w:r>
      </w:hyperlink>
    </w:p>
    <w:p w14:paraId="24D1FE8F" w14:textId="357083B1" w:rsidR="007537A8" w:rsidRDefault="00091FED">
      <w:pPr>
        <w:pStyle w:val="Verzeichnis8"/>
        <w:tabs>
          <w:tab w:val="right" w:leader="dot" w:pos="7361"/>
        </w:tabs>
        <w:rPr>
          <w:noProof/>
          <w:sz w:val="22"/>
          <w:szCs w:val="22"/>
          <w:lang w:eastAsia="de-DE"/>
        </w:rPr>
      </w:pPr>
      <w:hyperlink w:anchor="_Toc22133123" w:history="1">
        <w:r w:rsidR="007537A8" w:rsidRPr="00E6008E">
          <w:rPr>
            <w:rStyle w:val="Hyperlink"/>
            <w:noProof/>
          </w:rPr>
          <w:t>dd) Zwischenergebnis</w:t>
        </w:r>
        <w:r w:rsidR="007537A8">
          <w:rPr>
            <w:noProof/>
            <w:webHidden/>
          </w:rPr>
          <w:tab/>
        </w:r>
        <w:r w:rsidR="007537A8">
          <w:rPr>
            <w:noProof/>
            <w:webHidden/>
          </w:rPr>
          <w:fldChar w:fldCharType="begin"/>
        </w:r>
        <w:r w:rsidR="007537A8">
          <w:rPr>
            <w:noProof/>
            <w:webHidden/>
          </w:rPr>
          <w:instrText xml:space="preserve"> PAGEREF _Toc22133123 \h </w:instrText>
        </w:r>
        <w:r w:rsidR="007537A8">
          <w:rPr>
            <w:noProof/>
            <w:webHidden/>
          </w:rPr>
        </w:r>
        <w:r w:rsidR="007537A8">
          <w:rPr>
            <w:noProof/>
            <w:webHidden/>
          </w:rPr>
          <w:fldChar w:fldCharType="separate"/>
        </w:r>
        <w:r w:rsidR="007537A8">
          <w:rPr>
            <w:noProof/>
            <w:webHidden/>
          </w:rPr>
          <w:t>105</w:t>
        </w:r>
        <w:r w:rsidR="007537A8">
          <w:rPr>
            <w:noProof/>
            <w:webHidden/>
          </w:rPr>
          <w:fldChar w:fldCharType="end"/>
        </w:r>
      </w:hyperlink>
    </w:p>
    <w:p w14:paraId="271F7F41" w14:textId="044F9790" w:rsidR="007537A8" w:rsidRDefault="00091FED">
      <w:pPr>
        <w:pStyle w:val="Verzeichnis7"/>
        <w:tabs>
          <w:tab w:val="right" w:leader="dot" w:pos="7361"/>
        </w:tabs>
        <w:rPr>
          <w:noProof/>
          <w:sz w:val="22"/>
          <w:szCs w:val="22"/>
          <w:lang w:eastAsia="de-DE"/>
        </w:rPr>
      </w:pPr>
      <w:hyperlink w:anchor="_Toc22133124" w:history="1">
        <w:r w:rsidR="007537A8" w:rsidRPr="00E6008E">
          <w:rPr>
            <w:rStyle w:val="Hyperlink"/>
            <w:noProof/>
          </w:rPr>
          <w:t>b) Zulässigkeit von sog. Minusmaßnahmen</w:t>
        </w:r>
        <w:r w:rsidR="007537A8">
          <w:rPr>
            <w:noProof/>
            <w:webHidden/>
          </w:rPr>
          <w:tab/>
        </w:r>
        <w:r w:rsidR="007537A8">
          <w:rPr>
            <w:noProof/>
            <w:webHidden/>
          </w:rPr>
          <w:fldChar w:fldCharType="begin"/>
        </w:r>
        <w:r w:rsidR="007537A8">
          <w:rPr>
            <w:noProof/>
            <w:webHidden/>
          </w:rPr>
          <w:instrText xml:space="preserve"> PAGEREF _Toc22133124 \h </w:instrText>
        </w:r>
        <w:r w:rsidR="007537A8">
          <w:rPr>
            <w:noProof/>
            <w:webHidden/>
          </w:rPr>
        </w:r>
        <w:r w:rsidR="007537A8">
          <w:rPr>
            <w:noProof/>
            <w:webHidden/>
          </w:rPr>
          <w:fldChar w:fldCharType="separate"/>
        </w:r>
        <w:r w:rsidR="007537A8">
          <w:rPr>
            <w:noProof/>
            <w:webHidden/>
          </w:rPr>
          <w:t>105</w:t>
        </w:r>
        <w:r w:rsidR="007537A8">
          <w:rPr>
            <w:noProof/>
            <w:webHidden/>
          </w:rPr>
          <w:fldChar w:fldCharType="end"/>
        </w:r>
      </w:hyperlink>
    </w:p>
    <w:p w14:paraId="7E61A924" w14:textId="4834563D" w:rsidR="007537A8" w:rsidRDefault="00091FED">
      <w:pPr>
        <w:pStyle w:val="Verzeichnis7"/>
        <w:tabs>
          <w:tab w:val="right" w:leader="dot" w:pos="7361"/>
        </w:tabs>
        <w:rPr>
          <w:noProof/>
          <w:sz w:val="22"/>
          <w:szCs w:val="22"/>
          <w:lang w:eastAsia="de-DE"/>
        </w:rPr>
      </w:pPr>
      <w:hyperlink w:anchor="_Toc22133125" w:history="1">
        <w:r w:rsidR="007537A8" w:rsidRPr="00E6008E">
          <w:rPr>
            <w:rStyle w:val="Hyperlink"/>
            <w:noProof/>
          </w:rPr>
          <w:t>c) Ermächtigungsgrundlage für sog. Minusmaßnahmen</w:t>
        </w:r>
        <w:r w:rsidR="007537A8">
          <w:rPr>
            <w:noProof/>
            <w:webHidden/>
          </w:rPr>
          <w:tab/>
        </w:r>
        <w:r w:rsidR="007537A8">
          <w:rPr>
            <w:noProof/>
            <w:webHidden/>
          </w:rPr>
          <w:fldChar w:fldCharType="begin"/>
        </w:r>
        <w:r w:rsidR="007537A8">
          <w:rPr>
            <w:noProof/>
            <w:webHidden/>
          </w:rPr>
          <w:instrText xml:space="preserve"> PAGEREF _Toc22133125 \h </w:instrText>
        </w:r>
        <w:r w:rsidR="007537A8">
          <w:rPr>
            <w:noProof/>
            <w:webHidden/>
          </w:rPr>
        </w:r>
        <w:r w:rsidR="007537A8">
          <w:rPr>
            <w:noProof/>
            <w:webHidden/>
          </w:rPr>
          <w:fldChar w:fldCharType="separate"/>
        </w:r>
        <w:r w:rsidR="007537A8">
          <w:rPr>
            <w:noProof/>
            <w:webHidden/>
          </w:rPr>
          <w:t>106</w:t>
        </w:r>
        <w:r w:rsidR="007537A8">
          <w:rPr>
            <w:noProof/>
            <w:webHidden/>
          </w:rPr>
          <w:fldChar w:fldCharType="end"/>
        </w:r>
      </w:hyperlink>
    </w:p>
    <w:p w14:paraId="03A2C3B1" w14:textId="239BF670" w:rsidR="007537A8" w:rsidRDefault="00091FED">
      <w:pPr>
        <w:pStyle w:val="Verzeichnis8"/>
        <w:tabs>
          <w:tab w:val="right" w:leader="dot" w:pos="7361"/>
        </w:tabs>
        <w:rPr>
          <w:noProof/>
          <w:sz w:val="22"/>
          <w:szCs w:val="22"/>
          <w:lang w:eastAsia="de-DE"/>
        </w:rPr>
      </w:pPr>
      <w:hyperlink w:anchor="_Toc22133126" w:history="1">
        <w:r w:rsidR="007537A8" w:rsidRPr="00E6008E">
          <w:rPr>
            <w:rStyle w:val="Hyperlink"/>
            <w:noProof/>
          </w:rPr>
          <w:t>aa) Meinung 1: § 15 I VersG</w:t>
        </w:r>
        <w:r w:rsidR="007537A8">
          <w:rPr>
            <w:noProof/>
            <w:webHidden/>
          </w:rPr>
          <w:tab/>
        </w:r>
        <w:r w:rsidR="007537A8">
          <w:rPr>
            <w:noProof/>
            <w:webHidden/>
          </w:rPr>
          <w:fldChar w:fldCharType="begin"/>
        </w:r>
        <w:r w:rsidR="007537A8">
          <w:rPr>
            <w:noProof/>
            <w:webHidden/>
          </w:rPr>
          <w:instrText xml:space="preserve"> PAGEREF _Toc22133126 \h </w:instrText>
        </w:r>
        <w:r w:rsidR="007537A8">
          <w:rPr>
            <w:noProof/>
            <w:webHidden/>
          </w:rPr>
        </w:r>
        <w:r w:rsidR="007537A8">
          <w:rPr>
            <w:noProof/>
            <w:webHidden/>
          </w:rPr>
          <w:fldChar w:fldCharType="separate"/>
        </w:r>
        <w:r w:rsidR="007537A8">
          <w:rPr>
            <w:noProof/>
            <w:webHidden/>
          </w:rPr>
          <w:t>106</w:t>
        </w:r>
        <w:r w:rsidR="007537A8">
          <w:rPr>
            <w:noProof/>
            <w:webHidden/>
          </w:rPr>
          <w:fldChar w:fldCharType="end"/>
        </w:r>
      </w:hyperlink>
    </w:p>
    <w:p w14:paraId="163A0949" w14:textId="792C8E55" w:rsidR="007537A8" w:rsidRDefault="00091FED">
      <w:pPr>
        <w:pStyle w:val="Verzeichnis8"/>
        <w:tabs>
          <w:tab w:val="right" w:leader="dot" w:pos="7361"/>
        </w:tabs>
        <w:rPr>
          <w:noProof/>
          <w:sz w:val="22"/>
          <w:szCs w:val="22"/>
          <w:lang w:eastAsia="de-DE"/>
        </w:rPr>
      </w:pPr>
      <w:hyperlink w:anchor="_Toc22133127" w:history="1">
        <w:r w:rsidR="007537A8" w:rsidRPr="00E6008E">
          <w:rPr>
            <w:rStyle w:val="Hyperlink"/>
            <w:noProof/>
          </w:rPr>
          <w:t>bb) Meinung 2: § 15 III VersG</w:t>
        </w:r>
        <w:r w:rsidR="007537A8">
          <w:rPr>
            <w:noProof/>
            <w:webHidden/>
          </w:rPr>
          <w:tab/>
        </w:r>
        <w:r w:rsidR="007537A8">
          <w:rPr>
            <w:noProof/>
            <w:webHidden/>
          </w:rPr>
          <w:fldChar w:fldCharType="begin"/>
        </w:r>
        <w:r w:rsidR="007537A8">
          <w:rPr>
            <w:noProof/>
            <w:webHidden/>
          </w:rPr>
          <w:instrText xml:space="preserve"> PAGEREF _Toc22133127 \h </w:instrText>
        </w:r>
        <w:r w:rsidR="007537A8">
          <w:rPr>
            <w:noProof/>
            <w:webHidden/>
          </w:rPr>
        </w:r>
        <w:r w:rsidR="007537A8">
          <w:rPr>
            <w:noProof/>
            <w:webHidden/>
          </w:rPr>
          <w:fldChar w:fldCharType="separate"/>
        </w:r>
        <w:r w:rsidR="007537A8">
          <w:rPr>
            <w:noProof/>
            <w:webHidden/>
          </w:rPr>
          <w:t>106</w:t>
        </w:r>
        <w:r w:rsidR="007537A8">
          <w:rPr>
            <w:noProof/>
            <w:webHidden/>
          </w:rPr>
          <w:fldChar w:fldCharType="end"/>
        </w:r>
      </w:hyperlink>
    </w:p>
    <w:p w14:paraId="4B8300E6" w14:textId="7FD50D70" w:rsidR="007537A8" w:rsidRDefault="00091FED">
      <w:pPr>
        <w:pStyle w:val="Verzeichnis8"/>
        <w:tabs>
          <w:tab w:val="right" w:leader="dot" w:pos="7361"/>
        </w:tabs>
        <w:rPr>
          <w:noProof/>
          <w:sz w:val="22"/>
          <w:szCs w:val="22"/>
          <w:lang w:eastAsia="de-DE"/>
        </w:rPr>
      </w:pPr>
      <w:hyperlink w:anchor="_Toc22133128" w:history="1">
        <w:r w:rsidR="007537A8" w:rsidRPr="00E6008E">
          <w:rPr>
            <w:rStyle w:val="Hyperlink"/>
            <w:noProof/>
          </w:rPr>
          <w:t>cc) Meinung 3: § 15 III 3 i.V.m. § 15 I VersG</w:t>
        </w:r>
        <w:r w:rsidR="007537A8">
          <w:rPr>
            <w:noProof/>
            <w:webHidden/>
          </w:rPr>
          <w:tab/>
        </w:r>
        <w:r w:rsidR="007537A8">
          <w:rPr>
            <w:noProof/>
            <w:webHidden/>
          </w:rPr>
          <w:fldChar w:fldCharType="begin"/>
        </w:r>
        <w:r w:rsidR="007537A8">
          <w:rPr>
            <w:noProof/>
            <w:webHidden/>
          </w:rPr>
          <w:instrText xml:space="preserve"> PAGEREF _Toc22133128 \h </w:instrText>
        </w:r>
        <w:r w:rsidR="007537A8">
          <w:rPr>
            <w:noProof/>
            <w:webHidden/>
          </w:rPr>
        </w:r>
        <w:r w:rsidR="007537A8">
          <w:rPr>
            <w:noProof/>
            <w:webHidden/>
          </w:rPr>
          <w:fldChar w:fldCharType="separate"/>
        </w:r>
        <w:r w:rsidR="007537A8">
          <w:rPr>
            <w:noProof/>
            <w:webHidden/>
          </w:rPr>
          <w:t>106</w:t>
        </w:r>
        <w:r w:rsidR="007537A8">
          <w:rPr>
            <w:noProof/>
            <w:webHidden/>
          </w:rPr>
          <w:fldChar w:fldCharType="end"/>
        </w:r>
      </w:hyperlink>
    </w:p>
    <w:p w14:paraId="7BC6470D" w14:textId="75042DB3" w:rsidR="007537A8" w:rsidRDefault="00091FED">
      <w:pPr>
        <w:pStyle w:val="Verzeichnis7"/>
        <w:tabs>
          <w:tab w:val="right" w:leader="dot" w:pos="7361"/>
        </w:tabs>
        <w:rPr>
          <w:noProof/>
          <w:sz w:val="22"/>
          <w:szCs w:val="22"/>
          <w:lang w:eastAsia="de-DE"/>
        </w:rPr>
      </w:pPr>
      <w:hyperlink w:anchor="_Toc22133129" w:history="1">
        <w:r w:rsidR="007537A8" w:rsidRPr="00E6008E">
          <w:rPr>
            <w:rStyle w:val="Hyperlink"/>
            <w:noProof/>
          </w:rPr>
          <w:t>d) Zwischenergebnis</w:t>
        </w:r>
        <w:r w:rsidR="007537A8">
          <w:rPr>
            <w:noProof/>
            <w:webHidden/>
          </w:rPr>
          <w:tab/>
        </w:r>
        <w:r w:rsidR="007537A8">
          <w:rPr>
            <w:noProof/>
            <w:webHidden/>
          </w:rPr>
          <w:fldChar w:fldCharType="begin"/>
        </w:r>
        <w:r w:rsidR="007537A8">
          <w:rPr>
            <w:noProof/>
            <w:webHidden/>
          </w:rPr>
          <w:instrText xml:space="preserve"> PAGEREF _Toc22133129 \h </w:instrText>
        </w:r>
        <w:r w:rsidR="007537A8">
          <w:rPr>
            <w:noProof/>
            <w:webHidden/>
          </w:rPr>
        </w:r>
        <w:r w:rsidR="007537A8">
          <w:rPr>
            <w:noProof/>
            <w:webHidden/>
          </w:rPr>
          <w:fldChar w:fldCharType="separate"/>
        </w:r>
        <w:r w:rsidR="007537A8">
          <w:rPr>
            <w:noProof/>
            <w:webHidden/>
          </w:rPr>
          <w:t>107</w:t>
        </w:r>
        <w:r w:rsidR="007537A8">
          <w:rPr>
            <w:noProof/>
            <w:webHidden/>
          </w:rPr>
          <w:fldChar w:fldCharType="end"/>
        </w:r>
      </w:hyperlink>
    </w:p>
    <w:p w14:paraId="00A0B337" w14:textId="455329A3" w:rsidR="007537A8" w:rsidRDefault="00091FED">
      <w:pPr>
        <w:pStyle w:val="Verzeichnis6"/>
        <w:tabs>
          <w:tab w:val="right" w:leader="dot" w:pos="7361"/>
        </w:tabs>
        <w:rPr>
          <w:noProof/>
          <w:sz w:val="22"/>
          <w:szCs w:val="22"/>
          <w:lang w:eastAsia="de-DE"/>
        </w:rPr>
      </w:pPr>
      <w:hyperlink w:anchor="_Toc22133130" w:history="1">
        <w:r w:rsidR="007537A8" w:rsidRPr="00E6008E">
          <w:rPr>
            <w:rStyle w:val="Hyperlink"/>
            <w:noProof/>
          </w:rPr>
          <w:t>2. Formelle Rechtmäßigkeit</w:t>
        </w:r>
        <w:r w:rsidR="007537A8">
          <w:rPr>
            <w:noProof/>
            <w:webHidden/>
          </w:rPr>
          <w:tab/>
        </w:r>
        <w:r w:rsidR="007537A8">
          <w:rPr>
            <w:noProof/>
            <w:webHidden/>
          </w:rPr>
          <w:fldChar w:fldCharType="begin"/>
        </w:r>
        <w:r w:rsidR="007537A8">
          <w:rPr>
            <w:noProof/>
            <w:webHidden/>
          </w:rPr>
          <w:instrText xml:space="preserve"> PAGEREF _Toc22133130 \h </w:instrText>
        </w:r>
        <w:r w:rsidR="007537A8">
          <w:rPr>
            <w:noProof/>
            <w:webHidden/>
          </w:rPr>
        </w:r>
        <w:r w:rsidR="007537A8">
          <w:rPr>
            <w:noProof/>
            <w:webHidden/>
          </w:rPr>
          <w:fldChar w:fldCharType="separate"/>
        </w:r>
        <w:r w:rsidR="007537A8">
          <w:rPr>
            <w:noProof/>
            <w:webHidden/>
          </w:rPr>
          <w:t>107</w:t>
        </w:r>
        <w:r w:rsidR="007537A8">
          <w:rPr>
            <w:noProof/>
            <w:webHidden/>
          </w:rPr>
          <w:fldChar w:fldCharType="end"/>
        </w:r>
      </w:hyperlink>
    </w:p>
    <w:p w14:paraId="3007F144" w14:textId="45EDB018" w:rsidR="007537A8" w:rsidRDefault="00091FED">
      <w:pPr>
        <w:pStyle w:val="Verzeichnis7"/>
        <w:tabs>
          <w:tab w:val="right" w:leader="dot" w:pos="7361"/>
        </w:tabs>
        <w:rPr>
          <w:noProof/>
          <w:sz w:val="22"/>
          <w:szCs w:val="22"/>
          <w:lang w:eastAsia="de-DE"/>
        </w:rPr>
      </w:pPr>
      <w:hyperlink w:anchor="_Toc22133131" w:history="1">
        <w:r w:rsidR="007537A8" w:rsidRPr="00E6008E">
          <w:rPr>
            <w:rStyle w:val="Hyperlink"/>
            <w:noProof/>
          </w:rPr>
          <w:t>a) Zuständigkeit</w:t>
        </w:r>
        <w:r w:rsidR="007537A8">
          <w:rPr>
            <w:noProof/>
            <w:webHidden/>
          </w:rPr>
          <w:tab/>
        </w:r>
        <w:r w:rsidR="007537A8">
          <w:rPr>
            <w:noProof/>
            <w:webHidden/>
          </w:rPr>
          <w:fldChar w:fldCharType="begin"/>
        </w:r>
        <w:r w:rsidR="007537A8">
          <w:rPr>
            <w:noProof/>
            <w:webHidden/>
          </w:rPr>
          <w:instrText xml:space="preserve"> PAGEREF _Toc22133131 \h </w:instrText>
        </w:r>
        <w:r w:rsidR="007537A8">
          <w:rPr>
            <w:noProof/>
            <w:webHidden/>
          </w:rPr>
        </w:r>
        <w:r w:rsidR="007537A8">
          <w:rPr>
            <w:noProof/>
            <w:webHidden/>
          </w:rPr>
          <w:fldChar w:fldCharType="separate"/>
        </w:r>
        <w:r w:rsidR="007537A8">
          <w:rPr>
            <w:noProof/>
            <w:webHidden/>
          </w:rPr>
          <w:t>107</w:t>
        </w:r>
        <w:r w:rsidR="007537A8">
          <w:rPr>
            <w:noProof/>
            <w:webHidden/>
          </w:rPr>
          <w:fldChar w:fldCharType="end"/>
        </w:r>
      </w:hyperlink>
    </w:p>
    <w:p w14:paraId="3BBF7E98" w14:textId="35439FB5" w:rsidR="007537A8" w:rsidRDefault="00091FED">
      <w:pPr>
        <w:pStyle w:val="Verzeichnis7"/>
        <w:tabs>
          <w:tab w:val="right" w:leader="dot" w:pos="7361"/>
        </w:tabs>
        <w:rPr>
          <w:noProof/>
          <w:sz w:val="22"/>
          <w:szCs w:val="22"/>
          <w:lang w:eastAsia="de-DE"/>
        </w:rPr>
      </w:pPr>
      <w:hyperlink w:anchor="_Toc22133132" w:history="1">
        <w:r w:rsidR="007537A8" w:rsidRPr="00E6008E">
          <w:rPr>
            <w:rStyle w:val="Hyperlink"/>
            <w:noProof/>
          </w:rPr>
          <w:t>b) Verfahren</w:t>
        </w:r>
        <w:r w:rsidR="007537A8">
          <w:rPr>
            <w:noProof/>
            <w:webHidden/>
          </w:rPr>
          <w:tab/>
        </w:r>
        <w:r w:rsidR="007537A8">
          <w:rPr>
            <w:noProof/>
            <w:webHidden/>
          </w:rPr>
          <w:fldChar w:fldCharType="begin"/>
        </w:r>
        <w:r w:rsidR="007537A8">
          <w:rPr>
            <w:noProof/>
            <w:webHidden/>
          </w:rPr>
          <w:instrText xml:space="preserve"> PAGEREF _Toc22133132 \h </w:instrText>
        </w:r>
        <w:r w:rsidR="007537A8">
          <w:rPr>
            <w:noProof/>
            <w:webHidden/>
          </w:rPr>
        </w:r>
        <w:r w:rsidR="007537A8">
          <w:rPr>
            <w:noProof/>
            <w:webHidden/>
          </w:rPr>
          <w:fldChar w:fldCharType="separate"/>
        </w:r>
        <w:r w:rsidR="007537A8">
          <w:rPr>
            <w:noProof/>
            <w:webHidden/>
          </w:rPr>
          <w:t>107</w:t>
        </w:r>
        <w:r w:rsidR="007537A8">
          <w:rPr>
            <w:noProof/>
            <w:webHidden/>
          </w:rPr>
          <w:fldChar w:fldCharType="end"/>
        </w:r>
      </w:hyperlink>
    </w:p>
    <w:p w14:paraId="3C6857BC" w14:textId="4AAC2D97" w:rsidR="007537A8" w:rsidRDefault="00091FED">
      <w:pPr>
        <w:pStyle w:val="Verzeichnis7"/>
        <w:tabs>
          <w:tab w:val="right" w:leader="dot" w:pos="7361"/>
        </w:tabs>
        <w:rPr>
          <w:noProof/>
          <w:sz w:val="22"/>
          <w:szCs w:val="22"/>
          <w:lang w:eastAsia="de-DE"/>
        </w:rPr>
      </w:pPr>
      <w:hyperlink w:anchor="_Toc22133133" w:history="1">
        <w:r w:rsidR="007537A8" w:rsidRPr="00E6008E">
          <w:rPr>
            <w:rStyle w:val="Hyperlink"/>
            <w:noProof/>
          </w:rPr>
          <w:t>c) Form</w:t>
        </w:r>
        <w:r w:rsidR="007537A8">
          <w:rPr>
            <w:noProof/>
            <w:webHidden/>
          </w:rPr>
          <w:tab/>
        </w:r>
        <w:r w:rsidR="007537A8">
          <w:rPr>
            <w:noProof/>
            <w:webHidden/>
          </w:rPr>
          <w:fldChar w:fldCharType="begin"/>
        </w:r>
        <w:r w:rsidR="007537A8">
          <w:rPr>
            <w:noProof/>
            <w:webHidden/>
          </w:rPr>
          <w:instrText xml:space="preserve"> PAGEREF _Toc22133133 \h </w:instrText>
        </w:r>
        <w:r w:rsidR="007537A8">
          <w:rPr>
            <w:noProof/>
            <w:webHidden/>
          </w:rPr>
        </w:r>
        <w:r w:rsidR="007537A8">
          <w:rPr>
            <w:noProof/>
            <w:webHidden/>
          </w:rPr>
          <w:fldChar w:fldCharType="separate"/>
        </w:r>
        <w:r w:rsidR="007537A8">
          <w:rPr>
            <w:noProof/>
            <w:webHidden/>
          </w:rPr>
          <w:t>107</w:t>
        </w:r>
        <w:r w:rsidR="007537A8">
          <w:rPr>
            <w:noProof/>
            <w:webHidden/>
          </w:rPr>
          <w:fldChar w:fldCharType="end"/>
        </w:r>
      </w:hyperlink>
    </w:p>
    <w:p w14:paraId="09FAA69C" w14:textId="25AC73BF" w:rsidR="007537A8" w:rsidRDefault="00091FED">
      <w:pPr>
        <w:pStyle w:val="Verzeichnis7"/>
        <w:tabs>
          <w:tab w:val="right" w:leader="dot" w:pos="7361"/>
        </w:tabs>
        <w:rPr>
          <w:noProof/>
          <w:sz w:val="22"/>
          <w:szCs w:val="22"/>
          <w:lang w:eastAsia="de-DE"/>
        </w:rPr>
      </w:pPr>
      <w:hyperlink w:anchor="_Toc22133134" w:history="1">
        <w:r w:rsidR="007537A8" w:rsidRPr="00E6008E">
          <w:rPr>
            <w:rStyle w:val="Hyperlink"/>
            <w:noProof/>
          </w:rPr>
          <w:t>d) Zwischenergebnis</w:t>
        </w:r>
        <w:r w:rsidR="007537A8">
          <w:rPr>
            <w:noProof/>
            <w:webHidden/>
          </w:rPr>
          <w:tab/>
        </w:r>
        <w:r w:rsidR="007537A8">
          <w:rPr>
            <w:noProof/>
            <w:webHidden/>
          </w:rPr>
          <w:fldChar w:fldCharType="begin"/>
        </w:r>
        <w:r w:rsidR="007537A8">
          <w:rPr>
            <w:noProof/>
            <w:webHidden/>
          </w:rPr>
          <w:instrText xml:space="preserve"> PAGEREF _Toc22133134 \h </w:instrText>
        </w:r>
        <w:r w:rsidR="007537A8">
          <w:rPr>
            <w:noProof/>
            <w:webHidden/>
          </w:rPr>
        </w:r>
        <w:r w:rsidR="007537A8">
          <w:rPr>
            <w:noProof/>
            <w:webHidden/>
          </w:rPr>
          <w:fldChar w:fldCharType="separate"/>
        </w:r>
        <w:r w:rsidR="007537A8">
          <w:rPr>
            <w:noProof/>
            <w:webHidden/>
          </w:rPr>
          <w:t>107</w:t>
        </w:r>
        <w:r w:rsidR="007537A8">
          <w:rPr>
            <w:noProof/>
            <w:webHidden/>
          </w:rPr>
          <w:fldChar w:fldCharType="end"/>
        </w:r>
      </w:hyperlink>
    </w:p>
    <w:p w14:paraId="6FD663F1" w14:textId="522DCE82" w:rsidR="007537A8" w:rsidRDefault="00091FED">
      <w:pPr>
        <w:pStyle w:val="Verzeichnis6"/>
        <w:tabs>
          <w:tab w:val="right" w:leader="dot" w:pos="7361"/>
        </w:tabs>
        <w:rPr>
          <w:noProof/>
          <w:sz w:val="22"/>
          <w:szCs w:val="22"/>
          <w:lang w:eastAsia="de-DE"/>
        </w:rPr>
      </w:pPr>
      <w:hyperlink w:anchor="_Toc22133135" w:history="1">
        <w:r w:rsidR="007537A8" w:rsidRPr="00E6008E">
          <w:rPr>
            <w:rStyle w:val="Hyperlink"/>
            <w:noProof/>
          </w:rPr>
          <w:t>3. Materielle Rechtmäßigkeit</w:t>
        </w:r>
        <w:r w:rsidR="007537A8">
          <w:rPr>
            <w:noProof/>
            <w:webHidden/>
          </w:rPr>
          <w:tab/>
        </w:r>
        <w:r w:rsidR="007537A8">
          <w:rPr>
            <w:noProof/>
            <w:webHidden/>
          </w:rPr>
          <w:fldChar w:fldCharType="begin"/>
        </w:r>
        <w:r w:rsidR="007537A8">
          <w:rPr>
            <w:noProof/>
            <w:webHidden/>
          </w:rPr>
          <w:instrText xml:space="preserve"> PAGEREF _Toc22133135 \h </w:instrText>
        </w:r>
        <w:r w:rsidR="007537A8">
          <w:rPr>
            <w:noProof/>
            <w:webHidden/>
          </w:rPr>
        </w:r>
        <w:r w:rsidR="007537A8">
          <w:rPr>
            <w:noProof/>
            <w:webHidden/>
          </w:rPr>
          <w:fldChar w:fldCharType="separate"/>
        </w:r>
        <w:r w:rsidR="007537A8">
          <w:rPr>
            <w:noProof/>
            <w:webHidden/>
          </w:rPr>
          <w:t>107</w:t>
        </w:r>
        <w:r w:rsidR="007537A8">
          <w:rPr>
            <w:noProof/>
            <w:webHidden/>
          </w:rPr>
          <w:fldChar w:fldCharType="end"/>
        </w:r>
      </w:hyperlink>
    </w:p>
    <w:p w14:paraId="0EC51A60" w14:textId="01EAE0E7" w:rsidR="007537A8" w:rsidRDefault="00091FED">
      <w:pPr>
        <w:pStyle w:val="Verzeichnis7"/>
        <w:tabs>
          <w:tab w:val="right" w:leader="dot" w:pos="7361"/>
        </w:tabs>
        <w:rPr>
          <w:noProof/>
          <w:sz w:val="22"/>
          <w:szCs w:val="22"/>
          <w:lang w:eastAsia="de-DE"/>
        </w:rPr>
      </w:pPr>
      <w:hyperlink w:anchor="_Toc22133136" w:history="1">
        <w:r w:rsidR="007537A8" w:rsidRPr="00E6008E">
          <w:rPr>
            <w:rStyle w:val="Hyperlink"/>
            <w:noProof/>
          </w:rPr>
          <w:t>a) Tatbestand</w:t>
        </w:r>
        <w:r w:rsidR="007537A8">
          <w:rPr>
            <w:noProof/>
            <w:webHidden/>
          </w:rPr>
          <w:tab/>
        </w:r>
        <w:r w:rsidR="007537A8">
          <w:rPr>
            <w:noProof/>
            <w:webHidden/>
          </w:rPr>
          <w:fldChar w:fldCharType="begin"/>
        </w:r>
        <w:r w:rsidR="007537A8">
          <w:rPr>
            <w:noProof/>
            <w:webHidden/>
          </w:rPr>
          <w:instrText xml:space="preserve"> PAGEREF _Toc22133136 \h </w:instrText>
        </w:r>
        <w:r w:rsidR="007537A8">
          <w:rPr>
            <w:noProof/>
            <w:webHidden/>
          </w:rPr>
        </w:r>
        <w:r w:rsidR="007537A8">
          <w:rPr>
            <w:noProof/>
            <w:webHidden/>
          </w:rPr>
          <w:fldChar w:fldCharType="separate"/>
        </w:r>
        <w:r w:rsidR="007537A8">
          <w:rPr>
            <w:noProof/>
            <w:webHidden/>
          </w:rPr>
          <w:t>108</w:t>
        </w:r>
        <w:r w:rsidR="007537A8">
          <w:rPr>
            <w:noProof/>
            <w:webHidden/>
          </w:rPr>
          <w:fldChar w:fldCharType="end"/>
        </w:r>
      </w:hyperlink>
    </w:p>
    <w:p w14:paraId="3A91983C" w14:textId="5D63A0B0" w:rsidR="007537A8" w:rsidRDefault="00091FED">
      <w:pPr>
        <w:pStyle w:val="Verzeichnis8"/>
        <w:tabs>
          <w:tab w:val="right" w:leader="dot" w:pos="7361"/>
        </w:tabs>
        <w:rPr>
          <w:noProof/>
          <w:sz w:val="22"/>
          <w:szCs w:val="22"/>
          <w:lang w:eastAsia="de-DE"/>
        </w:rPr>
      </w:pPr>
      <w:hyperlink w:anchor="_Toc22133137" w:history="1">
        <w:r w:rsidR="007537A8" w:rsidRPr="00E6008E">
          <w:rPr>
            <w:rStyle w:val="Hyperlink"/>
            <w:noProof/>
          </w:rPr>
          <w:t>aa) Tatbestand des § 42a I Nr. 1 WaffG</w:t>
        </w:r>
        <w:r w:rsidR="007537A8">
          <w:rPr>
            <w:noProof/>
            <w:webHidden/>
          </w:rPr>
          <w:tab/>
        </w:r>
        <w:r w:rsidR="007537A8">
          <w:rPr>
            <w:noProof/>
            <w:webHidden/>
          </w:rPr>
          <w:fldChar w:fldCharType="begin"/>
        </w:r>
        <w:r w:rsidR="007537A8">
          <w:rPr>
            <w:noProof/>
            <w:webHidden/>
          </w:rPr>
          <w:instrText xml:space="preserve"> PAGEREF _Toc22133137 \h </w:instrText>
        </w:r>
        <w:r w:rsidR="007537A8">
          <w:rPr>
            <w:noProof/>
            <w:webHidden/>
          </w:rPr>
        </w:r>
        <w:r w:rsidR="007537A8">
          <w:rPr>
            <w:noProof/>
            <w:webHidden/>
          </w:rPr>
          <w:fldChar w:fldCharType="separate"/>
        </w:r>
        <w:r w:rsidR="007537A8">
          <w:rPr>
            <w:noProof/>
            <w:webHidden/>
          </w:rPr>
          <w:t>108</w:t>
        </w:r>
        <w:r w:rsidR="007537A8">
          <w:rPr>
            <w:noProof/>
            <w:webHidden/>
          </w:rPr>
          <w:fldChar w:fldCharType="end"/>
        </w:r>
      </w:hyperlink>
    </w:p>
    <w:p w14:paraId="7E8A1AF2" w14:textId="5FCC1995" w:rsidR="007537A8" w:rsidRDefault="00091FED">
      <w:pPr>
        <w:pStyle w:val="Verzeichnis8"/>
        <w:tabs>
          <w:tab w:val="right" w:leader="dot" w:pos="7361"/>
        </w:tabs>
        <w:rPr>
          <w:noProof/>
          <w:sz w:val="22"/>
          <w:szCs w:val="22"/>
          <w:lang w:eastAsia="de-DE"/>
        </w:rPr>
      </w:pPr>
      <w:hyperlink w:anchor="_Toc22133138" w:history="1">
        <w:r w:rsidR="007537A8" w:rsidRPr="00E6008E">
          <w:rPr>
            <w:rStyle w:val="Hyperlink"/>
            <w:noProof/>
          </w:rPr>
          <w:t>bb) Ausnahme nach § 42a II WaffG</w:t>
        </w:r>
        <w:r w:rsidR="007537A8">
          <w:rPr>
            <w:noProof/>
            <w:webHidden/>
          </w:rPr>
          <w:tab/>
        </w:r>
        <w:r w:rsidR="007537A8">
          <w:rPr>
            <w:noProof/>
            <w:webHidden/>
          </w:rPr>
          <w:fldChar w:fldCharType="begin"/>
        </w:r>
        <w:r w:rsidR="007537A8">
          <w:rPr>
            <w:noProof/>
            <w:webHidden/>
          </w:rPr>
          <w:instrText xml:space="preserve"> PAGEREF _Toc22133138 \h </w:instrText>
        </w:r>
        <w:r w:rsidR="007537A8">
          <w:rPr>
            <w:noProof/>
            <w:webHidden/>
          </w:rPr>
        </w:r>
        <w:r w:rsidR="007537A8">
          <w:rPr>
            <w:noProof/>
            <w:webHidden/>
          </w:rPr>
          <w:fldChar w:fldCharType="separate"/>
        </w:r>
        <w:r w:rsidR="007537A8">
          <w:rPr>
            <w:noProof/>
            <w:webHidden/>
          </w:rPr>
          <w:t>108</w:t>
        </w:r>
        <w:r w:rsidR="007537A8">
          <w:rPr>
            <w:noProof/>
            <w:webHidden/>
          </w:rPr>
          <w:fldChar w:fldCharType="end"/>
        </w:r>
      </w:hyperlink>
    </w:p>
    <w:p w14:paraId="1338BE5D" w14:textId="6FA9186A" w:rsidR="007537A8" w:rsidRDefault="00091FED">
      <w:pPr>
        <w:pStyle w:val="Verzeichnis7"/>
        <w:tabs>
          <w:tab w:val="right" w:leader="dot" w:pos="7361"/>
        </w:tabs>
        <w:rPr>
          <w:noProof/>
          <w:sz w:val="22"/>
          <w:szCs w:val="22"/>
          <w:lang w:eastAsia="de-DE"/>
        </w:rPr>
      </w:pPr>
      <w:hyperlink w:anchor="_Toc22133139" w:history="1">
        <w:r w:rsidR="007537A8" w:rsidRPr="00E6008E">
          <w:rPr>
            <w:rStyle w:val="Hyperlink"/>
            <w:noProof/>
          </w:rPr>
          <w:t>b) Zwischenergebnis</w:t>
        </w:r>
        <w:r w:rsidR="007537A8">
          <w:rPr>
            <w:noProof/>
            <w:webHidden/>
          </w:rPr>
          <w:tab/>
        </w:r>
        <w:r w:rsidR="007537A8">
          <w:rPr>
            <w:noProof/>
            <w:webHidden/>
          </w:rPr>
          <w:fldChar w:fldCharType="begin"/>
        </w:r>
        <w:r w:rsidR="007537A8">
          <w:rPr>
            <w:noProof/>
            <w:webHidden/>
          </w:rPr>
          <w:instrText xml:space="preserve"> PAGEREF _Toc22133139 \h </w:instrText>
        </w:r>
        <w:r w:rsidR="007537A8">
          <w:rPr>
            <w:noProof/>
            <w:webHidden/>
          </w:rPr>
        </w:r>
        <w:r w:rsidR="007537A8">
          <w:rPr>
            <w:noProof/>
            <w:webHidden/>
          </w:rPr>
          <w:fldChar w:fldCharType="separate"/>
        </w:r>
        <w:r w:rsidR="007537A8">
          <w:rPr>
            <w:noProof/>
            <w:webHidden/>
          </w:rPr>
          <w:t>109</w:t>
        </w:r>
        <w:r w:rsidR="007537A8">
          <w:rPr>
            <w:noProof/>
            <w:webHidden/>
          </w:rPr>
          <w:fldChar w:fldCharType="end"/>
        </w:r>
      </w:hyperlink>
    </w:p>
    <w:p w14:paraId="02EBA06C" w14:textId="6DF4D1FC" w:rsidR="007537A8" w:rsidRDefault="00091FED">
      <w:pPr>
        <w:pStyle w:val="Verzeichnis6"/>
        <w:tabs>
          <w:tab w:val="right" w:leader="dot" w:pos="7361"/>
        </w:tabs>
        <w:rPr>
          <w:noProof/>
          <w:sz w:val="22"/>
          <w:szCs w:val="22"/>
          <w:lang w:eastAsia="de-DE"/>
        </w:rPr>
      </w:pPr>
      <w:hyperlink w:anchor="_Toc22133140" w:history="1">
        <w:r w:rsidR="007537A8" w:rsidRPr="00E6008E">
          <w:rPr>
            <w:rStyle w:val="Hyperlink"/>
            <w:noProof/>
          </w:rPr>
          <w:t>4. Zwischenergebnis</w:t>
        </w:r>
        <w:r w:rsidR="007537A8">
          <w:rPr>
            <w:noProof/>
            <w:webHidden/>
          </w:rPr>
          <w:tab/>
        </w:r>
        <w:r w:rsidR="007537A8">
          <w:rPr>
            <w:noProof/>
            <w:webHidden/>
          </w:rPr>
          <w:fldChar w:fldCharType="begin"/>
        </w:r>
        <w:r w:rsidR="007537A8">
          <w:rPr>
            <w:noProof/>
            <w:webHidden/>
          </w:rPr>
          <w:instrText xml:space="preserve"> PAGEREF _Toc22133140 \h </w:instrText>
        </w:r>
        <w:r w:rsidR="007537A8">
          <w:rPr>
            <w:noProof/>
            <w:webHidden/>
          </w:rPr>
        </w:r>
        <w:r w:rsidR="007537A8">
          <w:rPr>
            <w:noProof/>
            <w:webHidden/>
          </w:rPr>
          <w:fldChar w:fldCharType="separate"/>
        </w:r>
        <w:r w:rsidR="007537A8">
          <w:rPr>
            <w:noProof/>
            <w:webHidden/>
          </w:rPr>
          <w:t>109</w:t>
        </w:r>
        <w:r w:rsidR="007537A8">
          <w:rPr>
            <w:noProof/>
            <w:webHidden/>
          </w:rPr>
          <w:fldChar w:fldCharType="end"/>
        </w:r>
      </w:hyperlink>
    </w:p>
    <w:p w14:paraId="24761046" w14:textId="25E39994" w:rsidR="007537A8" w:rsidRDefault="00091FED">
      <w:pPr>
        <w:pStyle w:val="Verzeichnis5"/>
        <w:tabs>
          <w:tab w:val="right" w:leader="dot" w:pos="7361"/>
        </w:tabs>
        <w:rPr>
          <w:rFonts w:eastAsiaTheme="minorEastAsia"/>
          <w:noProof/>
          <w:sz w:val="22"/>
          <w:szCs w:val="22"/>
          <w:lang w:eastAsia="de-DE"/>
        </w:rPr>
      </w:pPr>
      <w:hyperlink w:anchor="_Toc22133141" w:history="1">
        <w:r w:rsidR="007537A8" w:rsidRPr="00E6008E">
          <w:rPr>
            <w:rStyle w:val="Hyperlink"/>
            <w:noProof/>
          </w:rPr>
          <w:t>II. Rechtsverletzung</w:t>
        </w:r>
        <w:r w:rsidR="007537A8">
          <w:rPr>
            <w:noProof/>
            <w:webHidden/>
          </w:rPr>
          <w:tab/>
        </w:r>
        <w:r w:rsidR="007537A8">
          <w:rPr>
            <w:noProof/>
            <w:webHidden/>
          </w:rPr>
          <w:fldChar w:fldCharType="begin"/>
        </w:r>
        <w:r w:rsidR="007537A8">
          <w:rPr>
            <w:noProof/>
            <w:webHidden/>
          </w:rPr>
          <w:instrText xml:space="preserve"> PAGEREF _Toc22133141 \h </w:instrText>
        </w:r>
        <w:r w:rsidR="007537A8">
          <w:rPr>
            <w:noProof/>
            <w:webHidden/>
          </w:rPr>
        </w:r>
        <w:r w:rsidR="007537A8">
          <w:rPr>
            <w:noProof/>
            <w:webHidden/>
          </w:rPr>
          <w:fldChar w:fldCharType="separate"/>
        </w:r>
        <w:r w:rsidR="007537A8">
          <w:rPr>
            <w:noProof/>
            <w:webHidden/>
          </w:rPr>
          <w:t>109</w:t>
        </w:r>
        <w:r w:rsidR="007537A8">
          <w:rPr>
            <w:noProof/>
            <w:webHidden/>
          </w:rPr>
          <w:fldChar w:fldCharType="end"/>
        </w:r>
      </w:hyperlink>
    </w:p>
    <w:p w14:paraId="605B1A62" w14:textId="4FE8A9E5" w:rsidR="007537A8" w:rsidRDefault="00091FED">
      <w:pPr>
        <w:pStyle w:val="Verzeichnis4"/>
        <w:tabs>
          <w:tab w:val="right" w:leader="dot" w:pos="7361"/>
        </w:tabs>
        <w:rPr>
          <w:rFonts w:eastAsiaTheme="minorEastAsia"/>
          <w:noProof/>
          <w:sz w:val="22"/>
          <w:szCs w:val="22"/>
          <w:lang w:eastAsia="de-DE"/>
        </w:rPr>
      </w:pPr>
      <w:hyperlink w:anchor="_Toc22133142" w:history="1">
        <w:r w:rsidR="007537A8" w:rsidRPr="00E6008E">
          <w:rPr>
            <w:rStyle w:val="Hyperlink"/>
            <w:noProof/>
          </w:rPr>
          <w:t>C. Ergebnis</w:t>
        </w:r>
        <w:r w:rsidR="007537A8">
          <w:rPr>
            <w:noProof/>
            <w:webHidden/>
          </w:rPr>
          <w:tab/>
        </w:r>
        <w:r w:rsidR="007537A8">
          <w:rPr>
            <w:noProof/>
            <w:webHidden/>
          </w:rPr>
          <w:fldChar w:fldCharType="begin"/>
        </w:r>
        <w:r w:rsidR="007537A8">
          <w:rPr>
            <w:noProof/>
            <w:webHidden/>
          </w:rPr>
          <w:instrText xml:space="preserve"> PAGEREF _Toc22133142 \h </w:instrText>
        </w:r>
        <w:r w:rsidR="007537A8">
          <w:rPr>
            <w:noProof/>
            <w:webHidden/>
          </w:rPr>
        </w:r>
        <w:r w:rsidR="007537A8">
          <w:rPr>
            <w:noProof/>
            <w:webHidden/>
          </w:rPr>
          <w:fldChar w:fldCharType="separate"/>
        </w:r>
        <w:r w:rsidR="007537A8">
          <w:rPr>
            <w:noProof/>
            <w:webHidden/>
          </w:rPr>
          <w:t>109</w:t>
        </w:r>
        <w:r w:rsidR="007537A8">
          <w:rPr>
            <w:noProof/>
            <w:webHidden/>
          </w:rPr>
          <w:fldChar w:fldCharType="end"/>
        </w:r>
      </w:hyperlink>
    </w:p>
    <w:p w14:paraId="2C7C6F8D" w14:textId="221000FD" w:rsidR="0001383E" w:rsidRDefault="00CA43AE" w:rsidP="00261442">
      <w:pPr>
        <w:rPr>
          <w:rFonts w:ascii="Calibri" w:eastAsiaTheme="majorEastAsia" w:hAnsi="Calibri" w:cstheme="majorBidi"/>
          <w:sz w:val="26"/>
          <w:szCs w:val="26"/>
        </w:rPr>
      </w:pPr>
      <w:r>
        <w:rPr>
          <w:rFonts w:eastAsiaTheme="majorEastAsia"/>
        </w:rPr>
        <w:fldChar w:fldCharType="end"/>
      </w:r>
      <w:r w:rsidR="0001383E">
        <w:br w:type="page"/>
      </w:r>
    </w:p>
    <w:p w14:paraId="4AFEB03B" w14:textId="6C9F0B2B" w:rsidR="00CC7995" w:rsidRPr="00F049D6" w:rsidRDefault="00CC7995" w:rsidP="0001383E">
      <w:pPr>
        <w:pStyle w:val="berschrift3"/>
      </w:pPr>
      <w:bookmarkStart w:id="252" w:name="_Toc22133104"/>
      <w:bookmarkStart w:id="253" w:name="Fall7"/>
      <w:r w:rsidRPr="00F049D6">
        <w:t>Lösung</w:t>
      </w:r>
      <w:r w:rsidR="0001383E">
        <w:t>svorschlag</w:t>
      </w:r>
      <w:bookmarkEnd w:id="252"/>
    </w:p>
    <w:p w14:paraId="4EF1E965" w14:textId="77777777" w:rsidR="00AF0C32" w:rsidRPr="00AF0C32" w:rsidRDefault="00AF0C32" w:rsidP="00AF0C32">
      <w:pPr>
        <w:pStyle w:val="Randnummer"/>
        <w:framePr w:wrap="around"/>
      </w:pPr>
    </w:p>
    <w:p w14:paraId="27BBB667" w14:textId="77777777" w:rsidR="00CC7995" w:rsidRPr="00CC7995" w:rsidRDefault="00CC7995" w:rsidP="00CC7995">
      <w:r w:rsidRPr="00CC7995">
        <w:t>Ob die Klage der A Aussicht auf Erfolg hat, hängt davon ab, ob sie zulässig und begründet ist.</w:t>
      </w:r>
    </w:p>
    <w:p w14:paraId="39018001" w14:textId="77777777" w:rsidR="00CC7995" w:rsidRPr="00F049D6" w:rsidRDefault="00CC7995" w:rsidP="000434BF">
      <w:pPr>
        <w:pStyle w:val="berschrift4"/>
      </w:pPr>
      <w:bookmarkStart w:id="254" w:name="_Toc22133105"/>
      <w:r w:rsidRPr="00F049D6">
        <w:t>A. Zulässigkeit</w:t>
      </w:r>
      <w:bookmarkEnd w:id="254"/>
    </w:p>
    <w:p w14:paraId="3193A4FA" w14:textId="77777777" w:rsidR="00AF0C32" w:rsidRPr="00AF0C32" w:rsidRDefault="00AF0C32" w:rsidP="00AF0C32">
      <w:pPr>
        <w:pStyle w:val="Randnummer"/>
        <w:framePr w:wrap="around"/>
      </w:pPr>
    </w:p>
    <w:p w14:paraId="09986B27" w14:textId="77777777" w:rsidR="00CC7995" w:rsidRPr="00CC7995" w:rsidRDefault="00CC7995" w:rsidP="00CC7995">
      <w:r w:rsidRPr="00CC7995">
        <w:t>Die erhobene Klage müsste zulässig sein.</w:t>
      </w:r>
    </w:p>
    <w:p w14:paraId="14B95E6E" w14:textId="77777777" w:rsidR="00CC7995" w:rsidRPr="00F049D6" w:rsidRDefault="00CC7995" w:rsidP="000434BF">
      <w:pPr>
        <w:pStyle w:val="berschrift5"/>
      </w:pPr>
      <w:bookmarkStart w:id="255" w:name="_Toc22133106"/>
      <w:r w:rsidRPr="00F049D6">
        <w:t>I. Eröffnung des Verwaltungsrechtswegs</w:t>
      </w:r>
      <w:bookmarkEnd w:id="255"/>
    </w:p>
    <w:p w14:paraId="082CEA22" w14:textId="77777777" w:rsidR="00AF0C32" w:rsidRPr="00AF0C32" w:rsidRDefault="00AF0C32" w:rsidP="00AF0C32">
      <w:pPr>
        <w:pStyle w:val="Randnummer"/>
        <w:framePr w:wrap="around"/>
      </w:pPr>
    </w:p>
    <w:p w14:paraId="266853A4" w14:textId="43F89106" w:rsidR="00CC7995" w:rsidRPr="00CC7995" w:rsidRDefault="00CC7995" w:rsidP="00CC7995">
      <w:r w:rsidRPr="00CC7995">
        <w:t xml:space="preserve">Zunächst müsste der Verwaltungsrechtsweg eröffnet sein. Mangels aufdrängender Zuweisung an den Verwaltungsrechtsweg ist dafür auf die Generalklausel des § 40 I </w:t>
      </w:r>
      <w:r w:rsidR="00D51AD4">
        <w:t xml:space="preserve">1 </w:t>
      </w:r>
      <w:r w:rsidRPr="00CC7995">
        <w:t xml:space="preserve">VwGO abzustellen. § 40 I 1 VwGO eröffnet diesen für öffentlich-rechtliche Streitigkeiten nichtverfassungsrechtlicher Art, soweit keine abdrängende Zuweisung vorliegt. Nach der modifizierten Subjektstheorie ist eine Streitigkeit eine solche des öffentlichen Rechts, wenn die streitentscheidenden Normen dem Öffentlichen Recht zuzuordnen sind. Die für die Einordnung als öffentlich-rechtliche Streitigkeit maßgeblichen streitentscheidenden Normen sind solche des öffentlichen Rechts (VersG, HSOG), weil sie die Polizei in ihrer spezifischen Funktion als Hoheitsträger berechtigen. Mangels doppelter Verfassungsunmittelbarkeit liegt keine verfassungsrechtliche Streitigkeit vor. Die abdrängende Sonderzuweisung an die ordentlichen Gerichte nach § 23 EGGVG ist nicht einschlägig, da die Polizei nicht repressiv, also zur Ahndung eines (vermeintlichen) Verstoßes gegen § 42a WaffG, sondern vielmehr präventiv zu dessen Verhinderung tätig wurde. Der Verwaltungsrechtsweg ist daher eröffnet. </w:t>
      </w:r>
    </w:p>
    <w:p w14:paraId="1CC96470" w14:textId="4DCDE355" w:rsidR="00CC7995" w:rsidRPr="00F049D6" w:rsidRDefault="00CC7995" w:rsidP="000434BF">
      <w:pPr>
        <w:pStyle w:val="berschrift5"/>
      </w:pPr>
      <w:bookmarkStart w:id="256" w:name="_Toc22133107"/>
      <w:r w:rsidRPr="00F049D6">
        <w:t>II. Statthafte Klageart</w:t>
      </w:r>
      <w:bookmarkEnd w:id="256"/>
    </w:p>
    <w:p w14:paraId="3E1ECFA0" w14:textId="77777777" w:rsidR="00AF0C32" w:rsidRPr="00AF0C32" w:rsidRDefault="00AF0C32" w:rsidP="00AF0C32">
      <w:pPr>
        <w:pStyle w:val="Randnummer"/>
        <w:framePr w:wrap="around"/>
      </w:pPr>
    </w:p>
    <w:p w14:paraId="751EE1EB" w14:textId="5FCD9FB8" w:rsidR="00CC7995" w:rsidRPr="00CC7995" w:rsidRDefault="00CC7995" w:rsidP="00CC7995">
      <w:r w:rsidRPr="00CC7995">
        <w:t xml:space="preserve">Die statthafte Klageart richtet sich nach dem klägerischen Begehren, § 88 VwGO. A begehrt im Wege einer „Feststellungsklage“, dass die „beschränkende Verfügung nach Versammlungsgesetz“ für rechtswidrig befunden wird. Die Feststellungsklage nach § 43 </w:t>
      </w:r>
      <w:r w:rsidR="00E91AF0">
        <w:t>I</w:t>
      </w:r>
      <w:r w:rsidRPr="00CC7995">
        <w:t xml:space="preserve"> VwGO dient v.a. der Feststellung des Bestehens oder Nichtbestehens eines Rechtsverhältnisses. Dieses wird zwar weit verstanden, nämlich als die sich aus einem konkreten Sachverhalt ergebende öffentlich-rechtliche Beziehung einer Person zu einer anderen Person oder zu einer Sache. Jedoch ist die Feststellungsklage nach § 43 II VwGO subsidiär gegenüber anderen Klagearten. </w:t>
      </w:r>
    </w:p>
    <w:p w14:paraId="3CCDEE48" w14:textId="78F9C389" w:rsidR="00CC7995" w:rsidRPr="00CC7995" w:rsidRDefault="00CC7995" w:rsidP="00CC7995">
      <w:r w:rsidRPr="00CC7995">
        <w:t>Vorrangig könnte eine Fortsetzungsfeststellungsklage nach § 113 I 4 VwGO sein. Dafür müsste sich ein Verwaltungsakt nach Klageerhebung erledigt haben. Die Verfügung mit dem Regelungsinhalt, keine Anscheinswaffen öffentlich zu führen, ist als Verwaltungsakt i.S.d. §</w:t>
      </w:r>
      <w:r w:rsidR="00783ECC">
        <w:t> </w:t>
      </w:r>
      <w:r w:rsidRPr="00CC7995">
        <w:t xml:space="preserve">35 </w:t>
      </w:r>
      <w:r w:rsidR="00783ECC">
        <w:t xml:space="preserve">S. </w:t>
      </w:r>
      <w:r w:rsidRPr="00CC7995">
        <w:t>1 VwVfG zu qualifizieren.</w:t>
      </w:r>
      <w:r w:rsidR="00783ECC">
        <w:rPr>
          <w:rStyle w:val="Funotenzeichen"/>
        </w:rPr>
        <w:footnoteReference w:id="212"/>
      </w:r>
      <w:r w:rsidRPr="00CC7995">
        <w:t xml:space="preserve"> Ein Verwaltungsakt ist erledigt, wenn die mit ihm verbundene Beschwer weggefallen ist und die gerichtliche Aufhebung des Verwaltungsakt</w:t>
      </w:r>
      <w:r w:rsidR="00D51AD4">
        <w:t xml:space="preserve">s </w:t>
      </w:r>
      <w:r w:rsidRPr="00CC7995">
        <w:t xml:space="preserve">sinnlos wäre. Dieser erledigte sich mit Beendigung der Veranstaltung, als A und B den Platz verließen. Die Erledigung ist daher nicht nach, sondern vor Klageerhebung eingetreten. Aus der systematischen Stellung des § 113 I 4 VwGO im 10. Abschnitt der VwGO – Urteile und andere Entscheidungen – sowie dem Wortlaut von § 113 I 4 VwGO „vorher“ ergibt sich, dass sich die Norm nur auf die Konstellation bezieht, in der sich ein Verwaltungsakt nach Klageerhebung, aber vor Verkündung des Urteils erledigt. Da die direkte Anwendung ausscheidet, ist über eine Analogie nachzudenken. Eine Analogie setzt eine vergleichbare Interessenlage und eine planwidrige Regelungslücke voraus. Die planwidrige Regelungslücke wird bestritten, da der Gesetzgeber die Feststellungsklage als Auffangtatbestand vorgesehen habe. Allerdings ist der Zeitpunkt der Erledigung häufig zufällig, sodass es vor dem Hintergrund des durch Art. 19 IV GG gebotenen Rechtsschutzes als unzulässig erscheint, den Kläger auf eine andere Klageart zu verweisen. Gerade in den Konstellationen der sich typischerweise sofort erledigenden Polizeiverfügungen hat der Betroffene häufig gar keine Möglichkeit, mit der Anfechtungsklage gegen den </w:t>
      </w:r>
      <w:r w:rsidR="006D7E4D">
        <w:t>Verwaltungsakt</w:t>
      </w:r>
      <w:r w:rsidRPr="00CC7995">
        <w:t xml:space="preserve"> vorzugehen, sodass § 113 I 4 VwGO analog angewandt wird. Daher ist die Fortsetzungsfeststellungsklage analog § 113 I 4 VwGO die statthafte Klageart. Der Vorsitzende wird nach § 86 III VwGO auf die Umstellung des Klageantrags hinwirken. </w:t>
      </w:r>
    </w:p>
    <w:p w14:paraId="4AAF3C59" w14:textId="77777777" w:rsidR="00CC7995" w:rsidRPr="00F049D6" w:rsidRDefault="00CC7995" w:rsidP="000434BF">
      <w:pPr>
        <w:pStyle w:val="berschrift5"/>
      </w:pPr>
      <w:bookmarkStart w:id="257" w:name="_Toc22133108"/>
      <w:r w:rsidRPr="00F049D6">
        <w:t>III. Feststellungsinteresse</w:t>
      </w:r>
      <w:bookmarkEnd w:id="257"/>
    </w:p>
    <w:p w14:paraId="3F100C96" w14:textId="77777777" w:rsidR="00AF0C32" w:rsidRPr="00AF0C32" w:rsidRDefault="00AF0C32" w:rsidP="00AF0C32">
      <w:pPr>
        <w:pStyle w:val="Randnummer"/>
        <w:framePr w:wrap="around"/>
      </w:pPr>
    </w:p>
    <w:p w14:paraId="3FAAF354" w14:textId="59D8A53B" w:rsidR="00CC7995" w:rsidRPr="00CC7995" w:rsidRDefault="00CC7995" w:rsidP="00CC7995">
      <w:r w:rsidRPr="00CC7995">
        <w:t>Nach § 113 I</w:t>
      </w:r>
      <w:r w:rsidR="00A566D1">
        <w:t xml:space="preserve"> </w:t>
      </w:r>
      <w:r w:rsidRPr="00CC7995">
        <w:t xml:space="preserve">4 VwGO analog muss der Kläger ein berechtigtes Interesse an der Feststellung der Rechtswidrigkeit des Verwaltungsakt haben. Es genügt jedes nach vernünftigen Erwägungen schutzwürdige Interesse rechtlicher, wirtschaftlicher oder ideeller Art. Ein Feststellungsinteresse wird regelmäßig in folgenden Fallgruppen bejaht: konkrete Wiederholungsgefahr, Rehabilitationsinteresse, präjudizielle Wirkung, tiefgreifende oder sich typischerweise kurzfristig erledigende Grundrechtseingriffe. </w:t>
      </w:r>
    </w:p>
    <w:p w14:paraId="1C45C4EB" w14:textId="1B9C6CAC" w:rsidR="00CC7995" w:rsidRPr="00CC7995" w:rsidRDefault="00CC7995" w:rsidP="00CC7995">
      <w:r w:rsidRPr="00CC7995">
        <w:t xml:space="preserve">Ein Feststellungsinteresse könnte hier unter dem Gesichtspunkt der Wiederholungsgefahr bestehen. Dafür ist die hinreichend bestimmte Gefahr erforderlich, dass unter im Wesentlichen unveränderten tatsächlichen und rechtlichen Umständen ein gleichartiger Verwaltungsakt ergehen wird. A behauptet, </w:t>
      </w:r>
      <w:r w:rsidR="00D51AD4">
        <w:t>ähnliche</w:t>
      </w:r>
      <w:r w:rsidRPr="00CC7995">
        <w:t xml:space="preserve"> Aktionen mit Waffenattrappen vor anderen Banken durchführen zu wollen. Es ist wahrscheinlich, dass die Polizei dagegen in </w:t>
      </w:r>
      <w:r w:rsidR="00D51AD4">
        <w:t>vergleichbarer</w:t>
      </w:r>
      <w:r w:rsidRPr="00CC7995">
        <w:t xml:space="preserve"> Weise vorgehen wird. Weiter ergibt sich ein Feststellungsinteresse bei sich typischerweise kurzfristig erledigenden Grundrechtseingriffen, hier in Art. 8</w:t>
      </w:r>
      <w:r w:rsidR="00783ECC">
        <w:t xml:space="preserve"> I</w:t>
      </w:r>
      <w:r w:rsidRPr="00CC7995">
        <w:t xml:space="preserve"> und Art. 5 III GG, aus Art. 19 IV GG. Angesichts der kurzen Zeitspanne zwischen Erlass und Erledigung des Verwaltungsakt</w:t>
      </w:r>
      <w:r w:rsidR="006D7E4D">
        <w:t>s</w:t>
      </w:r>
      <w:r w:rsidRPr="00CC7995">
        <w:t xml:space="preserve"> konnte A keinen wirksamen Rechtsschutz erlangen. Schließlich kann ein Feststellungsinteresse auch aus einem Rehabilitationsinteresse der A angesichts des öffentlichkeitswirksamen Grundrechtseingriffs abgeleitet werden.</w:t>
      </w:r>
    </w:p>
    <w:p w14:paraId="0C9D9089" w14:textId="77777777" w:rsidR="00CC7995" w:rsidRPr="00F049D6" w:rsidRDefault="00CC7995" w:rsidP="000434BF">
      <w:pPr>
        <w:pStyle w:val="berschrift5"/>
      </w:pPr>
      <w:bookmarkStart w:id="258" w:name="_Toc22133109"/>
      <w:r w:rsidRPr="00F049D6">
        <w:t>IV. Klagebefugnis</w:t>
      </w:r>
      <w:bookmarkEnd w:id="258"/>
    </w:p>
    <w:p w14:paraId="65BF99B3" w14:textId="77777777" w:rsidR="00AF0C32" w:rsidRPr="00AF0C32" w:rsidRDefault="00AF0C32" w:rsidP="00AF0C32">
      <w:pPr>
        <w:pStyle w:val="Randnummer"/>
        <w:framePr w:wrap="around"/>
      </w:pPr>
    </w:p>
    <w:p w14:paraId="13BE9D15" w14:textId="7C7C1E05" w:rsidR="00CC7995" w:rsidRPr="00CC7995" w:rsidRDefault="00CC7995" w:rsidP="00CC7995">
      <w:r w:rsidRPr="00CC7995">
        <w:t>Es ist umstritten, ob neben dem besonderen Feststellungsinteresse auch die Klagebefugnis nach § 42 II VwGO vorliegen muss. A kann als Adressatin des belastenden Verwaltungsakt</w:t>
      </w:r>
      <w:r w:rsidR="006D7E4D">
        <w:t>s</w:t>
      </w:r>
      <w:r w:rsidRPr="00CC7995">
        <w:t xml:space="preserve"> jedenfalls die Möglichkeit einer Verletzung in ihren Grundrechten aus Art. 8 </w:t>
      </w:r>
      <w:r w:rsidR="00783ECC">
        <w:t xml:space="preserve">I </w:t>
      </w:r>
      <w:r w:rsidRPr="00CC7995">
        <w:t>und Art. 5 III GG geltend machen, so dass eine Entscheidung dahinstehen kann.</w:t>
      </w:r>
    </w:p>
    <w:p w14:paraId="27B4D651" w14:textId="77777777" w:rsidR="00CC7995" w:rsidRPr="00F049D6" w:rsidRDefault="00CC7995" w:rsidP="000434BF">
      <w:pPr>
        <w:pStyle w:val="berschrift5"/>
      </w:pPr>
      <w:bookmarkStart w:id="259" w:name="_Toc22133110"/>
      <w:r w:rsidRPr="00F049D6">
        <w:t>V. Vorverfahren</w:t>
      </w:r>
      <w:bookmarkEnd w:id="259"/>
    </w:p>
    <w:p w14:paraId="0278659C" w14:textId="77777777" w:rsidR="00AF0C32" w:rsidRPr="00AF0C32" w:rsidRDefault="00AF0C32" w:rsidP="00AF0C32">
      <w:pPr>
        <w:pStyle w:val="Randnummer"/>
        <w:framePr w:wrap="around"/>
      </w:pPr>
    </w:p>
    <w:p w14:paraId="5F8EBC16" w14:textId="26EC9C18" w:rsidR="00CC7995" w:rsidRPr="00CC7995" w:rsidRDefault="00CC7995" w:rsidP="00CC7995">
      <w:r w:rsidRPr="00CC7995">
        <w:t>Fraglich ist, ob ein Widerspruchsverfahren durchgeführt werden muss, wenn der Verwaltungsakt vor Klageerhebung unwirksam geworden ist.</w:t>
      </w:r>
      <w:r w:rsidR="000667CE">
        <w:rPr>
          <w:rStyle w:val="Funotenzeichen"/>
        </w:rPr>
        <w:footnoteReference w:id="213"/>
      </w:r>
      <w:r w:rsidRPr="00CC7995">
        <w:t xml:space="preserve"> Hintergrund ist, dass die Fortsetzungsfeststellungsklage als fortgesetzte Anfechtungsklage nicht dazu verwendet werden darf, die Zulässigkeitsvoraussetzungen der Anfechtungsklage zu umgehen. Deshalb ist eine Fortsetzungsfeststellungsklage unzulässig, wenn eine Anfechtungsklage im Zeitpunkt der Erledigung des Verwaltungsakts unzulässig gewesen wäre. Eine Ansicht vertritt, dass auch gegen einen vor Klageerhebung erledigten Verwaltungsakt ein Widerspruch eingelegt werden müsse. Dies lehnt die überwiegende Ansicht ab, da die VwGO keinen „Verpflichtungswiderspruch“ kenne</w:t>
      </w:r>
      <w:r w:rsidR="00D51AD4">
        <w:t>.</w:t>
      </w:r>
      <w:r w:rsidRPr="00CC7995">
        <w:rPr>
          <w:vertAlign w:val="superscript"/>
        </w:rPr>
        <w:footnoteReference w:id="214"/>
      </w:r>
      <w:r w:rsidRPr="00CC7995">
        <w:t xml:space="preserve"> Auch können die Zwecke des Widerspruchverfahrens nur begrenzt erfüllt werden, da es dem Betroffenen gerade auf den gerichtlichen Ausspruch der Rechtswidrigkeit des V</w:t>
      </w:r>
      <w:r w:rsidR="00D51AD4">
        <w:t xml:space="preserve">erwaltungsverfahrens ankomme. </w:t>
      </w:r>
      <w:r w:rsidRPr="00CC7995">
        <w:t>Daher ist kein Vorverfahren zu fordern, sodass die Voraussetzung nicht erfüllt sein muss.</w:t>
      </w:r>
    </w:p>
    <w:p w14:paraId="05E95611" w14:textId="77777777" w:rsidR="00CC7995" w:rsidRPr="00F049D6" w:rsidRDefault="00CC7995" w:rsidP="000434BF">
      <w:pPr>
        <w:pStyle w:val="berschrift5"/>
      </w:pPr>
      <w:bookmarkStart w:id="260" w:name="_Toc22133111"/>
      <w:r w:rsidRPr="00F049D6">
        <w:t>VI. Klagefrist</w:t>
      </w:r>
      <w:bookmarkEnd w:id="260"/>
    </w:p>
    <w:p w14:paraId="5FDED5A1" w14:textId="77777777" w:rsidR="00AF0C32" w:rsidRPr="00AF0C32" w:rsidRDefault="00AF0C32" w:rsidP="00AF0C32">
      <w:pPr>
        <w:pStyle w:val="Randnummer"/>
        <w:framePr w:wrap="around"/>
      </w:pPr>
    </w:p>
    <w:p w14:paraId="63977629" w14:textId="2E05F87E" w:rsidR="00CC7995" w:rsidRPr="00CC7995" w:rsidRDefault="00CC7995" w:rsidP="00CC7995">
      <w:r w:rsidRPr="00CC7995">
        <w:t>Ebenfalls umstritten ist, ob eine Fortsetzungsfeststellungsklage bei vorprozessualer Erledigung des Verwaltungsakt</w:t>
      </w:r>
      <w:r w:rsidR="006D7E4D">
        <w:t>s</w:t>
      </w:r>
      <w:r w:rsidRPr="00CC7995">
        <w:t xml:space="preserve"> fristgebunden ist.</w:t>
      </w:r>
      <w:r w:rsidR="001C6B07">
        <w:rPr>
          <w:rStyle w:val="Funotenzeichen"/>
        </w:rPr>
        <w:footnoteReference w:id="215"/>
      </w:r>
      <w:r w:rsidRPr="00CC7995">
        <w:t xml:space="preserve"> Eine Fortsetzungsfeststellungsklage ist unstreitig unzulässig, wenn im Zeitpunkt der Erledigung des Verwaltungsakts eine bereits anhängige Klage unzulässig war oder die Klageerhebung bei Hinwegdenken der Erledigung unzulässig wäre. Umstritten ist lediglich der vorliegende Fall, dass im Zeitpunkt der Erledigung des Verwaltungsakts eine Anfechtungsklage noch nicht anhängig war, aber in zulässiger Weise hätte erhoben werden können.</w:t>
      </w:r>
    </w:p>
    <w:p w14:paraId="449CE544" w14:textId="697A787F" w:rsidR="00CC7995" w:rsidRPr="00CC7995" w:rsidRDefault="00CC7995" w:rsidP="00CC7995">
      <w:r w:rsidRPr="00CC7995">
        <w:t>Nach einer Ansicht ist eine Fortsetzungsfeststellungsklage fristgebunden. Allerdings ist innerhalb dieser Auffassung unklar, auf welchen Zeitpunkt für den Beginn der Fristberechnung abzustellen ist, also ob es auf den Zeitpunkt der Bekanntgabe des Verwaltungsakts oder auf den Zeitpunkt der Erledigung ankommt. Dies zeigt bereits, dass diese Ansicht problematisch ist. Die andere Auffassung, die eine Fristbindung ablehnt, stützt sich darauf, dass die Fortsetzungsfeststellungsklage ihrer Rechtsnatur</w:t>
      </w:r>
      <w:r w:rsidR="00783ECC">
        <w:t xml:space="preserve"> </w:t>
      </w:r>
      <w:r w:rsidRPr="00CC7995">
        <w:t>nach</w:t>
      </w:r>
      <w:r w:rsidR="00783ECC">
        <w:t xml:space="preserve"> </w:t>
      </w:r>
      <w:r w:rsidRPr="00CC7995">
        <w:t>keine Anfechtungsklage, sondern eine Feststellungsklage ist, die generell nicht fristgebunden ist. Es sind auch keine Gründe der Rechtssicherheit und des Vertrauensschutzes erkennbar, die dafür</w:t>
      </w:r>
      <w:r w:rsidR="00D51AD4">
        <w:t xml:space="preserve"> </w:t>
      </w:r>
      <w:r w:rsidRPr="00CC7995">
        <w:t xml:space="preserve">sprechen, bei einem vor Eintritt der Bestandskraft erledigten Verwaltungsakt nur fristgebundene Rechtsbehelfe zuzulassen. Davon unabhängig ist aber die „Verwirkung“ des Klagerechts, die regelmäßig mit Ablauf der Jahresfrist angenommen wird. </w:t>
      </w:r>
    </w:p>
    <w:p w14:paraId="52143F36" w14:textId="77777777" w:rsidR="00CC7995" w:rsidRPr="00CC7995" w:rsidRDefault="00CC7995" w:rsidP="00CC7995">
      <w:r w:rsidRPr="00CC7995">
        <w:t>Die Klage der A ist daher nicht fristgebunden.</w:t>
      </w:r>
    </w:p>
    <w:p w14:paraId="76DC30A6" w14:textId="77777777" w:rsidR="00CC7995" w:rsidRPr="00F049D6" w:rsidRDefault="00CC7995" w:rsidP="000434BF">
      <w:pPr>
        <w:pStyle w:val="berschrift5"/>
      </w:pPr>
      <w:bookmarkStart w:id="261" w:name="_Toc22133112"/>
      <w:r w:rsidRPr="00F049D6">
        <w:t>VII. Klagegegner</w:t>
      </w:r>
      <w:bookmarkEnd w:id="261"/>
    </w:p>
    <w:p w14:paraId="02B67808" w14:textId="77777777" w:rsidR="00AF0C32" w:rsidRPr="00AF0C32" w:rsidRDefault="00AF0C32" w:rsidP="00AF0C32">
      <w:pPr>
        <w:pStyle w:val="Randnummer"/>
        <w:framePr w:wrap="around"/>
      </w:pPr>
    </w:p>
    <w:p w14:paraId="78435766" w14:textId="77777777" w:rsidR="00CC7995" w:rsidRPr="00CC7995" w:rsidRDefault="00CC7995" w:rsidP="00CC7995">
      <w:r w:rsidRPr="00CC7995">
        <w:t>Analog § 78 I Nr. 1 VwGO ist die Klage gegen den Rechtsträger der handelnden Behörde zu richten. Dies ist das Land Hessen als Träger der Polizeibehörden (vgl. § 91 I HSOG).</w:t>
      </w:r>
    </w:p>
    <w:p w14:paraId="316DAAD5" w14:textId="77777777" w:rsidR="00CC7995" w:rsidRPr="00F049D6" w:rsidRDefault="00CC7995" w:rsidP="000434BF">
      <w:pPr>
        <w:pStyle w:val="berschrift5"/>
      </w:pPr>
      <w:bookmarkStart w:id="262" w:name="_Toc22133113"/>
      <w:r w:rsidRPr="00F049D6">
        <w:t>VIII. Beteiligten- und Prozessfähigkeit</w:t>
      </w:r>
      <w:bookmarkEnd w:id="262"/>
    </w:p>
    <w:p w14:paraId="2D277CA9" w14:textId="77777777" w:rsidR="00AF0C32" w:rsidRPr="00AF0C32" w:rsidRDefault="00AF0C32" w:rsidP="00AF0C32">
      <w:pPr>
        <w:pStyle w:val="Randnummer"/>
        <w:framePr w:wrap="around"/>
      </w:pPr>
    </w:p>
    <w:p w14:paraId="573F7A8E" w14:textId="77777777" w:rsidR="00CC7995" w:rsidRPr="00CC7995" w:rsidRDefault="00CC7995" w:rsidP="00CC7995">
      <w:r w:rsidRPr="00CC7995">
        <w:t>Die in § 63 VwGO Genannten müssten beteiligtenfähig sein. Die Klägerin A ist als natürliche Person nach § 61 Nr. 1 Alt. 1 VwGO beteiligtenfähig. Die Polizeibehörde als solche ist nicht beteiligtenfähig, da der hessische Landesgesetzgeber von der Ermächtigung in § 61 Nr. 3 VwGO keinen Gebrauch gemacht hat. Beteiligtenfähig ist aber ihr Rechtsträger, also das Land Hessen nach § 61 Nr. 1 Alt. 2 VwGO.</w:t>
      </w:r>
    </w:p>
    <w:p w14:paraId="394D76DF" w14:textId="77777777" w:rsidR="00CC7995" w:rsidRPr="00CC7995" w:rsidRDefault="00CC7995" w:rsidP="00CC7995">
      <w:r w:rsidRPr="00CC7995">
        <w:t>Die Prozessfähigkeit der A ergibt sich aus § 62 I Nr. 1 VwGO, die des beklagten Landes aus § 62 III VwGO.</w:t>
      </w:r>
    </w:p>
    <w:p w14:paraId="11D5AD6E" w14:textId="77777777" w:rsidR="00CC7995" w:rsidRPr="00F049D6" w:rsidRDefault="00CC7995" w:rsidP="000434BF">
      <w:pPr>
        <w:pStyle w:val="berschrift5"/>
      </w:pPr>
      <w:bookmarkStart w:id="263" w:name="_Toc22133114"/>
      <w:r w:rsidRPr="00F049D6">
        <w:t>IX. Rechtsschutzbedürfnis</w:t>
      </w:r>
      <w:bookmarkEnd w:id="263"/>
    </w:p>
    <w:p w14:paraId="0D0C8727" w14:textId="77777777" w:rsidR="00AF0C32" w:rsidRPr="00AF0C32" w:rsidRDefault="00AF0C32" w:rsidP="00AF0C32">
      <w:pPr>
        <w:pStyle w:val="Randnummer"/>
        <w:framePr w:wrap="around"/>
      </w:pPr>
    </w:p>
    <w:p w14:paraId="4D6B0E21" w14:textId="67AC1921" w:rsidR="00CC7995" w:rsidRPr="00CC7995" w:rsidRDefault="00CC7995" w:rsidP="00CC7995">
      <w:r w:rsidRPr="00CC7995">
        <w:t>Anhaltspunkte, die gegen das Vorliegen des Rechtsschutzbedürfnisses sprechen, wie insb</w:t>
      </w:r>
      <w:r w:rsidR="00AF0C32">
        <w:t>esondere</w:t>
      </w:r>
      <w:r w:rsidRPr="00CC7995">
        <w:t xml:space="preserve"> die Verwirkung, sind nicht ersichtlich.</w:t>
      </w:r>
    </w:p>
    <w:p w14:paraId="5C904C80" w14:textId="77777777" w:rsidR="00CC7995" w:rsidRPr="00F049D6" w:rsidRDefault="00CC7995" w:rsidP="000434BF">
      <w:pPr>
        <w:pStyle w:val="berschrift5"/>
      </w:pPr>
      <w:bookmarkStart w:id="264" w:name="_Toc22133115"/>
      <w:r w:rsidRPr="00F049D6">
        <w:t>X. Zwischenergebnis</w:t>
      </w:r>
      <w:bookmarkEnd w:id="264"/>
    </w:p>
    <w:p w14:paraId="504D028B" w14:textId="77777777" w:rsidR="00AF0C32" w:rsidRPr="00AF0C32" w:rsidRDefault="00AF0C32" w:rsidP="00AF0C32">
      <w:pPr>
        <w:pStyle w:val="Randnummer"/>
        <w:framePr w:wrap="around"/>
      </w:pPr>
    </w:p>
    <w:p w14:paraId="26D3B533" w14:textId="77777777" w:rsidR="00CC7995" w:rsidRDefault="00CC7995" w:rsidP="00CC7995">
      <w:r w:rsidRPr="00CC7995">
        <w:t>Die Fortsetzungsfeststellungsklage der A ist daher zulässig.</w:t>
      </w:r>
    </w:p>
    <w:p w14:paraId="2906263B" w14:textId="77777777" w:rsidR="000434BF" w:rsidRPr="00CC7995" w:rsidRDefault="000434BF" w:rsidP="00CC7995"/>
    <w:p w14:paraId="4E20E195" w14:textId="77777777" w:rsidR="00CC7995" w:rsidRPr="00F049D6" w:rsidRDefault="00CC7995" w:rsidP="000434BF">
      <w:pPr>
        <w:pStyle w:val="berschrift4"/>
      </w:pPr>
      <w:bookmarkStart w:id="265" w:name="_Toc22133116"/>
      <w:r w:rsidRPr="00F049D6">
        <w:t>B. Begründetheit</w:t>
      </w:r>
      <w:bookmarkEnd w:id="265"/>
    </w:p>
    <w:p w14:paraId="35677C7E" w14:textId="77777777" w:rsidR="00AF0C32" w:rsidRPr="00AF0C32" w:rsidRDefault="00AF0C32" w:rsidP="00AF0C32">
      <w:pPr>
        <w:pStyle w:val="Randnummer"/>
        <w:framePr w:wrap="around"/>
      </w:pPr>
    </w:p>
    <w:p w14:paraId="5E7AE6EC" w14:textId="77777777" w:rsidR="00CC7995" w:rsidRPr="00CC7995" w:rsidRDefault="00CC7995" w:rsidP="00CC7995">
      <w:r w:rsidRPr="00CC7995">
        <w:t xml:space="preserve">Die Klage ist analog § 113 I 4 VwGO begründet, wenn der angegriffene Verwaltungsakt rechtswidrig war und A dadurch in ihren Rechten verletzt wurde. </w:t>
      </w:r>
    </w:p>
    <w:p w14:paraId="27FDCB80" w14:textId="2B4CF5D8" w:rsidR="00CC7995" w:rsidRPr="00F049D6" w:rsidRDefault="00CC7995" w:rsidP="000434BF">
      <w:pPr>
        <w:pStyle w:val="berschrift5"/>
      </w:pPr>
      <w:bookmarkStart w:id="266" w:name="_Toc22133117"/>
      <w:r w:rsidRPr="00F049D6">
        <w:t xml:space="preserve">I. Rechtswidrigkeit des </w:t>
      </w:r>
      <w:r w:rsidR="006D7E4D">
        <w:t>Verwaltungsakts</w:t>
      </w:r>
      <w:bookmarkEnd w:id="266"/>
    </w:p>
    <w:p w14:paraId="6C4A7D3D" w14:textId="77777777" w:rsidR="00CC7995" w:rsidRPr="00F049D6" w:rsidRDefault="00CC7995" w:rsidP="000434BF">
      <w:pPr>
        <w:pStyle w:val="berschrift6"/>
      </w:pPr>
      <w:bookmarkStart w:id="267" w:name="_Toc22133118"/>
      <w:r w:rsidRPr="00F049D6">
        <w:t>1. Ermächtigungsgrundlage</w:t>
      </w:r>
      <w:bookmarkEnd w:id="267"/>
    </w:p>
    <w:p w14:paraId="5E1FBA20" w14:textId="77777777" w:rsidR="00AF0C32" w:rsidRPr="00AF0C32" w:rsidRDefault="00AF0C32" w:rsidP="00AF0C32">
      <w:pPr>
        <w:pStyle w:val="Randnummer"/>
        <w:framePr w:wrap="around"/>
      </w:pPr>
    </w:p>
    <w:p w14:paraId="00B37FA8" w14:textId="77777777" w:rsidR="00CC7995" w:rsidRPr="00CC7995" w:rsidRDefault="00CC7995" w:rsidP="00CC7995">
      <w:r w:rsidRPr="00CC7995">
        <w:t xml:space="preserve">Als Grundrechtseingriff bedarf die polizeiliche Maßnahme einer gesetzlichen Ermächtigung. Mangels einer speziellen Norm, die die Beschränkung des öffentlichen Führens von Anscheinswaffen regelt, könnte die Verfügung auf die Generalklausel des § 11 HSOG gestützt sein. Dem könnte aber die Sperrwirkung des VersG als spezielles Gefahrenabwehrrecht entgegenstehen. </w:t>
      </w:r>
    </w:p>
    <w:p w14:paraId="673981E7" w14:textId="77777777" w:rsidR="00CC7995" w:rsidRPr="00F049D6" w:rsidRDefault="00CC7995" w:rsidP="000434BF">
      <w:pPr>
        <w:pStyle w:val="berschrift7"/>
      </w:pPr>
      <w:bookmarkStart w:id="268" w:name="_Toc22133119"/>
      <w:r w:rsidRPr="00F049D6">
        <w:t>a) Sperrwirkung des VersG</w:t>
      </w:r>
      <w:bookmarkEnd w:id="268"/>
    </w:p>
    <w:p w14:paraId="02343AFD" w14:textId="77777777" w:rsidR="00AF0C32" w:rsidRPr="00AF0C32" w:rsidRDefault="00AF0C32" w:rsidP="00AF0C32">
      <w:pPr>
        <w:pStyle w:val="Randnummer"/>
        <w:framePr w:wrap="around"/>
      </w:pPr>
    </w:p>
    <w:p w14:paraId="24395CD0" w14:textId="77777777" w:rsidR="00CC7995" w:rsidRPr="00CC7995" w:rsidRDefault="00CC7995" w:rsidP="00CC7995">
      <w:r w:rsidRPr="00CC7995">
        <w:t>Womöglich sperrt das VersG des Bundes die Anwendbarkeit des landesrechtlichen Polizei- und Ordnungsrechts (sog. Polizeifestigkeit des Versammlungsrechts).</w:t>
      </w:r>
    </w:p>
    <w:p w14:paraId="6C49C214" w14:textId="77777777" w:rsidR="00CC7995" w:rsidRPr="00F049D6" w:rsidRDefault="00CC7995" w:rsidP="000434BF">
      <w:pPr>
        <w:pStyle w:val="berschrift8"/>
      </w:pPr>
      <w:bookmarkStart w:id="269" w:name="_Toc22133120"/>
      <w:r w:rsidRPr="00F049D6">
        <w:t>aa) Verfassungsmäßigkeit des VersG</w:t>
      </w:r>
      <w:bookmarkEnd w:id="269"/>
    </w:p>
    <w:p w14:paraId="28C7BBD3" w14:textId="77777777" w:rsidR="00AF0C32" w:rsidRPr="00AF0C32" w:rsidRDefault="00AF0C32" w:rsidP="00AF0C32">
      <w:pPr>
        <w:pStyle w:val="Randnummer"/>
        <w:framePr w:wrap="around"/>
      </w:pPr>
    </w:p>
    <w:p w14:paraId="64A759B2" w14:textId="04AE76F7" w:rsidR="00CC7995" w:rsidRPr="00CC7995" w:rsidRDefault="00CC7995" w:rsidP="00CC7995">
      <w:r w:rsidRPr="00CC7995">
        <w:t>Dazu müsste das VersG überhaupt anwendbar sein, also gültiges Gesetzesrecht sein. Zweifel könnten an der formellen Verfassungsmäßigkeit des bundesrechtlichen VersG bestehen, weil der Bund im Zuge der Föderalismusreform I die Gesetzgebungskompetenz für das Versammlungsrecht verloren hat. Das bundesrechtliche Versammlungsgesetz gilt gem. Art. 125a I GG aber in den Bundesländern fort, die noch kein eigenes Versammlungsgesetz erlassen haben. Dies ist bislang nur in Bayern, Niedersachsen, Sachsen, Sachsen-Anhalt und Schleswig-Holstein geschehen, so dass in Hessen das VersG des Bundes Anwendung findet.</w:t>
      </w:r>
    </w:p>
    <w:p w14:paraId="55EC0252" w14:textId="77777777" w:rsidR="00CC7995" w:rsidRPr="00F049D6" w:rsidRDefault="00CC7995" w:rsidP="000434BF">
      <w:pPr>
        <w:pStyle w:val="berschrift8"/>
      </w:pPr>
      <w:bookmarkStart w:id="270" w:name="_Toc22133121"/>
      <w:r w:rsidRPr="00F049D6">
        <w:t>bb) Anwendungsbereich des VersG</w:t>
      </w:r>
      <w:bookmarkEnd w:id="270"/>
    </w:p>
    <w:p w14:paraId="117D652D" w14:textId="77777777" w:rsidR="00AF0C32" w:rsidRPr="00AF0C32" w:rsidRDefault="00AF0C32" w:rsidP="00AF0C32">
      <w:pPr>
        <w:pStyle w:val="Randnummer"/>
        <w:framePr w:wrap="around"/>
      </w:pPr>
    </w:p>
    <w:p w14:paraId="5A21EEDD" w14:textId="2D2D9DFC" w:rsidR="00CC7995" w:rsidRPr="00CC7995" w:rsidRDefault="00CC7995" w:rsidP="00CC7995">
      <w:r w:rsidRPr="00CC7995">
        <w:t>Die Sperrwirkung des VersG gegenüber dem Polizeirecht setzt zunächst voraus, dass dessen Anwendungsbereich eröffnet ist. Ausweislich seines § 1 gilt das VersG für öffentliche Versammlungen. Dem VersG liegt ein enger Versammlungsbegriff zugrunde.</w:t>
      </w:r>
      <w:r w:rsidR="001C6B07">
        <w:rPr>
          <w:rStyle w:val="Funotenzeichen"/>
        </w:rPr>
        <w:footnoteReference w:id="216"/>
      </w:r>
      <w:r w:rsidRPr="00CC7995">
        <w:t xml:space="preserve"> Eine Versammlung ist die örtliche Zusammenkunft mehrerer Personen, die auf die Teilhabe an der öffentlichen Meinungsbildung und -kundgabe gerichtet ist. A und ihre Mitstreiter wollen die Öffentlichkeit über die Zusammenarbeit zwischen Wirtschaft, Politik und Bundeswehr zur Gewährleistung der Sicherheit für Industrie und Finanzmärkte informieren und eine kritische Auseinandersetzung anregen. Möglicherweise stellt die „Kundgabe mit Kunstcharakter“ dennoch keine Versammlung dar, wenn die Verwendung der Waffenattrappen die Unfriedlichkeit der Versammlung begründet. Zwar sehen die von A und B mitgeführten Sturmgewehrattrappen täuschend echt aus, sind aber funktionsunfähig und unterfallen daher nicht dem Waffenbegriff des § 1 WaffG. Zwar sind auch solche Gegenstände Waffen, die objektiv dazu geeignet sind, Verletzungen herbeizuführen und zu diesem Zweck mitgeführt werden.</w:t>
      </w:r>
      <w:r w:rsidR="00A566D1">
        <w:t xml:space="preserve"> </w:t>
      </w:r>
      <w:r w:rsidRPr="00CC7995">
        <w:t xml:space="preserve">Potentiell kann aber fast jeder Gegenstand zur Verstärkung eines Schlags verwendet werden, etwa auch ein Schuh oder Gürtel, daher sollte der Waffenbegriff nicht zu weit gefasst werden, um den Schutzbereich der Versammlungsfreiheit nicht übermäßig einzuengen. Die Gewehrattrappen sind daher keine Waffen, die die Versammlung als unfriedlich erscheinen lassen. Selbst wenn man die bloßen Waffenattrappen als Waffen i.S.d. § 1 WaffG einordnen und die Schutzbereichseröffnung des Art. 8 </w:t>
      </w:r>
      <w:r w:rsidR="00783ECC">
        <w:t xml:space="preserve">I </w:t>
      </w:r>
      <w:r w:rsidRPr="00CC7995">
        <w:t>GG verneinen würde, bedeutet dies nicht, dass die Kundgabe zugleich aus dem Anwendungsbereich des VersG herausfällt: Der Versammlungsbegriff des § 1 VersG ist an dieser Stelle weiter gefasst als der des Art. 8 I GG, er schließt unfriedliche Versammlungen mit Waffen nicht aus. Die Kundgabe stellt daher eine Versammlung</w:t>
      </w:r>
      <w:r w:rsidR="00D51AD4">
        <w:t xml:space="preserve"> nach Versammlungsgesetz</w:t>
      </w:r>
      <w:r w:rsidRPr="00CC7995">
        <w:t xml:space="preserve"> dar. Diese müsste öffentlich sein, d.h. die Teilnahme dürfte nicht auf einen bestimmten Personenkreis begrenzt sein, sondern müsste jedem offenstehen.</w:t>
      </w:r>
      <w:r w:rsidR="00A566D1">
        <w:t xml:space="preserve"> </w:t>
      </w:r>
      <w:r w:rsidRPr="00CC7995">
        <w:t xml:space="preserve">Zwar sind nur die sieben </w:t>
      </w:r>
      <w:r w:rsidR="00D51AD4">
        <w:t>Personen</w:t>
      </w:r>
      <w:r w:rsidRPr="00CC7995">
        <w:t>, die sich als Bundeswehrsoldaten verkleiden oder Flugblätter verteilen, „aktive“ Teilnehmer. Jedoch ist die Gestaltungsform auf die Einbeziehung Unbeteiligter gerichtet, etwa durch Gespräche und Diskussionen, die sich anlässlich des Kunstbeitrags und der Informationen ergeben. Daher ist die Versammlung auch öffentlich. Der Anwendungsbereich des VersG ist damit eröffnet, so dass es grundsätzlich Sperrwirkung entfaltet.</w:t>
      </w:r>
    </w:p>
    <w:p w14:paraId="31E0086F" w14:textId="77777777" w:rsidR="00CC7995" w:rsidRPr="00F049D6" w:rsidRDefault="00CC7995" w:rsidP="000434BF">
      <w:pPr>
        <w:pStyle w:val="berschrift8"/>
      </w:pPr>
      <w:bookmarkStart w:id="271" w:name="_Toc22133122"/>
      <w:r w:rsidRPr="00F049D6">
        <w:t>cc) Versammlungsausschluss</w:t>
      </w:r>
      <w:bookmarkEnd w:id="271"/>
    </w:p>
    <w:p w14:paraId="129F1976" w14:textId="77777777" w:rsidR="00AF0C32" w:rsidRPr="00AF0C32" w:rsidRDefault="00AF0C32" w:rsidP="00AF0C32">
      <w:pPr>
        <w:pStyle w:val="Randnummer"/>
        <w:framePr w:wrap="around"/>
      </w:pPr>
    </w:p>
    <w:p w14:paraId="7AB062D0" w14:textId="70EC82A4" w:rsidR="00CC7995" w:rsidRPr="00CC7995" w:rsidRDefault="00CC7995" w:rsidP="00CC7995">
      <w:r w:rsidRPr="00CC7995">
        <w:t>Ein Rückgriff auf allgemeines Polizeirecht wäre ausnahmsweise möglich, wenn A und B nach § 18 III VersG von der Versammlung ausgeschlossen worden wären. Der Versammlungsausschluss verbietet als belastender Verwaltungsakt einzelnen Personen die weitere Teilnahme an der Versammlung und entzieht ihnen damit den versammlungsrechtlichen Schutz der Teilnahme, so dass Maßnahmen auf das allgemeine Gefahrenabwehrrecht gestützt werden können. Wegen der gravierenden Folgen werden an die Bestimmtheit des Verwaltungsakt</w:t>
      </w:r>
      <w:r w:rsidR="00D51AD4">
        <w:t>s</w:t>
      </w:r>
      <w:r w:rsidRPr="00CC7995">
        <w:t xml:space="preserve"> i.S.d. § 37 I </w:t>
      </w:r>
      <w:r w:rsidR="00783ECC">
        <w:t>H</w:t>
      </w:r>
      <w:r w:rsidRPr="00CC7995">
        <w:t>VwVfG</w:t>
      </w:r>
      <w:r w:rsidR="00783ECC">
        <w:rPr>
          <w:rStyle w:val="Funotenzeichen"/>
        </w:rPr>
        <w:footnoteReference w:id="217"/>
      </w:r>
      <w:r w:rsidRPr="00CC7995">
        <w:t xml:space="preserve"> ebenso hohe Anforderungen gestellt wie an eine Auflösung. Einem Versammlungsteilnehmer muss hinreichend und unmissverständlich verdeutlicht werden, dass gerade er von der Versammlung ausgeschlossen wird. Es muss ihm klar sein, dass er sich nicht mehr auf die Versammlungsfreiheit berufen kann und er sich aus der Versammlung zu entfernen hat. Die Polizisten untersagten A und B das öffentliche Führen der Gewehrattrappen bzw. forderten sie dazu auf, diese für Passanten nicht sichtbar zu verstauen. Sie reglementierten nur die Art und Weise der weiteren Teilnahme an der Veranstaltung, verboten aber nicht die Teilnahme als solche. Darin kann keine Ausschlussverfügung gesehen werden, selbst wenn man einen konkludenten Ausschluss zulässt. Zudem wäre der Tatbestand des § 18 III VersG nicht erfüllt. Dieser setzt voraus, dass die Teilnehmer die Ordnung gröblich stören. Darunter ist ein Verhalten zu verstehen, dass eine schwere Beeinträchtigung des Verlaufs der Versammlung selbst darstellt. Dies ist abzulehnen, weil A und B sich durch das Zeigen der Anscheinswaffen an den geplanten Verlauf der Versammlung hielten. Dies entspricht auch dem Zweck des § 18 III VersG, der den geordneten Ablauf der Versammlung schützt, nicht aber Rechtsgüter Unbeteiligter, öffentliche Einrichtungen oder die objektive Rechtsordnung in Form des § 42a I Nr. 1 WaffG.</w:t>
      </w:r>
    </w:p>
    <w:p w14:paraId="30A8C1D2" w14:textId="77777777" w:rsidR="00CC7995" w:rsidRPr="00F049D6" w:rsidRDefault="00CC7995" w:rsidP="000434BF">
      <w:pPr>
        <w:pStyle w:val="berschrift8"/>
      </w:pPr>
      <w:bookmarkStart w:id="272" w:name="_Toc22133123"/>
      <w:r w:rsidRPr="00F049D6">
        <w:t>dd) Zwischenergebnis</w:t>
      </w:r>
      <w:bookmarkEnd w:id="272"/>
    </w:p>
    <w:p w14:paraId="7CA07A7D" w14:textId="77777777" w:rsidR="00AF0C32" w:rsidRPr="00AF0C32" w:rsidRDefault="00AF0C32" w:rsidP="00AF0C32">
      <w:pPr>
        <w:pStyle w:val="Randnummer"/>
        <w:framePr w:wrap="around"/>
      </w:pPr>
    </w:p>
    <w:p w14:paraId="55205CC5" w14:textId="02239861" w:rsidR="00CC7995" w:rsidRPr="00CC7995" w:rsidRDefault="00CC7995" w:rsidP="00CC7995">
      <w:r w:rsidRPr="00CC7995">
        <w:t>Daher greift die Sperrwirku</w:t>
      </w:r>
      <w:r w:rsidR="00AF0C32">
        <w:t>ng des VersG grundsätzlich ein.</w:t>
      </w:r>
    </w:p>
    <w:p w14:paraId="2392D393" w14:textId="77777777" w:rsidR="00CC7995" w:rsidRPr="00F049D6" w:rsidRDefault="00CC7995" w:rsidP="000434BF">
      <w:pPr>
        <w:pStyle w:val="berschrift7"/>
      </w:pPr>
      <w:bookmarkStart w:id="273" w:name="_Toc22133124"/>
      <w:r w:rsidRPr="00F049D6">
        <w:t>b) Zulässigkeit von sog. Minusmaßnahmen</w:t>
      </w:r>
      <w:bookmarkEnd w:id="273"/>
    </w:p>
    <w:p w14:paraId="2A9978D6" w14:textId="77777777" w:rsidR="00AF0C32" w:rsidRPr="00AF0C32" w:rsidRDefault="00AF0C32" w:rsidP="00AF0C32">
      <w:pPr>
        <w:pStyle w:val="Randnummer"/>
        <w:framePr w:wrap="around"/>
      </w:pPr>
    </w:p>
    <w:p w14:paraId="52CB6D91" w14:textId="60D1B9F4" w:rsidR="00CC7995" w:rsidRPr="00CC7995" w:rsidRDefault="00CC7995" w:rsidP="00CC7995">
      <w:r w:rsidRPr="00CC7995">
        <w:t xml:space="preserve">Das VersG nennt explizit drei Arten von Maßnahmen gegenüber öffentlichen Versammlungen unter freiem Himmel: Das Verbot, die </w:t>
      </w:r>
      <w:r w:rsidR="00D51AD4">
        <w:t>Auflage</w:t>
      </w:r>
      <w:r w:rsidRPr="00CC7995">
        <w:t xml:space="preserve"> und die Auflösung. Da die Versammlung nicht untersagt, sondern nur eingeschränkt wurde, könnte die Verfügung eine </w:t>
      </w:r>
      <w:r w:rsidR="003218E8">
        <w:t>Aufl</w:t>
      </w:r>
      <w:r w:rsidR="00D51AD4">
        <w:t>age</w:t>
      </w:r>
      <w:r w:rsidRPr="00CC7995">
        <w:t xml:space="preserve"> nach § 15 I VersG darstellen. Diese ist – anders als die </w:t>
      </w:r>
      <w:r w:rsidR="00D51AD4">
        <w:t>Auflage</w:t>
      </w:r>
      <w:r w:rsidRPr="00CC7995">
        <w:t xml:space="preserve"> i.S.d. § 36 II Nr. 4 </w:t>
      </w:r>
      <w:r w:rsidR="00FD0B98">
        <w:t>H</w:t>
      </w:r>
      <w:r w:rsidRPr="00CC7995">
        <w:t xml:space="preserve">VwVfG – keine Nebenbestimmung zu einem begünstigenden Verwaltungsakt, sondern ein eigenständiger Verwaltungsakt. Fraglich ist, ob </w:t>
      </w:r>
      <w:r w:rsidR="00D51AD4">
        <w:t>Auflage</w:t>
      </w:r>
      <w:r w:rsidRPr="00CC7995">
        <w:t xml:space="preserve">n auch nach Beginn der Versammlung, d.h. nach Eintritt der Sperrwirkung des Versammlungsrechts erlassen werden können. </w:t>
      </w:r>
    </w:p>
    <w:p w14:paraId="6137323C" w14:textId="47A9F0CA" w:rsidR="00CC7995" w:rsidRPr="00CC7995" w:rsidRDefault="00CC7995" w:rsidP="00CC7995">
      <w:r w:rsidRPr="00CC7995">
        <w:t xml:space="preserve">Eine Ansicht lässt aufgrund der Sperrwirkung des Versammlungsrechts und des engen Wortlauts von § 15 VersG nur Verbot, </w:t>
      </w:r>
      <w:r w:rsidR="003218E8">
        <w:t>Aufl</w:t>
      </w:r>
      <w:r w:rsidR="00D51AD4">
        <w:t>age</w:t>
      </w:r>
      <w:r w:rsidRPr="00CC7995">
        <w:t xml:space="preserve"> und Auflösung nach Beginn der Versammlung zu.</w:t>
      </w:r>
    </w:p>
    <w:p w14:paraId="1D8F0A7B" w14:textId="7B4D1CE0" w:rsidR="00CC7995" w:rsidRPr="00CC7995" w:rsidRDefault="00CC7995" w:rsidP="00CC7995">
      <w:r w:rsidRPr="00CC7995">
        <w:t xml:space="preserve">Die überwiegende Ansicht bejaht die Zulässigkeit von Maßnahmen, die über den Katalog von § 15 I VersG hinausgehen. Es bestehe ein rechtspraktisches Bedürfnis, der Polizei auch nach Beginn einer Versammlung andere Rechtsinstrumente als die Auflösung an die Hand zu geben. Umstände, die die öffentliche Sicherheit und Ordnung unmittelbar gefährden, können auch erst nach Versammlungsbeginn erkennbar werden; dann dürfe die Polizei nicht zur Untätigkeit </w:t>
      </w:r>
      <w:r w:rsidR="00D51AD4">
        <w:t>verurteilt</w:t>
      </w:r>
      <w:r w:rsidRPr="00CC7995">
        <w:t xml:space="preserve"> werden. Das gilt umso mehr, als dass die Auflösung aus Verhältnismäßigkeitsgründen nur ultima ratio sein darf. Die Zulässigkeit sog. Minusmaßnahmen</w:t>
      </w:r>
      <w:r w:rsidR="001C6B07">
        <w:rPr>
          <w:rStyle w:val="Funotenzeichen"/>
        </w:rPr>
        <w:footnoteReference w:id="218"/>
      </w:r>
      <w:r w:rsidRPr="00CC7995">
        <w:t xml:space="preserve"> wird weiter mit einem argumentum a maiore ad minus begründet: Beschränkungen einer Versammlung stellen im Vergleich zur Auflösung einen weniger schwerwiegenden Eingriff dar. Wenn also die Voraussetzungen für die Auflösung der Versammlung vorliegen, müssen erst recht weniger belastende Beschränkungen der Versammlungsfreiheit zulässig sein.</w:t>
      </w:r>
    </w:p>
    <w:p w14:paraId="1391CCA1" w14:textId="77777777" w:rsidR="00CC7995" w:rsidRPr="00CC7995" w:rsidRDefault="00CC7995" w:rsidP="00CC7995">
      <w:r w:rsidRPr="00CC7995">
        <w:t xml:space="preserve">Daher ist die erste Ansicht abzulehnen und Minusmaßnahmen grundsätzlich zuzulassen. </w:t>
      </w:r>
    </w:p>
    <w:p w14:paraId="25C593B6" w14:textId="77777777" w:rsidR="00CC7995" w:rsidRPr="00F049D6" w:rsidRDefault="00CC7995" w:rsidP="000434BF">
      <w:pPr>
        <w:pStyle w:val="berschrift7"/>
      </w:pPr>
      <w:bookmarkStart w:id="274" w:name="_Toc22133125"/>
      <w:r w:rsidRPr="00F049D6">
        <w:t>c) Ermächtigungsgrundlage für sog. Minusmaßnahmen</w:t>
      </w:r>
      <w:bookmarkEnd w:id="274"/>
    </w:p>
    <w:p w14:paraId="5CBD7B0A" w14:textId="77777777" w:rsidR="00AF0C32" w:rsidRPr="00AF0C32" w:rsidRDefault="00AF0C32" w:rsidP="00AF0C32">
      <w:pPr>
        <w:pStyle w:val="Randnummer"/>
        <w:framePr w:wrap="around"/>
      </w:pPr>
    </w:p>
    <w:p w14:paraId="27C07F51" w14:textId="77777777" w:rsidR="00CC7995" w:rsidRPr="00CC7995" w:rsidRDefault="00CC7995" w:rsidP="00CC7995">
      <w:r w:rsidRPr="00CC7995">
        <w:t xml:space="preserve">Fraglich ist aber, auf welche Ermächtigungsgrundlage diese „Minusmaßnahmen“ gestützt werden können. </w:t>
      </w:r>
    </w:p>
    <w:p w14:paraId="38159977" w14:textId="471119D5" w:rsidR="00CC7995" w:rsidRPr="00F049D6" w:rsidRDefault="00CC7995" w:rsidP="000434BF">
      <w:pPr>
        <w:pStyle w:val="berschrift8"/>
      </w:pPr>
      <w:bookmarkStart w:id="275" w:name="_Toc22133126"/>
      <w:r w:rsidRPr="00F049D6">
        <w:t xml:space="preserve">aa) </w:t>
      </w:r>
      <w:r w:rsidR="00D51AD4">
        <w:t>Meinung 1</w:t>
      </w:r>
      <w:r w:rsidRPr="00F049D6">
        <w:t>: § 15 I VersG</w:t>
      </w:r>
      <w:bookmarkEnd w:id="275"/>
    </w:p>
    <w:p w14:paraId="6C26228B" w14:textId="77777777" w:rsidR="00AF0C32" w:rsidRPr="00AF0C32" w:rsidRDefault="00AF0C32" w:rsidP="00AF0C32">
      <w:pPr>
        <w:pStyle w:val="Randnummer"/>
        <w:framePr w:wrap="around"/>
      </w:pPr>
    </w:p>
    <w:p w14:paraId="395E3364" w14:textId="44ADF85C" w:rsidR="00CC7995" w:rsidRPr="00CC7995" w:rsidRDefault="00CC7995" w:rsidP="00CC7995">
      <w:r w:rsidRPr="00CC7995">
        <w:t xml:space="preserve">Eine Ansicht legt § 15 I VersG dahingehend aus, dass </w:t>
      </w:r>
      <w:r w:rsidR="00D51AD4">
        <w:t>Auflage</w:t>
      </w:r>
      <w:r w:rsidRPr="00CC7995">
        <w:t xml:space="preserve">n auch nach Beginn der Versammlung erlassen werden könnten. Der genaue Wortlaut lasse dies zu. </w:t>
      </w:r>
    </w:p>
    <w:p w14:paraId="6DE651B3" w14:textId="7E953EA6" w:rsidR="00CC7995" w:rsidRPr="00CC7995" w:rsidRDefault="00CC7995" w:rsidP="00CC7995">
      <w:r w:rsidRPr="00CC7995">
        <w:t>Dies wird aufgrund der Systematik des § 15 VersG abgelehnt. I</w:t>
      </w:r>
      <w:r w:rsidR="00FD0B98">
        <w:t>m</w:t>
      </w:r>
      <w:r w:rsidRPr="00CC7995">
        <w:t xml:space="preserve"> ersten und zweiten Absatz werden demnach die „Vorfeldmaßnahmen“ abschließend geregelt, nach Beginn der Versammlung kann sie nur noch aufgelöst werden. Ansonsten wäre § 15 III VersG überflüssig, weil sich nachträgliche Verbote, d.h. Auflösungen, ebenso auf § 15 I VersG stützen ließen wie nachträgliche </w:t>
      </w:r>
      <w:r w:rsidR="00D51AD4">
        <w:t>Auflage</w:t>
      </w:r>
      <w:r w:rsidRPr="00CC7995">
        <w:t xml:space="preserve">n. Daher wird mit der zweiten Ansicht der Erlass von </w:t>
      </w:r>
      <w:r w:rsidR="003218E8">
        <w:t>Aufl</w:t>
      </w:r>
      <w:r w:rsidR="00D51AD4">
        <w:t>age</w:t>
      </w:r>
      <w:r w:rsidRPr="00CC7995">
        <w:t xml:space="preserve">n nach Versammlungsbeginn abgelehnt. § 15 I VersG ist daher keine taugliche Rechtsgrundlage. </w:t>
      </w:r>
    </w:p>
    <w:p w14:paraId="24C01C39" w14:textId="31571C06" w:rsidR="00CC7995" w:rsidRPr="00F049D6" w:rsidRDefault="00CC7995" w:rsidP="000434BF">
      <w:pPr>
        <w:pStyle w:val="berschrift8"/>
      </w:pPr>
      <w:bookmarkStart w:id="276" w:name="_Toc22133127"/>
      <w:r w:rsidRPr="00F049D6">
        <w:t xml:space="preserve">bb) </w:t>
      </w:r>
      <w:r w:rsidR="00D51AD4">
        <w:t xml:space="preserve">Meinung 2: </w:t>
      </w:r>
      <w:r w:rsidRPr="00F049D6">
        <w:t>§ 15 III VersG</w:t>
      </w:r>
      <w:bookmarkEnd w:id="276"/>
    </w:p>
    <w:p w14:paraId="0E082EA0" w14:textId="77777777" w:rsidR="00AF0C32" w:rsidRPr="00AF0C32" w:rsidRDefault="00AF0C32" w:rsidP="00AF0C32">
      <w:pPr>
        <w:pStyle w:val="Randnummer"/>
        <w:framePr w:wrap="around"/>
      </w:pPr>
    </w:p>
    <w:p w14:paraId="4A4E9649" w14:textId="136A619C" w:rsidR="00CC7995" w:rsidRDefault="00CC7995" w:rsidP="00CC7995">
      <w:r w:rsidRPr="00CC7995">
        <w:t xml:space="preserve">Eine andere Ansicht stützt Minusmaßnahmen auf § 15 III VersG i.V.m. dem jeweiligen Polizeigesetz. Mangels Spezialregelung sei das allgemeine Polizeirecht anzuwenden. Um den besonderen Schutz des Art. 8 GG nicht zu umgehen, müssten aber die Anforderungen des § 15 III VersG, </w:t>
      </w:r>
      <w:r w:rsidR="00014626">
        <w:t>insbesondere</w:t>
      </w:r>
      <w:r w:rsidRPr="00CC7995">
        <w:t xml:space="preserve"> das Erfordernis einer unmittelbaren Gefahr, in die jeweilige polizeirechtliche Norm hineingelesen werden. Gegen diese Kombination aus Bundesversammlungsrecht und Landespolizeirecht spricht die aus den unterschiedlichen Polizeigesetzen resultierende uneinheitliche Auslegung des VersG.</w:t>
      </w:r>
    </w:p>
    <w:p w14:paraId="4054EC8E" w14:textId="50720ED9" w:rsidR="00D51AD4" w:rsidRPr="00D51AD4" w:rsidRDefault="00D51AD4" w:rsidP="000434BF">
      <w:pPr>
        <w:pStyle w:val="berschrift8"/>
      </w:pPr>
      <w:bookmarkStart w:id="277" w:name="_Toc22133128"/>
      <w:r w:rsidRPr="00D51AD4">
        <w:t>cc) Meinung 3: § 15 III 3 i.V.m. § 15 I VersG</w:t>
      </w:r>
      <w:bookmarkEnd w:id="277"/>
    </w:p>
    <w:p w14:paraId="44741D55" w14:textId="2E55E9AB" w:rsidR="00CC7995" w:rsidRPr="00CC7995" w:rsidRDefault="00CC7995" w:rsidP="00CC7995">
      <w:r w:rsidRPr="00CC7995">
        <w:t xml:space="preserve">Minusmaßnahmen finden ihre Grundlage nach der anderen Ansicht in § 15 III 3 i.V.m. § 15 I VersG. Die Bezugnahme in § 15 III VersG auf die Verbotsvoraussetzungen des ersten Absatzes bezögen diese Verweisung mit der Folge ein, dass die zuständige Behörde sich zur Gefahrenabwehr aller ihr nach geltendem Recht zustehenden polizeilichen Befugnisse bedienen kann und im konkreten Fall das Mittel einzusetzen hat, das sich angesichts der konkreten Gefahrenlage als zur Beseitigung der Gefahr geeignet, erforderlich und verhältnismäßig erweist. Dabei wird § 15 I VersG als Rechtsfolgenverweis auf die nach Landesrecht bestehenden polizeilichen Eingriffsbefugnisse verstanden, so dass das Problem der uneinheitlichen Auslegung umgangen wird. Die Kombination aus § 15 III und § 15 I ist zudem vorzugswürdig, weil sie dem Vorbehalt des Gesetzes und dem rechtsstaatlichen Bestimmtheitsgebot eher Rechnung trägt. </w:t>
      </w:r>
    </w:p>
    <w:p w14:paraId="6F0A0D8D" w14:textId="77777777" w:rsidR="00CC7995" w:rsidRPr="00F049D6" w:rsidRDefault="00CC7995" w:rsidP="000434BF">
      <w:pPr>
        <w:pStyle w:val="berschrift7"/>
      </w:pPr>
      <w:bookmarkStart w:id="278" w:name="_Toc22133129"/>
      <w:r w:rsidRPr="00F049D6">
        <w:t>d) Zwischenergebnis</w:t>
      </w:r>
      <w:bookmarkEnd w:id="278"/>
    </w:p>
    <w:p w14:paraId="6AF17AFA" w14:textId="77777777" w:rsidR="00AF0C32" w:rsidRPr="00AF0C32" w:rsidRDefault="00AF0C32" w:rsidP="00AF0C32">
      <w:pPr>
        <w:pStyle w:val="Randnummer"/>
        <w:framePr w:wrap="around"/>
      </w:pPr>
    </w:p>
    <w:p w14:paraId="6FB6D2DB" w14:textId="77777777" w:rsidR="00CC7995" w:rsidRDefault="00CC7995" w:rsidP="00CC7995">
      <w:r w:rsidRPr="00CC7995">
        <w:t>Damit ist als Ermächtigungsgrundlage § 15 III i.V.m. § 15 I VersG heranzuziehen. Deren Anforderungen muss die Verfügung in formeller und materieller Hinsicht erfüllen.</w:t>
      </w:r>
    </w:p>
    <w:p w14:paraId="22397E51" w14:textId="77777777" w:rsidR="00CC7995" w:rsidRPr="00F049D6" w:rsidRDefault="00CC7995" w:rsidP="000434BF">
      <w:pPr>
        <w:pStyle w:val="berschrift6"/>
      </w:pPr>
      <w:bookmarkStart w:id="279" w:name="_Toc22133130"/>
      <w:r w:rsidRPr="00F049D6">
        <w:t>2. Formelle Rechtmäßigkeit</w:t>
      </w:r>
      <w:bookmarkEnd w:id="279"/>
    </w:p>
    <w:p w14:paraId="7A088EB6" w14:textId="77777777" w:rsidR="00CC7995" w:rsidRPr="00F049D6" w:rsidRDefault="00CC7995" w:rsidP="000434BF">
      <w:pPr>
        <w:pStyle w:val="berschrift7"/>
      </w:pPr>
      <w:bookmarkStart w:id="280" w:name="_Toc22133131"/>
      <w:r w:rsidRPr="00F049D6">
        <w:t>a) Zuständigkeit</w:t>
      </w:r>
      <w:bookmarkEnd w:id="280"/>
    </w:p>
    <w:p w14:paraId="4D07B444" w14:textId="77777777" w:rsidR="00AF0C32" w:rsidRPr="00AF0C32" w:rsidRDefault="00AF0C32" w:rsidP="00AF0C32">
      <w:pPr>
        <w:pStyle w:val="Randnummer"/>
        <w:framePr w:wrap="around"/>
      </w:pPr>
    </w:p>
    <w:p w14:paraId="3557D14E" w14:textId="502C5810" w:rsidR="00CC7995" w:rsidRPr="00CC7995" w:rsidRDefault="00CC7995" w:rsidP="00CC7995">
      <w:r w:rsidRPr="00CC7995">
        <w:t>Gehandelt hat die Polizeibehörde. Diese müsste zuständig gewesen se</w:t>
      </w:r>
      <w:r w:rsidR="00D51AD4">
        <w:t>in. Gem. § 89 I 1 HSOG i.V.m. § 1 S. 1 Nr. 1 </w:t>
      </w:r>
      <w:r w:rsidRPr="00CC7995">
        <w:t xml:space="preserve">HSOG-DVO, §§ 89 II 1, 85 I </w:t>
      </w:r>
      <w:r w:rsidR="00E91AF0">
        <w:t>1</w:t>
      </w:r>
      <w:r w:rsidRPr="00CC7995">
        <w:t xml:space="preserve"> Nr. 4 HSOG ist die allgemeine Ordnungsbehörde, d.h. der Oberbürgermeister der Stadt Frankfurt, als Versammlungsbehörde zuständig. Die Zuständigkeit der Polizeibehörde könnte sich aber aus der Eilfallkompetenz des § 2 </w:t>
      </w:r>
      <w:r w:rsidR="00D51AD4">
        <w:t xml:space="preserve">S. </w:t>
      </w:r>
      <w:r w:rsidR="00E91AF0">
        <w:t>1</w:t>
      </w:r>
      <w:r w:rsidRPr="00CC7995">
        <w:t xml:space="preserve"> HSOG ergeben. Dazu müsste die Gefahrenabwehr durch andere Behörden als nicht oder nicht rechtzeitig möglich erscheinen. An diesem Donnerstagmittag sind keine Anhaltspunkte ersichtlich, warum die Benachrichtigung und ein anschließendes Tätigwerden der Versammlungsbehörde nicht möglich sein soll. Ein dringendes Einschreiten ergibt sich auch nicht daraus, dass A dem äußeren Anschein nach einer bewaffneten Bundeswehrsoldatin täuschend ähnlich gewesen sein soll und Passanten verunsicherte. Auch die Irritation der Bankangestellten stellt keine unmittelbar drohende erhebliche Gefahr dar, die eine ausnahmsweise Außerachtlassung der gesetzlichen Kompetenzverteilung erfordert. Daher handelte eine unzuständige Behörde.</w:t>
      </w:r>
    </w:p>
    <w:p w14:paraId="3E384554" w14:textId="77777777" w:rsidR="00CC7995" w:rsidRPr="00F049D6" w:rsidRDefault="00CC7995" w:rsidP="000434BF">
      <w:pPr>
        <w:pStyle w:val="berschrift7"/>
      </w:pPr>
      <w:bookmarkStart w:id="281" w:name="_Toc22133132"/>
      <w:r w:rsidRPr="00F049D6">
        <w:t>b) Verfahren</w:t>
      </w:r>
      <w:bookmarkEnd w:id="281"/>
    </w:p>
    <w:p w14:paraId="33E06DCB" w14:textId="77777777" w:rsidR="00AF0C32" w:rsidRPr="00AF0C32" w:rsidRDefault="00AF0C32" w:rsidP="00AF0C32">
      <w:pPr>
        <w:pStyle w:val="Randnummer"/>
        <w:framePr w:wrap="around"/>
      </w:pPr>
    </w:p>
    <w:p w14:paraId="0FC88B66" w14:textId="1DB1A1D2" w:rsidR="00CC7995" w:rsidRPr="00CC7995" w:rsidRDefault="00CC7995" w:rsidP="00CC7995">
      <w:r w:rsidRPr="00CC7995">
        <w:t xml:space="preserve">Die nach § 28 I </w:t>
      </w:r>
      <w:r w:rsidR="00FD0B98">
        <w:t>H</w:t>
      </w:r>
      <w:r w:rsidRPr="00CC7995">
        <w:t xml:space="preserve">VwVfG erforderliche Anhörung fand statt, als die Beamten im Gespräch mit A und B ihren Einwänden </w:t>
      </w:r>
      <w:r w:rsidR="00D51AD4">
        <w:t>zuhörten</w:t>
      </w:r>
      <w:r w:rsidRPr="00CC7995">
        <w:t xml:space="preserve">. </w:t>
      </w:r>
    </w:p>
    <w:p w14:paraId="4482B9AC" w14:textId="77777777" w:rsidR="00CC7995" w:rsidRPr="00F049D6" w:rsidRDefault="00CC7995" w:rsidP="000434BF">
      <w:pPr>
        <w:pStyle w:val="berschrift7"/>
      </w:pPr>
      <w:bookmarkStart w:id="282" w:name="_Toc22133133"/>
      <w:r w:rsidRPr="00F049D6">
        <w:t>c) Form</w:t>
      </w:r>
      <w:bookmarkEnd w:id="282"/>
    </w:p>
    <w:p w14:paraId="206124DD" w14:textId="77777777" w:rsidR="00AF0C32" w:rsidRPr="00AF0C32" w:rsidRDefault="00AF0C32" w:rsidP="00AF0C32">
      <w:pPr>
        <w:pStyle w:val="Randnummer"/>
        <w:framePr w:wrap="around"/>
      </w:pPr>
    </w:p>
    <w:p w14:paraId="6619D58C" w14:textId="1626FE33" w:rsidR="00CC7995" w:rsidRPr="00CC7995" w:rsidRDefault="00CC7995" w:rsidP="00CC7995">
      <w:r w:rsidRPr="00CC7995">
        <w:t xml:space="preserve">Der Verwaltungsakt erging mündlich, was nach dem Grundsatz der Formfreiheit (§ 10 </w:t>
      </w:r>
      <w:r w:rsidR="00FD0B98">
        <w:t> H</w:t>
      </w:r>
      <w:r w:rsidRPr="00CC7995">
        <w:t xml:space="preserve">VwVfG) möglich ist. Eine Begründung war daher entbehrlich, vgl. § 39 I </w:t>
      </w:r>
      <w:r w:rsidR="00FD0B98">
        <w:t>H</w:t>
      </w:r>
      <w:r w:rsidRPr="00CC7995">
        <w:t>VwVfG.</w:t>
      </w:r>
    </w:p>
    <w:p w14:paraId="255B8FB7" w14:textId="128EB079" w:rsidR="00CC7995" w:rsidRPr="00F049D6" w:rsidRDefault="00CC7995" w:rsidP="000434BF">
      <w:pPr>
        <w:pStyle w:val="berschrift7"/>
      </w:pPr>
      <w:bookmarkStart w:id="283" w:name="_Toc22133134"/>
      <w:r w:rsidRPr="00F049D6">
        <w:t>d) Zwischenergebnis</w:t>
      </w:r>
      <w:bookmarkEnd w:id="283"/>
    </w:p>
    <w:p w14:paraId="49CFE982" w14:textId="77777777" w:rsidR="00AF0C32" w:rsidRPr="00AF0C32" w:rsidRDefault="00AF0C32" w:rsidP="00AF0C32">
      <w:pPr>
        <w:pStyle w:val="Randnummer"/>
        <w:framePr w:wrap="around"/>
      </w:pPr>
    </w:p>
    <w:p w14:paraId="44A52ED4" w14:textId="0E4D4500" w:rsidR="00CC7995" w:rsidRPr="00CC7995" w:rsidRDefault="00CC7995" w:rsidP="00CC7995">
      <w:r w:rsidRPr="00CC7995">
        <w:t>Die Maßnahme war mangels Zuständigkeit der handelnden Behörde formell recht</w:t>
      </w:r>
      <w:r w:rsidR="00D51AD4">
        <w:t>s</w:t>
      </w:r>
      <w:r w:rsidRPr="00CC7995">
        <w:t>widrig.</w:t>
      </w:r>
    </w:p>
    <w:p w14:paraId="468C2F90" w14:textId="77777777" w:rsidR="00CC7995" w:rsidRPr="00F049D6" w:rsidRDefault="00CC7995" w:rsidP="000434BF">
      <w:pPr>
        <w:pStyle w:val="berschrift6"/>
      </w:pPr>
      <w:bookmarkStart w:id="284" w:name="_Toc22133135"/>
      <w:r w:rsidRPr="00F049D6">
        <w:t>3. Materielle Rechtmäßigkeit</w:t>
      </w:r>
      <w:bookmarkEnd w:id="284"/>
    </w:p>
    <w:p w14:paraId="483DF50C" w14:textId="77777777" w:rsidR="00AF0C32" w:rsidRPr="00AF0C32" w:rsidRDefault="00AF0C32" w:rsidP="00AF0C32">
      <w:pPr>
        <w:pStyle w:val="Randnummer"/>
        <w:framePr w:wrap="around"/>
      </w:pPr>
    </w:p>
    <w:p w14:paraId="0B098DD1" w14:textId="77777777" w:rsidR="00CC7995" w:rsidRPr="00CC7995" w:rsidRDefault="00CC7995" w:rsidP="00CC7995">
      <w:r w:rsidRPr="00CC7995">
        <w:t xml:space="preserve">Darüber hinaus könnte die Verfügung auch materiell rechtswidrig sein. </w:t>
      </w:r>
    </w:p>
    <w:p w14:paraId="7039A704" w14:textId="77777777" w:rsidR="00CC7995" w:rsidRPr="00F049D6" w:rsidRDefault="00CC7995" w:rsidP="000434BF">
      <w:pPr>
        <w:pStyle w:val="berschrift7"/>
      </w:pPr>
      <w:bookmarkStart w:id="285" w:name="_Toc22133136"/>
      <w:r w:rsidRPr="00F049D6">
        <w:t>a) Tatbestand</w:t>
      </w:r>
      <w:bookmarkEnd w:id="285"/>
    </w:p>
    <w:p w14:paraId="0BEE9884" w14:textId="77777777" w:rsidR="00AF0C32" w:rsidRPr="00AF0C32" w:rsidRDefault="00AF0C32" w:rsidP="00AF0C32">
      <w:pPr>
        <w:pStyle w:val="Randnummer"/>
        <w:framePr w:wrap="around"/>
      </w:pPr>
    </w:p>
    <w:p w14:paraId="6EC92BA0" w14:textId="08A7B225" w:rsidR="00CC7995" w:rsidRPr="00CC7995" w:rsidRDefault="00CC7995" w:rsidP="00CC7995">
      <w:r w:rsidRPr="00CC7995">
        <w:t>§ 15 III i.V.m. § 15 I VersG verlangt eine unmittelbar bevorstehende Gefahr für die öffentliche Sicherheit oder Ordnung. Die Schutzgüter des VersG werden genauso wie in den Landespolizeigesetzen verstanden. Dementsprechend fallen unter die öffentliche Sicherheit die Unversehrtheit der Rechtsordnung, der subjektiven Rechte und Rechtsgüter Dritter und der Einrichtungen des Staates.</w:t>
      </w:r>
      <w:r w:rsidR="00A566D1">
        <w:t xml:space="preserve"> </w:t>
      </w:r>
      <w:r w:rsidRPr="00CC7995">
        <w:t>Die Unversehrtheit der Rechtsordnung könnte durch einen Verstoß gegen § 42a I Nr. 1 WaffG verletzt sein.</w:t>
      </w:r>
    </w:p>
    <w:p w14:paraId="0B08353F" w14:textId="77777777" w:rsidR="00CC7995" w:rsidRPr="00F049D6" w:rsidRDefault="00CC7995" w:rsidP="000434BF">
      <w:pPr>
        <w:pStyle w:val="berschrift8"/>
      </w:pPr>
      <w:bookmarkStart w:id="286" w:name="_Toc22133137"/>
      <w:r w:rsidRPr="00F049D6">
        <w:t>aa) Tatbestand des § 42a I Nr. 1 WaffG</w:t>
      </w:r>
      <w:bookmarkEnd w:id="286"/>
      <w:r w:rsidRPr="00F049D6">
        <w:t xml:space="preserve"> </w:t>
      </w:r>
    </w:p>
    <w:p w14:paraId="5B5DBA8C" w14:textId="77777777" w:rsidR="00AF0C32" w:rsidRPr="00AF0C32" w:rsidRDefault="00AF0C32" w:rsidP="00AF0C32">
      <w:pPr>
        <w:pStyle w:val="Randnummer"/>
        <w:framePr w:wrap="around"/>
      </w:pPr>
    </w:p>
    <w:p w14:paraId="54EF78EB" w14:textId="77777777" w:rsidR="00CC7995" w:rsidRPr="00CC7995" w:rsidRDefault="00CC7995" w:rsidP="00CC7995">
      <w:r w:rsidRPr="00CC7995">
        <w:t>Dazu müsste der Tatbestand des § 42 a I Nr. 1 WaffG erfüllt sein, der das Führen von Anscheinswaffen verbietet. Anscheinswaffen sind Gegenstände, die zwar das Aussehen, nicht aber die Funktionsfähigkeit von Waffen haben. Zu A’s Kostüm gehörte eine täuschend echt aussehende Sturmgewehrattrappe, die sie offen zeigte. Daher liegt das Führen einer Anscheinswaffe vor.</w:t>
      </w:r>
    </w:p>
    <w:p w14:paraId="22CDC15C" w14:textId="77777777" w:rsidR="00CC7995" w:rsidRPr="00F049D6" w:rsidRDefault="00CC7995" w:rsidP="000434BF">
      <w:pPr>
        <w:pStyle w:val="berschrift8"/>
      </w:pPr>
      <w:bookmarkStart w:id="287" w:name="_Toc22133138"/>
      <w:r w:rsidRPr="00F049D6">
        <w:t>bb) Ausnahme nach § 42a II WaffG</w:t>
      </w:r>
      <w:bookmarkEnd w:id="287"/>
    </w:p>
    <w:p w14:paraId="35CA6859" w14:textId="77777777" w:rsidR="00AF0C32" w:rsidRPr="00AF0C32" w:rsidRDefault="00AF0C32" w:rsidP="00AF0C32">
      <w:pPr>
        <w:pStyle w:val="Randnummer"/>
        <w:framePr w:wrap="around"/>
      </w:pPr>
    </w:p>
    <w:p w14:paraId="4A7FA357" w14:textId="77777777" w:rsidR="00CC7995" w:rsidRPr="00CC7995" w:rsidRDefault="00CC7995" w:rsidP="00CC7995">
      <w:r w:rsidRPr="00CC7995">
        <w:t>Allerdings könnte eine Ausnahme nach § 42a II WaffG einschlägig sein. Gem. § 42a II Nr. 1 WaffG gilt das Verbot des Führens von Anscheinswaffen u.a. nicht für die Verwendung bei Theateraufführungen. Fraglich ist, ob sich die szenische Einlage der A bei einer öffentlichen Versammlung unter den Begriff der Theateraufführung i.S.d. § 42a II Nr. 1 WaffG subsumieren lässt.</w:t>
      </w:r>
    </w:p>
    <w:p w14:paraId="1DAA24F0" w14:textId="29A8800B" w:rsidR="00CC7995" w:rsidRPr="00CC7995" w:rsidRDefault="00CC7995" w:rsidP="00CC7995">
      <w:r w:rsidRPr="00CC7995">
        <w:t xml:space="preserve">Um eine konventionelle Theateraufführung handelt es sich nicht. Möglicherweise verlangt jedoch das Grundrecht der Kunstfreiheit eine weite Auslegung des Begriffs der Theateraufführung. Dafür müsste zunächst der Schutzbereich des Art. 5 III GG eröffnet sein. Maßgeblich für die Einordnung als Kunst ist nicht eine objektive Beurteilung durch in Kunstdingen kompetente Personen, sondern die Auffassung der Kunstszene einschließlich des Künstlers </w:t>
      </w:r>
      <w:r w:rsidR="00D51AD4">
        <w:t>selbst</w:t>
      </w:r>
      <w:r w:rsidRPr="00CC7995">
        <w:t xml:space="preserve"> und die durch ihn geschaffene Beziehung zu den Adressaten des Kunstwerks. Daher kommt es nicht darauf an, ob die Polizisten Kunstsachverständige sind. Geschützt ist der „Werkbereich“ des künstlerischen Schaffens wie auch der „Wirkbereich“ der Darbietung und Verbreitung des Kunstwerks. Angesichts der Eigenheit des Lebensbereichs „Kunst“ ist ein weiter Kunstbegriff zu bevorzugen. So unterfällt </w:t>
      </w:r>
      <w:r w:rsidR="00D51AD4">
        <w:t>insbesondere</w:t>
      </w:r>
      <w:r w:rsidRPr="00CC7995">
        <w:t xml:space="preserve"> auch politisches Straßentheater dem Kunstbegriff, denn der öffentliche Platz war jahrhundertelang der legitime Ort schauspielerischer Darstellung; fest installierten Bühnen gebührt kein Vorrang gegenüber Wanderbühnen. Maßgeblich ist vielmehr, ob eine schöpferische Gestaltung vorliegt, in der Eindrücke, Erfahrungen, Erlebnisse des Künstlers durch das Medium einer bestimmten Formensprache zu unmittelbarer Anschauung gebracht werden mit dem Zweck der kommunikativen Sinnvermittlung. Indem sich A und B mit Kostümen und Requisiten wie den strittigen Sturmgewehrattrappen</w:t>
      </w:r>
      <w:r w:rsidR="00D51AD4">
        <w:t>,</w:t>
      </w:r>
      <w:r w:rsidRPr="00CC7995">
        <w:t xml:space="preserve"> verkleidet als „Wachsoldaten“ vor der C-Bank postierten, brachten sie ihre Kritik am Einsatz der Bundeswehr zum Schutz wirtschaftlicher Interessen bildhaft zum Ausdruck. Diese auffällige Kundgabe, die durch die ander</w:t>
      </w:r>
      <w:r w:rsidR="00FD0B98">
        <w:t>e</w:t>
      </w:r>
      <w:r w:rsidRPr="00CC7995">
        <w:t xml:space="preserve">n fünf als „Banker“ agierenden Personen verstärkt wurde, zielte auf die Verunsicherung und Irritation der Passanten, um diese zum Nachdenken über das Gesehene anzuregen. Diese Darstellung bedurfte zwar keines Textes, wohl aber der Ausstattung mit Kostümen und den umstrittenen Requisiten, um die gewünschte authentische Darstellung von Bundeswehrsoldaten zu erreichen. Die Gewehrattrappen dürfen nicht losgelöst von diesem Kontext betrachtet und auf ihre Strafbarkeit hin untersucht werden: Bei der Beurteilung einer künstlerischen Darstellung ist stets eine Gesamtschau vorzunehmen. </w:t>
      </w:r>
    </w:p>
    <w:p w14:paraId="2357C6FB" w14:textId="77777777" w:rsidR="00CC7995" w:rsidRPr="00CC7995" w:rsidRDefault="00CC7995" w:rsidP="00CC7995">
      <w:r w:rsidRPr="00CC7995">
        <w:t xml:space="preserve">Der Schutzbereich der Kunstfreiheit ist nicht dadurch ausgeschlossen, dass die Darstellungen bei einer Versammlung erfolgten. Art. 5 III GG gewährt insoweit einen weitergehenden Schutz als Art. 8 GG, da die Kunstfreiheit auch den Vorgang der künstlerischen Schöpfung, der Gestaltung und der Präsentation des Geschaffenen einbezieht, so dass es zur Verstärkung der grundrechtlichen Position aus Art. 8 GG kommt. </w:t>
      </w:r>
    </w:p>
    <w:p w14:paraId="79796312" w14:textId="77777777" w:rsidR="00CC7995" w:rsidRPr="00CC7995" w:rsidRDefault="00CC7995" w:rsidP="00CC7995">
      <w:r w:rsidRPr="00CC7995">
        <w:t>Außerdem stehen Sinn und Zweck der Ausnahmevorschrift des § 42a II Nr. 1 WaffG dieser Auslegung nicht entgegen, weil die Anscheinswaffen unter Berücksichtigung der Gesamtumstände als solche erkennbar waren: Die Versammlung war rechtzeitig angemeldet und fand mittags an einem Werktag statt; bereits in der Anmeldung fand sich ein Hinweis auf „Attrappen“; angesichts der Flugblätter verteilenden Banker war von einer Zweckentfremdung der Gewehre für eine szenische Interpretation auszugehen. Objektive Anhaltspunkte für eine Gefahr lagen daher nicht vor.</w:t>
      </w:r>
    </w:p>
    <w:p w14:paraId="200D8B6E" w14:textId="77777777" w:rsidR="00CC7995" w:rsidRPr="00F049D6" w:rsidRDefault="00CC7995" w:rsidP="000434BF">
      <w:pPr>
        <w:pStyle w:val="berschrift7"/>
      </w:pPr>
      <w:bookmarkStart w:id="288" w:name="_Toc22133139"/>
      <w:r w:rsidRPr="00F049D6">
        <w:t>b) Zwischenergebnis</w:t>
      </w:r>
      <w:bookmarkEnd w:id="288"/>
      <w:r w:rsidRPr="00F049D6">
        <w:t xml:space="preserve"> </w:t>
      </w:r>
    </w:p>
    <w:p w14:paraId="3111EFDB" w14:textId="77777777" w:rsidR="00AF0C32" w:rsidRPr="00AF0C32" w:rsidRDefault="00AF0C32" w:rsidP="00AF0C32">
      <w:pPr>
        <w:pStyle w:val="Randnummer"/>
        <w:framePr w:wrap="around"/>
      </w:pPr>
    </w:p>
    <w:p w14:paraId="42AABF72" w14:textId="77777777" w:rsidR="00CC7995" w:rsidRPr="00CC7995" w:rsidRDefault="00CC7995" w:rsidP="00CC7995">
      <w:r w:rsidRPr="00CC7995">
        <w:t>Danach ist in verfassungskonformer Auslegung und Anwendung der Ausnahmevorschrift des § 42a II Nr. 1 WaffG das politische Straßentheater als „Theateraufführung“ anzusehen. Folglich war das öffentliche Führen der Gewehrattrappen nicht verboten. Die Rechtsordnung als Teil der öffentlichen Sicherheit ist somit nicht verletzt.</w:t>
      </w:r>
    </w:p>
    <w:p w14:paraId="4EA017FE" w14:textId="77777777" w:rsidR="00CC7995" w:rsidRPr="00F049D6" w:rsidRDefault="00CC7995" w:rsidP="000434BF">
      <w:pPr>
        <w:pStyle w:val="berschrift6"/>
      </w:pPr>
      <w:bookmarkStart w:id="289" w:name="_Toc22133140"/>
      <w:r w:rsidRPr="00F049D6">
        <w:t>4. Zwischenergebnis</w:t>
      </w:r>
      <w:bookmarkEnd w:id="289"/>
    </w:p>
    <w:p w14:paraId="182B7004" w14:textId="77777777" w:rsidR="00AF0C32" w:rsidRPr="00AF0C32" w:rsidRDefault="00AF0C32" w:rsidP="00AF0C32">
      <w:pPr>
        <w:pStyle w:val="Randnummer"/>
        <w:framePr w:wrap="around"/>
      </w:pPr>
    </w:p>
    <w:p w14:paraId="6EC541D0" w14:textId="77777777" w:rsidR="00CC7995" w:rsidRPr="00CC7995" w:rsidRDefault="00CC7995" w:rsidP="00CC7995">
      <w:r w:rsidRPr="00CC7995">
        <w:t>Daher ist der Tatbestand des § 15 III i.V.m. § 15 I VersG nicht erfüllt, so dass die Maßnahme auch materiell rechtswidrig ist.</w:t>
      </w:r>
    </w:p>
    <w:p w14:paraId="2047069B" w14:textId="77777777" w:rsidR="00CC7995" w:rsidRPr="00F049D6" w:rsidRDefault="00CC7995" w:rsidP="000434BF">
      <w:pPr>
        <w:pStyle w:val="berschrift5"/>
      </w:pPr>
      <w:bookmarkStart w:id="290" w:name="_Toc22133141"/>
      <w:r w:rsidRPr="00F049D6">
        <w:t>II. Rechtsverletzung</w:t>
      </w:r>
      <w:bookmarkEnd w:id="290"/>
    </w:p>
    <w:p w14:paraId="5574F98E" w14:textId="77777777" w:rsidR="00AF0C32" w:rsidRPr="00AF0C32" w:rsidRDefault="00AF0C32" w:rsidP="00AF0C32">
      <w:pPr>
        <w:pStyle w:val="Randnummer"/>
        <w:framePr w:wrap="around"/>
      </w:pPr>
    </w:p>
    <w:p w14:paraId="42BEE202" w14:textId="77777777" w:rsidR="000434BF" w:rsidRDefault="00CC7995" w:rsidP="00F049D6">
      <w:r w:rsidRPr="00CC7995">
        <w:t>Die formell und materiell rechtswidrige Maßnahme verletzte A in ihren Grundrechten aus Art. 8 und Art. 5 III GG.</w:t>
      </w:r>
    </w:p>
    <w:p w14:paraId="5671BEE6" w14:textId="77777777" w:rsidR="000434BF" w:rsidRDefault="000434BF" w:rsidP="00F049D6"/>
    <w:p w14:paraId="34795D60" w14:textId="2FF1485C" w:rsidR="00CC7995" w:rsidRPr="00F049D6" w:rsidRDefault="00CC7995" w:rsidP="000434BF">
      <w:pPr>
        <w:pStyle w:val="berschrift4"/>
      </w:pPr>
      <w:bookmarkStart w:id="291" w:name="_Toc22133142"/>
      <w:r w:rsidRPr="00F049D6">
        <w:t>C. Ergebnis</w:t>
      </w:r>
      <w:bookmarkEnd w:id="291"/>
    </w:p>
    <w:p w14:paraId="0396ADF5" w14:textId="77777777" w:rsidR="00AF0C32" w:rsidRPr="00AF0C32" w:rsidRDefault="00AF0C32" w:rsidP="00AF0C32">
      <w:pPr>
        <w:pStyle w:val="Randnummer"/>
        <w:framePr w:wrap="around"/>
      </w:pPr>
    </w:p>
    <w:p w14:paraId="4C738487" w14:textId="08386584" w:rsidR="000434BF" w:rsidRDefault="00CC7995" w:rsidP="00CC7995">
      <w:r w:rsidRPr="00CC7995">
        <w:t>Die zulässige und begründete Klage der A hat somit Aussicht auf Erfolg.</w:t>
      </w:r>
    </w:p>
    <w:bookmarkEnd w:id="253"/>
    <w:p w14:paraId="769B369E" w14:textId="77777777" w:rsidR="000434BF" w:rsidRDefault="000434BF">
      <w:pPr>
        <w:jc w:val="left"/>
      </w:pPr>
      <w:r>
        <w:br w:type="page"/>
      </w:r>
    </w:p>
    <w:p w14:paraId="06B00E21" w14:textId="586C6FF5" w:rsidR="00FC741E" w:rsidRDefault="00F1012B" w:rsidP="008779DD">
      <w:pPr>
        <w:pStyle w:val="berschrift2"/>
      </w:pPr>
      <w:bookmarkStart w:id="292" w:name="_Toc10464018"/>
      <w:bookmarkStart w:id="293" w:name="_Toc13833434"/>
      <w:bookmarkStart w:id="294" w:name="_Toc22132778"/>
      <w:r>
        <w:t>Fall 8:</w:t>
      </w:r>
      <w:r w:rsidR="00FC741E">
        <w:t xml:space="preserve"> Fortsetzungsfeststellungsklage auf Feststellung des Bestehens eines Zulassungsanspruchs einer Partei zu einer kommunalen Einrichtung</w:t>
      </w:r>
      <w:r w:rsidR="004F01E4">
        <w:t xml:space="preserve"> (Judith Sikora)</w:t>
      </w:r>
      <w:bookmarkEnd w:id="292"/>
      <w:bookmarkEnd w:id="293"/>
      <w:bookmarkEnd w:id="294"/>
    </w:p>
    <w:p w14:paraId="6B288BA5" w14:textId="0D823B8B" w:rsidR="0017745A" w:rsidRPr="0017745A" w:rsidRDefault="0017745A" w:rsidP="0017745A">
      <w:pPr>
        <w:pStyle w:val="Autorin"/>
      </w:pPr>
      <w:r>
        <w:t>Judith Sikora</w:t>
      </w:r>
    </w:p>
    <w:p w14:paraId="52F60B1E" w14:textId="77777777" w:rsidR="00FC741E" w:rsidRPr="00FC741E" w:rsidRDefault="00FC741E" w:rsidP="00FC741E">
      <w:pPr>
        <w:pStyle w:val="Randnummer"/>
        <w:framePr w:wrap="around"/>
      </w:pPr>
    </w:p>
    <w:bookmarkEnd w:id="215"/>
    <w:p w14:paraId="3579E70F" w14:textId="16DE9F3E" w:rsidR="00C97686" w:rsidRDefault="00C97686" w:rsidP="00C97686">
      <w:r>
        <w:t xml:space="preserve">Der Fall ist </w:t>
      </w:r>
      <w:r w:rsidRPr="00FC741E">
        <w:t xml:space="preserve">angelehnt an VG Gießen, Beschl. v. 20.12.2017, Az.: 8 L 9187/17.GI; nachfolgend: </w:t>
      </w:r>
      <w:hyperlink r:id="rId51" w:history="1">
        <w:r w:rsidRPr="001C6B07">
          <w:rPr>
            <w:rStyle w:val="Hyperlink"/>
          </w:rPr>
          <w:t>BVerfG, Beschl. v. 24.3.2018, Az.: 1 BvQ 18/18</w:t>
        </w:r>
      </w:hyperlink>
      <w:r w:rsidRPr="00FC741E">
        <w:t xml:space="preserve">; nachfolgend: </w:t>
      </w:r>
      <w:hyperlink r:id="rId52" w:history="1">
        <w:r w:rsidRPr="001C6B07">
          <w:rPr>
            <w:rStyle w:val="Hyperlink"/>
          </w:rPr>
          <w:t xml:space="preserve">Hess. VGH, Beschl. v. 23.2.2018, </w:t>
        </w:r>
        <w:r w:rsidR="00FD0B98">
          <w:rPr>
            <w:rStyle w:val="Hyperlink"/>
          </w:rPr>
          <w:t xml:space="preserve">Az.: </w:t>
        </w:r>
        <w:r w:rsidRPr="001C6B07">
          <w:rPr>
            <w:rStyle w:val="Hyperlink"/>
          </w:rPr>
          <w:t>8 B 23/18</w:t>
        </w:r>
      </w:hyperlink>
      <w:r w:rsidR="00FD0B98">
        <w:rPr>
          <w:rStyle w:val="Hyperlink"/>
        </w:rPr>
        <w:t>.</w:t>
      </w:r>
    </w:p>
    <w:p w14:paraId="20A20D95" w14:textId="77777777" w:rsidR="00C97686" w:rsidRPr="00FC741E" w:rsidRDefault="00C97686" w:rsidP="00C97686">
      <w:pPr>
        <w:pStyle w:val="Randnummer"/>
        <w:framePr w:h="737" w:wrap="around"/>
      </w:pPr>
    </w:p>
    <w:p w14:paraId="03EFCC86" w14:textId="77777777" w:rsidR="00C97686" w:rsidRDefault="00C97686" w:rsidP="00C97686">
      <w:r w:rsidRPr="00FC741E">
        <w:t>Lernziele/Schwerpunkte: Fortsetzungsfeststellungsklage</w:t>
      </w:r>
      <w:r>
        <w:t xml:space="preserve"> als Fortsetzung einer </w:t>
      </w:r>
      <w:r w:rsidRPr="00FC741E">
        <w:t xml:space="preserve">Verpflichtungsklage, Zulassungsanspruch von Parteien zu öffentlichen Einrichtungen </w:t>
      </w:r>
    </w:p>
    <w:p w14:paraId="33325DCC" w14:textId="77777777" w:rsidR="00772351" w:rsidRPr="00FC741E" w:rsidRDefault="00772351" w:rsidP="00C97686"/>
    <w:p w14:paraId="2185D76B" w14:textId="77777777" w:rsidR="00C97686" w:rsidRPr="00F049D6" w:rsidRDefault="00C97686" w:rsidP="0001383E">
      <w:pPr>
        <w:pStyle w:val="berschrift3"/>
      </w:pPr>
      <w:r w:rsidRPr="00F049D6">
        <w:t>Sachverhalt</w:t>
      </w:r>
    </w:p>
    <w:p w14:paraId="26A5FA31" w14:textId="77777777" w:rsidR="00C97686" w:rsidRPr="00FC741E" w:rsidRDefault="00C97686" w:rsidP="00C97686">
      <w:pPr>
        <w:pStyle w:val="Randnummer"/>
        <w:framePr w:h="737" w:wrap="around"/>
      </w:pPr>
    </w:p>
    <w:p w14:paraId="487BE6DE" w14:textId="563739C3" w:rsidR="00C97686" w:rsidRPr="00FC741E" w:rsidRDefault="00C97686" w:rsidP="00C97686">
      <w:r w:rsidRPr="00FC741E">
        <w:t xml:space="preserve">Der Stadtverband W-Stadt des Landesverbandes Hessen der Nationalen Partei Deutschlands (N-Partei), organisiert als privatrechtlicher Verein, möchte in der Stadt W am Samstag, den 13.1.2018 </w:t>
      </w:r>
      <w:r w:rsidR="00A8236D">
        <w:t>eine</w:t>
      </w:r>
      <w:r w:rsidR="00A8236D" w:rsidRPr="00FC741E">
        <w:t>n</w:t>
      </w:r>
      <w:r w:rsidRPr="00FC741E">
        <w:t xml:space="preserve"> Landesparteitag abhalten. Die Stadthalle in W wird durch d</w:t>
      </w:r>
      <w:r>
        <w:t xml:space="preserve">en Eigenbetrieb </w:t>
      </w:r>
      <w:r w:rsidRPr="00FC741E">
        <w:t>„Stadthallen W-Stadt</w:t>
      </w:r>
      <w:r w:rsidR="00FD0B98">
        <w:t>“</w:t>
      </w:r>
      <w:r w:rsidRPr="00FC741E">
        <w:t xml:space="preserve"> (S)</w:t>
      </w:r>
      <w:r>
        <w:t xml:space="preserve"> bewirtschaftet</w:t>
      </w:r>
      <w:r w:rsidRPr="00FC741E">
        <w:t>, dessen Zweck nach § 1 I und II der Betriebssatzung [...] vom 13.11.1990 in der Fassung der 2. Änderungssatzung vom 30.3.1995 unter anderem die Verwaltung der Stadthalle ist. Die Ausgestaltung der jeweiligen Benutzungsverhältnisse erfolgt mittels privatrechtlicher Nutzungsverträge bei denen jeweils Bezug genommen wird auf die Allgemeinen Mietbedingungen (AMB).</w:t>
      </w:r>
    </w:p>
    <w:p w14:paraId="5454ADE9" w14:textId="77777777" w:rsidR="00C97686" w:rsidRPr="00FC741E" w:rsidRDefault="00C97686" w:rsidP="00C97686">
      <w:r w:rsidRPr="00FC741E">
        <w:t xml:space="preserve">Der Vorsitzende V des Stadtverbandes fragte am 30.6.2017 per E-Mail bei S an, ob er die Stadthalle für Samstag, den 13.1.2018 von 6:00 Uhr bis zum Sonntag, den 14.1.2018 um 9:00 Uhr zur Durchführung des Landesparteitags der N-Partei anmieten könnte. Eine Mitarbeiterin der S teilte V am 3.7.2017 mit, dass die Termine 13.1.2018 und 14.1.2018 in der Stadthalle </w:t>
      </w:r>
      <w:r>
        <w:t>W</w:t>
      </w:r>
      <w:r w:rsidRPr="00FC741E">
        <w:t xml:space="preserve">-Stadt bereits anderweitig fest gebucht seien und nicht mehr zur Verfügung stünden. Der Vorsitzende bat daraufhin um Übersendung des Veranstaltungskalenders der Stadthalle </w:t>
      </w:r>
      <w:r>
        <w:t>W</w:t>
      </w:r>
      <w:r w:rsidRPr="00FC741E">
        <w:t xml:space="preserve">-Stadt für das Jahr 2018, um nach einem Alternativtermin suchen zu können. Diese Auskunft verweigerte S, weil diese Auskunft generell nicht an Externe erteilt werden und darüber hinaus auch zu keinem weiteren Termin im Jahr 2018 zur Verfügung gestellt werden könne. In diesem Zusammenhang verweist S auf Ziff. 1 lit. b) </w:t>
      </w:r>
      <w:r>
        <w:t xml:space="preserve">der </w:t>
      </w:r>
      <w:r w:rsidRPr="00FC741E">
        <w:t xml:space="preserve">AMB, wonach Nutzern, die verfassungsfeindliche Ziele verfolgten, die Halle nicht überlassen werde. </w:t>
      </w:r>
    </w:p>
    <w:p w14:paraId="4FA0A6A0" w14:textId="77777777" w:rsidR="00C97686" w:rsidRPr="00FC741E" w:rsidRDefault="00C97686" w:rsidP="00C97686">
      <w:r w:rsidRPr="00FC741E">
        <w:t xml:space="preserve">V glaubt, dass diese Terminengpässe nur vorgeschoben seien und dass die N-Partei systematisch diskriminiert werde. Er verlangt von W, sich darum zu kümmern, dass die N die Halle zu Verfügung gestellt bekommt. In den letzten Jahren hätten andere Parteien Landesparteitage, Wahlkampfveranstaltungen oder andere Veranstaltungen mit parteipolitischem Charakter in der Stadthalle durchgeführt. Die N-Partei dürfe nicht schlechter behandelt werden als andere politische Vereinigungen, dies verbiete das Parteienrecht. </w:t>
      </w:r>
    </w:p>
    <w:p w14:paraId="61251FF0" w14:textId="77777777" w:rsidR="00C97686" w:rsidRPr="00FC741E" w:rsidRDefault="00C97686" w:rsidP="00C97686">
      <w:r w:rsidRPr="00FC741E">
        <w:t xml:space="preserve">Außerdem stehe dem Stadtverband aus W ein </w:t>
      </w:r>
      <w:r>
        <w:t xml:space="preserve">kommunalrechtlicher </w:t>
      </w:r>
      <w:r w:rsidRPr="00FC741E">
        <w:t xml:space="preserve">Anspruch zu. Die Stadthalle, auch wenn sie durch den Eigenbetrieb S bewirtschaftet werde, sei eine öffentliche Einrichtung und der Antragsteller sei als Stadtverband einer politischen Partei mit Sitz in </w:t>
      </w:r>
      <w:r>
        <w:t>W</w:t>
      </w:r>
      <w:r w:rsidRPr="00FC741E">
        <w:t xml:space="preserve">-Stadt anspruchsberechtigt. Der begehrte Nutzungszweck halte sich im Rahmen des Widmungszwecks der Halle, da dieser in der Vergangenheit bereits mehrfach und regelmäßig für Parteiveranstaltungen genutzt worden sei. Die programmatische Ausrichtung und die angebliche Verfassungsfeindlichkeit der N-Partei seien wegen Art. 3 III 1 GG als Differenzierungskriterium ungeeignet und könnten dem Überlassungsbegehren nicht entgegengehalten werden. </w:t>
      </w:r>
    </w:p>
    <w:p w14:paraId="684735E4" w14:textId="72AA8EDE" w:rsidR="00C97686" w:rsidRPr="00FC741E" w:rsidRDefault="00C97686" w:rsidP="00C97686">
      <w:r w:rsidRPr="00FC741E">
        <w:t xml:space="preserve">W gibt zu, dass die Stadthalle in der Vergangenheit von Stadtverbänden anderer politischer Gruppierungen für verschiedene Veranstaltungen, auch Wahlkampfveranstaltungen, genutzt wurde. Die vom Bundesverfassungsgericht </w:t>
      </w:r>
      <w:r>
        <w:t xml:space="preserve">- </w:t>
      </w:r>
      <w:r w:rsidRPr="00FC741E">
        <w:t>in</w:t>
      </w:r>
      <w:r>
        <w:t xml:space="preserve"> </w:t>
      </w:r>
      <w:r w:rsidRPr="00FC741E">
        <w:t xml:space="preserve">seiner Entscheidung vom 17.1.2017, Az.: 2 BvB 1/13 (NPD-Verbotsverfahren) – entwickelte Figur der verfassungswidrigen, aber nicht verbotenen Partei weiche aber die bislang maßgebliche strikte Dichotomie zwischen verbotenen und allen anderen Parteien auf. Einem Benutzungsanspruch des Antragstellers stehe entgegen, dass </w:t>
      </w:r>
      <w:r>
        <w:t>das Kommunalrecht</w:t>
      </w:r>
      <w:r w:rsidRPr="00FC741E">
        <w:t xml:space="preserve"> einen solchen nur im Rahmen der bestehenden Vorschriften begründe. So könne die Benutzung gemeindlicher Einrichtungen bei Gefahren, die sich nach dem Verhältnismäßigkeitsgrundsatz auf andere Weise nicht angemessen vermeiden ließen, eingeschränkt oder ausgeschlossen werden. Vorliegend bestehe die konkrete Gefahr, dass es im Rahmen der beabsichtigten Nutzung der Stadthalle durch den Antragsteller zu ihm zuzurechnenden Rechtsverstößen kommen werde. Vor allem sei damit zu rechnen, dass Teilnehmer mit Redebeiträgen gegen die Rechtsordnung verstoßen würden. In der Vergangenheit hätten sich Redebeiträge von Mitgliedern der N-Fraktion in der Stadtverordnetenversammlung im strafrechtlich relevanten Bereich bewegt. Es sei nicht völlig ausgeschlossen, dass Gerichte vereinzelte Äußerungen der Stadtverordneten Y unter den Straftatbestand des § 130 I Nr. 2 StGB subsumierten. Jedenfalls könnten Gerichte ihren Redebeitrag in der Stadtverordnetenversammlung vom 16.11.2017, wonach sie behauptet habe, dass verschiedene Magistratsmitglieder eine vorsätzliche rechtswidrige Pflichtverletzung begangen hätten, als Erfüllung der Tatbestände der § 164 I oder § 186 StGB bewerten. Außerdem handele es sich bei der N-Partei um eine Partei, die verfassungswidrige Ziele, insb. die Abschaffung der freiheitlich demokratischen Grundordnung von innen heraus verfolge, was sogar vom Bundesverfassungsgericht bestätigt worden sei. </w:t>
      </w:r>
    </w:p>
    <w:p w14:paraId="0EEB67C3" w14:textId="0F9631C6" w:rsidR="00C97686" w:rsidRPr="00FC741E" w:rsidRDefault="00C97686" w:rsidP="00C97686">
      <w:r w:rsidRPr="00FC741E">
        <w:t>Der Stadtverband möchte seine Rechte gerichtlich durchsetzen und erhebt, vertreten durch V, nach erfolgloser Durchführung des Widerspruchsverfahrens Verpflichtungsklage zum zuständigen Verwaltungsgericht. Da V befürchtet, dass die Gerichte „die Sache verschleppen“ könnten, stell</w:t>
      </w:r>
      <w:r w:rsidR="00FD0B98">
        <w:t xml:space="preserve">t er </w:t>
      </w:r>
      <w:r w:rsidRPr="00FC741E">
        <w:t>außerdem Antrag auf einstweiligen Rechtsschutz. Im Gerichtsverfahren stellt sich heraus, dass die Halle an den streitgegenständlichen Tagen tatsächlich frei war. Nachdem S eine einstweilige Anordnung des zuständigen Verwaltungsgerichts, vom 20.12.2017, bestätigt durch einen Beschluss des BVerfG vom 24.3.2018, auf Überlassung der Stadthalle ignoriert hat, verlangt V die gerichtliche Feststellung, dass das Vorgehen der W-Stadt rechtswidrig gewesen sei.</w:t>
      </w:r>
    </w:p>
    <w:p w14:paraId="77F867F2" w14:textId="77777777" w:rsidR="00C97686" w:rsidRPr="00FC741E" w:rsidRDefault="00C97686" w:rsidP="00C97686">
      <w:pPr>
        <w:rPr>
          <w:b/>
        </w:rPr>
      </w:pPr>
      <w:r w:rsidRPr="00FC741E">
        <w:rPr>
          <w:b/>
        </w:rPr>
        <w:t>Bewerten Sie die Erfolgsaussichten der Klage des Stadtverbands der N-Partei!</w:t>
      </w:r>
    </w:p>
    <w:p w14:paraId="0FB8B364" w14:textId="77777777" w:rsidR="00C97686" w:rsidRDefault="00C97686" w:rsidP="00C97686">
      <w:r w:rsidRPr="00173FBA">
        <w:rPr>
          <w:b/>
        </w:rPr>
        <w:t xml:space="preserve">Bearbeiter*innenvermerk: </w:t>
      </w:r>
      <w:r w:rsidRPr="00FC741E">
        <w:t xml:space="preserve">Einstweiliger Rechtsschutz ist nicht zu prüfen. Es ist davon auszugehen, dass die zuständige Behörde gehandelt hat. Die Lösung erfolgt nach hessischen Landesrecht. Auf die abgedruckten Normen wird hingewiesen. </w:t>
      </w:r>
    </w:p>
    <w:p w14:paraId="780C0475" w14:textId="77777777" w:rsidR="00095F85" w:rsidRDefault="00095F85" w:rsidP="00C97686"/>
    <w:p w14:paraId="522EC532" w14:textId="77777777" w:rsidR="00C97686" w:rsidRPr="00FC741E" w:rsidRDefault="00C97686" w:rsidP="00C97686">
      <w:pPr>
        <w:rPr>
          <w:b/>
        </w:rPr>
      </w:pPr>
      <w:r w:rsidRPr="00FC741E">
        <w:rPr>
          <w:b/>
        </w:rPr>
        <w:t>§ 20 HGO Teilnahme an öffentlichen Einrichtungen und Gemeindelasten</w:t>
      </w:r>
    </w:p>
    <w:p w14:paraId="674FF2BE" w14:textId="77777777" w:rsidR="00C97686" w:rsidRPr="00FC741E" w:rsidRDefault="00C97686" w:rsidP="00C97686">
      <w:r w:rsidRPr="00FC741E">
        <w:t>(1) Die Einwohner der Gemeinden sind im Rahmen der bestehenden Vorschriften berechtigt, die öffentlichen Einrichtungen der Gemeinde zu benutzen, und verpflichtet, die Gemeindelasten zu tragen. […]</w:t>
      </w:r>
    </w:p>
    <w:p w14:paraId="01204C3A" w14:textId="77777777" w:rsidR="00C97686" w:rsidRPr="00FC741E" w:rsidRDefault="00C97686" w:rsidP="00C97686">
      <w:r w:rsidRPr="00FC741E">
        <w:t xml:space="preserve">(3) Diese Vorschriften gelten entsprechend für juristische Personen und für Personenvereinigungen. </w:t>
      </w:r>
    </w:p>
    <w:p w14:paraId="4F190172" w14:textId="77777777" w:rsidR="00C97686" w:rsidRPr="00FC741E" w:rsidRDefault="00C97686" w:rsidP="00C97686"/>
    <w:p w14:paraId="0D594AFC" w14:textId="77777777" w:rsidR="00C97686" w:rsidRPr="00FC741E" w:rsidRDefault="00C97686" w:rsidP="00C97686">
      <w:pPr>
        <w:rPr>
          <w:b/>
        </w:rPr>
      </w:pPr>
      <w:r w:rsidRPr="00FC741E">
        <w:rPr>
          <w:b/>
        </w:rPr>
        <w:t>Allgemeine Mietbedingungen (AMB) de</w:t>
      </w:r>
      <w:r>
        <w:rPr>
          <w:b/>
        </w:rPr>
        <w:t>s Eigenbetriebs</w:t>
      </w:r>
      <w:r w:rsidRPr="00FC741E">
        <w:rPr>
          <w:b/>
        </w:rPr>
        <w:t xml:space="preserve"> Stadthallen W-Stadt </w:t>
      </w:r>
    </w:p>
    <w:p w14:paraId="359E58F3" w14:textId="77777777" w:rsidR="00C97686" w:rsidRPr="00FC741E" w:rsidRDefault="00C97686" w:rsidP="00C97686">
      <w:r w:rsidRPr="00FC741E">
        <w:t>1. Allgemeines</w:t>
      </w:r>
    </w:p>
    <w:p w14:paraId="16C72CFC" w14:textId="77777777" w:rsidR="00C97686" w:rsidRPr="00FC741E" w:rsidRDefault="00C97686" w:rsidP="00C97686">
      <w:r w:rsidRPr="00FC741E">
        <w:t>a. Die Stadthalle, die Bürgerhäuser und die Festplätze sind öffentliche Einrichtungen der Stadt W und dienen dem kulturellen, gesellschaftlichen und politischen Leben der Stadt.</w:t>
      </w:r>
    </w:p>
    <w:p w14:paraId="721576B1" w14:textId="77777777" w:rsidR="00C97686" w:rsidRPr="00FC741E" w:rsidRDefault="00C97686" w:rsidP="00C97686">
      <w:r w:rsidRPr="00FC741E">
        <w:t>b. Benutzern, die verfassungsfeindliche, jugendgefährdende oder sittenwidrige Ziele oder Zwecke verfolgen, steht die Stadthalle W</w:t>
      </w:r>
      <w:r>
        <w:t>-Stadt</w:t>
      </w:r>
      <w:r w:rsidRPr="00FC741E">
        <w:t xml:space="preserve"> und dessen Einrichtungen, sowie Bürgerhäuser und andere Liegenschaften nicht zur Verfügung. […]</w:t>
      </w:r>
    </w:p>
    <w:p w14:paraId="53472D3B" w14:textId="77777777" w:rsidR="0001383E" w:rsidRDefault="0001383E">
      <w:pPr>
        <w:jc w:val="left"/>
        <w:rPr>
          <w:rFonts w:ascii="Calibri" w:eastAsiaTheme="majorEastAsia" w:hAnsi="Calibri" w:cstheme="majorBidi"/>
          <w:sz w:val="26"/>
          <w:szCs w:val="26"/>
        </w:rPr>
      </w:pPr>
      <w:r>
        <w:br w:type="page"/>
      </w:r>
    </w:p>
    <w:p w14:paraId="498B8F4D" w14:textId="7F8603A7" w:rsidR="00C97686" w:rsidRPr="00F049D6" w:rsidRDefault="00C97686" w:rsidP="0001383E">
      <w:pPr>
        <w:pStyle w:val="berschrift3"/>
      </w:pPr>
      <w:r w:rsidRPr="00F049D6">
        <w:t>Lösungsgliederung</w:t>
      </w:r>
    </w:p>
    <w:p w14:paraId="0A056487" w14:textId="77777777" w:rsidR="00C97686" w:rsidRDefault="00C97686" w:rsidP="00C97686">
      <w:pPr>
        <w:pStyle w:val="Randnummer"/>
        <w:framePr w:h="737" w:wrap="around"/>
      </w:pPr>
    </w:p>
    <w:p w14:paraId="06DC0702" w14:textId="4ED8AB8F" w:rsidR="007537A8" w:rsidRDefault="00CA43AE">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"Fall8" </w:instrText>
      </w:r>
      <w:r>
        <w:rPr>
          <w:rFonts w:eastAsiaTheme="majorEastAsia"/>
        </w:rPr>
        <w:fldChar w:fldCharType="separate"/>
      </w:r>
      <w:hyperlink w:anchor="_Toc22133143" w:history="1">
        <w:r w:rsidR="007537A8" w:rsidRPr="00514104">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_Toc22133143 \h </w:instrText>
        </w:r>
        <w:r w:rsidR="007537A8">
          <w:rPr>
            <w:noProof/>
            <w:webHidden/>
          </w:rPr>
        </w:r>
        <w:r w:rsidR="007537A8">
          <w:rPr>
            <w:noProof/>
            <w:webHidden/>
          </w:rPr>
          <w:fldChar w:fldCharType="separate"/>
        </w:r>
        <w:r w:rsidR="007537A8">
          <w:rPr>
            <w:noProof/>
            <w:webHidden/>
          </w:rPr>
          <w:t>115</w:t>
        </w:r>
        <w:r w:rsidR="007537A8">
          <w:rPr>
            <w:noProof/>
            <w:webHidden/>
          </w:rPr>
          <w:fldChar w:fldCharType="end"/>
        </w:r>
      </w:hyperlink>
    </w:p>
    <w:p w14:paraId="42057F97" w14:textId="5DF4A04B" w:rsidR="007537A8" w:rsidRDefault="00091FED">
      <w:pPr>
        <w:pStyle w:val="Verzeichnis4"/>
        <w:tabs>
          <w:tab w:val="right" w:leader="dot" w:pos="7361"/>
        </w:tabs>
        <w:rPr>
          <w:rFonts w:eastAsiaTheme="minorEastAsia"/>
          <w:noProof/>
          <w:sz w:val="22"/>
          <w:szCs w:val="22"/>
          <w:lang w:eastAsia="de-DE"/>
        </w:rPr>
      </w:pPr>
      <w:hyperlink w:anchor="_Toc22133144" w:history="1">
        <w:r w:rsidR="007537A8" w:rsidRPr="00514104">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_Toc22133144 \h </w:instrText>
        </w:r>
        <w:r w:rsidR="007537A8">
          <w:rPr>
            <w:noProof/>
            <w:webHidden/>
          </w:rPr>
        </w:r>
        <w:r w:rsidR="007537A8">
          <w:rPr>
            <w:noProof/>
            <w:webHidden/>
          </w:rPr>
          <w:fldChar w:fldCharType="separate"/>
        </w:r>
        <w:r w:rsidR="007537A8">
          <w:rPr>
            <w:noProof/>
            <w:webHidden/>
          </w:rPr>
          <w:t>115</w:t>
        </w:r>
        <w:r w:rsidR="007537A8">
          <w:rPr>
            <w:noProof/>
            <w:webHidden/>
          </w:rPr>
          <w:fldChar w:fldCharType="end"/>
        </w:r>
      </w:hyperlink>
    </w:p>
    <w:p w14:paraId="67FC8F9B" w14:textId="6B47ACBD" w:rsidR="007537A8" w:rsidRDefault="00091FED">
      <w:pPr>
        <w:pStyle w:val="Verzeichnis5"/>
        <w:tabs>
          <w:tab w:val="right" w:leader="dot" w:pos="7361"/>
        </w:tabs>
        <w:rPr>
          <w:rFonts w:eastAsiaTheme="minorEastAsia"/>
          <w:noProof/>
          <w:sz w:val="22"/>
          <w:szCs w:val="22"/>
          <w:lang w:eastAsia="de-DE"/>
        </w:rPr>
      </w:pPr>
      <w:hyperlink w:anchor="_Toc22133145" w:history="1">
        <w:r w:rsidR="007537A8" w:rsidRPr="00514104">
          <w:rPr>
            <w:rStyle w:val="Hyperlink"/>
            <w:noProof/>
          </w:rPr>
          <w:t>I. Eröffnung des Verwaltungsrechtswegs</w:t>
        </w:r>
        <w:r w:rsidR="007537A8">
          <w:rPr>
            <w:noProof/>
            <w:webHidden/>
          </w:rPr>
          <w:tab/>
        </w:r>
        <w:r w:rsidR="007537A8">
          <w:rPr>
            <w:noProof/>
            <w:webHidden/>
          </w:rPr>
          <w:fldChar w:fldCharType="begin"/>
        </w:r>
        <w:r w:rsidR="007537A8">
          <w:rPr>
            <w:noProof/>
            <w:webHidden/>
          </w:rPr>
          <w:instrText xml:space="preserve"> PAGEREF _Toc22133145 \h </w:instrText>
        </w:r>
        <w:r w:rsidR="007537A8">
          <w:rPr>
            <w:noProof/>
            <w:webHidden/>
          </w:rPr>
        </w:r>
        <w:r w:rsidR="007537A8">
          <w:rPr>
            <w:noProof/>
            <w:webHidden/>
          </w:rPr>
          <w:fldChar w:fldCharType="separate"/>
        </w:r>
        <w:r w:rsidR="007537A8">
          <w:rPr>
            <w:noProof/>
            <w:webHidden/>
          </w:rPr>
          <w:t>115</w:t>
        </w:r>
        <w:r w:rsidR="007537A8">
          <w:rPr>
            <w:noProof/>
            <w:webHidden/>
          </w:rPr>
          <w:fldChar w:fldCharType="end"/>
        </w:r>
      </w:hyperlink>
    </w:p>
    <w:p w14:paraId="5F1E1FA6" w14:textId="3D776B05" w:rsidR="007537A8" w:rsidRDefault="00091FED">
      <w:pPr>
        <w:pStyle w:val="Verzeichnis5"/>
        <w:tabs>
          <w:tab w:val="right" w:leader="dot" w:pos="7361"/>
        </w:tabs>
        <w:rPr>
          <w:rFonts w:eastAsiaTheme="minorEastAsia"/>
          <w:noProof/>
          <w:sz w:val="22"/>
          <w:szCs w:val="22"/>
          <w:lang w:eastAsia="de-DE"/>
        </w:rPr>
      </w:pPr>
      <w:hyperlink w:anchor="_Toc22133146" w:history="1">
        <w:r w:rsidR="007537A8" w:rsidRPr="00514104">
          <w:rPr>
            <w:rStyle w:val="Hyperlink"/>
            <w:noProof/>
          </w:rPr>
          <w:t>II. Statthaftigkeit</w:t>
        </w:r>
        <w:r w:rsidR="007537A8">
          <w:rPr>
            <w:noProof/>
            <w:webHidden/>
          </w:rPr>
          <w:tab/>
        </w:r>
        <w:r w:rsidR="007537A8">
          <w:rPr>
            <w:noProof/>
            <w:webHidden/>
          </w:rPr>
          <w:fldChar w:fldCharType="begin"/>
        </w:r>
        <w:r w:rsidR="007537A8">
          <w:rPr>
            <w:noProof/>
            <w:webHidden/>
          </w:rPr>
          <w:instrText xml:space="preserve"> PAGEREF _Toc22133146 \h </w:instrText>
        </w:r>
        <w:r w:rsidR="007537A8">
          <w:rPr>
            <w:noProof/>
            <w:webHidden/>
          </w:rPr>
        </w:r>
        <w:r w:rsidR="007537A8">
          <w:rPr>
            <w:noProof/>
            <w:webHidden/>
          </w:rPr>
          <w:fldChar w:fldCharType="separate"/>
        </w:r>
        <w:r w:rsidR="007537A8">
          <w:rPr>
            <w:noProof/>
            <w:webHidden/>
          </w:rPr>
          <w:t>116</w:t>
        </w:r>
        <w:r w:rsidR="007537A8">
          <w:rPr>
            <w:noProof/>
            <w:webHidden/>
          </w:rPr>
          <w:fldChar w:fldCharType="end"/>
        </w:r>
      </w:hyperlink>
    </w:p>
    <w:p w14:paraId="21B10430" w14:textId="32C1A12F" w:rsidR="007537A8" w:rsidRDefault="00091FED">
      <w:pPr>
        <w:pStyle w:val="Verzeichnis5"/>
        <w:tabs>
          <w:tab w:val="right" w:leader="dot" w:pos="7361"/>
        </w:tabs>
        <w:rPr>
          <w:rFonts w:eastAsiaTheme="minorEastAsia"/>
          <w:noProof/>
          <w:sz w:val="22"/>
          <w:szCs w:val="22"/>
          <w:lang w:eastAsia="de-DE"/>
        </w:rPr>
      </w:pPr>
      <w:hyperlink w:anchor="_Toc22133147" w:history="1">
        <w:r w:rsidR="007537A8" w:rsidRPr="00514104">
          <w:rPr>
            <w:rStyle w:val="Hyperlink"/>
            <w:noProof/>
          </w:rPr>
          <w:t>III. Klagebefugnis</w:t>
        </w:r>
        <w:r w:rsidR="007537A8">
          <w:rPr>
            <w:noProof/>
            <w:webHidden/>
          </w:rPr>
          <w:tab/>
        </w:r>
        <w:r w:rsidR="007537A8">
          <w:rPr>
            <w:noProof/>
            <w:webHidden/>
          </w:rPr>
          <w:fldChar w:fldCharType="begin"/>
        </w:r>
        <w:r w:rsidR="007537A8">
          <w:rPr>
            <w:noProof/>
            <w:webHidden/>
          </w:rPr>
          <w:instrText xml:space="preserve"> PAGEREF _Toc22133147 \h </w:instrText>
        </w:r>
        <w:r w:rsidR="007537A8">
          <w:rPr>
            <w:noProof/>
            <w:webHidden/>
          </w:rPr>
        </w:r>
        <w:r w:rsidR="007537A8">
          <w:rPr>
            <w:noProof/>
            <w:webHidden/>
          </w:rPr>
          <w:fldChar w:fldCharType="separate"/>
        </w:r>
        <w:r w:rsidR="007537A8">
          <w:rPr>
            <w:noProof/>
            <w:webHidden/>
          </w:rPr>
          <w:t>116</w:t>
        </w:r>
        <w:r w:rsidR="007537A8">
          <w:rPr>
            <w:noProof/>
            <w:webHidden/>
          </w:rPr>
          <w:fldChar w:fldCharType="end"/>
        </w:r>
      </w:hyperlink>
    </w:p>
    <w:p w14:paraId="1EFA79F5" w14:textId="7FEB7406" w:rsidR="007537A8" w:rsidRDefault="00091FED">
      <w:pPr>
        <w:pStyle w:val="Verzeichnis5"/>
        <w:tabs>
          <w:tab w:val="right" w:leader="dot" w:pos="7361"/>
        </w:tabs>
        <w:rPr>
          <w:rFonts w:eastAsiaTheme="minorEastAsia"/>
          <w:noProof/>
          <w:sz w:val="22"/>
          <w:szCs w:val="22"/>
          <w:lang w:eastAsia="de-DE"/>
        </w:rPr>
      </w:pPr>
      <w:hyperlink w:anchor="_Toc22133148" w:history="1">
        <w:r w:rsidR="007537A8" w:rsidRPr="00514104">
          <w:rPr>
            <w:rStyle w:val="Hyperlink"/>
            <w:noProof/>
          </w:rPr>
          <w:t>IV. Fortsetzungsfeststellungsinteresse</w:t>
        </w:r>
        <w:r w:rsidR="007537A8">
          <w:rPr>
            <w:noProof/>
            <w:webHidden/>
          </w:rPr>
          <w:tab/>
        </w:r>
        <w:r w:rsidR="007537A8">
          <w:rPr>
            <w:noProof/>
            <w:webHidden/>
          </w:rPr>
          <w:fldChar w:fldCharType="begin"/>
        </w:r>
        <w:r w:rsidR="007537A8">
          <w:rPr>
            <w:noProof/>
            <w:webHidden/>
          </w:rPr>
          <w:instrText xml:space="preserve"> PAGEREF _Toc22133148 \h </w:instrText>
        </w:r>
        <w:r w:rsidR="007537A8">
          <w:rPr>
            <w:noProof/>
            <w:webHidden/>
          </w:rPr>
        </w:r>
        <w:r w:rsidR="007537A8">
          <w:rPr>
            <w:noProof/>
            <w:webHidden/>
          </w:rPr>
          <w:fldChar w:fldCharType="separate"/>
        </w:r>
        <w:r w:rsidR="007537A8">
          <w:rPr>
            <w:noProof/>
            <w:webHidden/>
          </w:rPr>
          <w:t>116</w:t>
        </w:r>
        <w:r w:rsidR="007537A8">
          <w:rPr>
            <w:noProof/>
            <w:webHidden/>
          </w:rPr>
          <w:fldChar w:fldCharType="end"/>
        </w:r>
      </w:hyperlink>
    </w:p>
    <w:p w14:paraId="0A2581A7" w14:textId="3C044D43" w:rsidR="007537A8" w:rsidRDefault="00091FED">
      <w:pPr>
        <w:pStyle w:val="Verzeichnis5"/>
        <w:tabs>
          <w:tab w:val="right" w:leader="dot" w:pos="7361"/>
        </w:tabs>
        <w:rPr>
          <w:rFonts w:eastAsiaTheme="minorEastAsia"/>
          <w:noProof/>
          <w:sz w:val="22"/>
          <w:szCs w:val="22"/>
          <w:lang w:eastAsia="de-DE"/>
        </w:rPr>
      </w:pPr>
      <w:hyperlink w:anchor="_Toc22133149" w:history="1">
        <w:r w:rsidR="007537A8" w:rsidRPr="00514104">
          <w:rPr>
            <w:rStyle w:val="Hyperlink"/>
            <w:noProof/>
          </w:rPr>
          <w:t>V. Vorverfahren</w:t>
        </w:r>
        <w:r w:rsidR="007537A8">
          <w:rPr>
            <w:noProof/>
            <w:webHidden/>
          </w:rPr>
          <w:tab/>
        </w:r>
        <w:r w:rsidR="007537A8">
          <w:rPr>
            <w:noProof/>
            <w:webHidden/>
          </w:rPr>
          <w:fldChar w:fldCharType="begin"/>
        </w:r>
        <w:r w:rsidR="007537A8">
          <w:rPr>
            <w:noProof/>
            <w:webHidden/>
          </w:rPr>
          <w:instrText xml:space="preserve"> PAGEREF _Toc22133149 \h </w:instrText>
        </w:r>
        <w:r w:rsidR="007537A8">
          <w:rPr>
            <w:noProof/>
            <w:webHidden/>
          </w:rPr>
        </w:r>
        <w:r w:rsidR="007537A8">
          <w:rPr>
            <w:noProof/>
            <w:webHidden/>
          </w:rPr>
          <w:fldChar w:fldCharType="separate"/>
        </w:r>
        <w:r w:rsidR="007537A8">
          <w:rPr>
            <w:noProof/>
            <w:webHidden/>
          </w:rPr>
          <w:t>117</w:t>
        </w:r>
        <w:r w:rsidR="007537A8">
          <w:rPr>
            <w:noProof/>
            <w:webHidden/>
          </w:rPr>
          <w:fldChar w:fldCharType="end"/>
        </w:r>
      </w:hyperlink>
    </w:p>
    <w:p w14:paraId="5BEB8862" w14:textId="3EA47BAE" w:rsidR="007537A8" w:rsidRDefault="00091FED">
      <w:pPr>
        <w:pStyle w:val="Verzeichnis5"/>
        <w:tabs>
          <w:tab w:val="right" w:leader="dot" w:pos="7361"/>
        </w:tabs>
        <w:rPr>
          <w:rFonts w:eastAsiaTheme="minorEastAsia"/>
          <w:noProof/>
          <w:sz w:val="22"/>
          <w:szCs w:val="22"/>
          <w:lang w:eastAsia="de-DE"/>
        </w:rPr>
      </w:pPr>
      <w:hyperlink w:anchor="_Toc22133150" w:history="1">
        <w:r w:rsidR="007537A8" w:rsidRPr="00514104">
          <w:rPr>
            <w:rStyle w:val="Hyperlink"/>
            <w:noProof/>
          </w:rPr>
          <w:t>VI. Form und Klagefrist</w:t>
        </w:r>
        <w:r w:rsidR="007537A8">
          <w:rPr>
            <w:noProof/>
            <w:webHidden/>
          </w:rPr>
          <w:tab/>
        </w:r>
        <w:r w:rsidR="007537A8">
          <w:rPr>
            <w:noProof/>
            <w:webHidden/>
          </w:rPr>
          <w:fldChar w:fldCharType="begin"/>
        </w:r>
        <w:r w:rsidR="007537A8">
          <w:rPr>
            <w:noProof/>
            <w:webHidden/>
          </w:rPr>
          <w:instrText xml:space="preserve"> PAGEREF _Toc22133150 \h </w:instrText>
        </w:r>
        <w:r w:rsidR="007537A8">
          <w:rPr>
            <w:noProof/>
            <w:webHidden/>
          </w:rPr>
        </w:r>
        <w:r w:rsidR="007537A8">
          <w:rPr>
            <w:noProof/>
            <w:webHidden/>
          </w:rPr>
          <w:fldChar w:fldCharType="separate"/>
        </w:r>
        <w:r w:rsidR="007537A8">
          <w:rPr>
            <w:noProof/>
            <w:webHidden/>
          </w:rPr>
          <w:t>117</w:t>
        </w:r>
        <w:r w:rsidR="007537A8">
          <w:rPr>
            <w:noProof/>
            <w:webHidden/>
          </w:rPr>
          <w:fldChar w:fldCharType="end"/>
        </w:r>
      </w:hyperlink>
    </w:p>
    <w:p w14:paraId="75DBF196" w14:textId="4E0A1136" w:rsidR="007537A8" w:rsidRDefault="00091FED">
      <w:pPr>
        <w:pStyle w:val="Verzeichnis5"/>
        <w:tabs>
          <w:tab w:val="right" w:leader="dot" w:pos="7361"/>
        </w:tabs>
        <w:rPr>
          <w:rFonts w:eastAsiaTheme="minorEastAsia"/>
          <w:noProof/>
          <w:sz w:val="22"/>
          <w:szCs w:val="22"/>
          <w:lang w:eastAsia="de-DE"/>
        </w:rPr>
      </w:pPr>
      <w:hyperlink w:anchor="_Toc22133151" w:history="1">
        <w:r w:rsidR="007537A8" w:rsidRPr="00514104">
          <w:rPr>
            <w:rStyle w:val="Hyperlink"/>
            <w:noProof/>
          </w:rPr>
          <w:t>VII. Klagegegner</w:t>
        </w:r>
        <w:r w:rsidR="007537A8">
          <w:rPr>
            <w:noProof/>
            <w:webHidden/>
          </w:rPr>
          <w:tab/>
        </w:r>
        <w:r w:rsidR="007537A8">
          <w:rPr>
            <w:noProof/>
            <w:webHidden/>
          </w:rPr>
          <w:fldChar w:fldCharType="begin"/>
        </w:r>
        <w:r w:rsidR="007537A8">
          <w:rPr>
            <w:noProof/>
            <w:webHidden/>
          </w:rPr>
          <w:instrText xml:space="preserve"> PAGEREF _Toc22133151 \h </w:instrText>
        </w:r>
        <w:r w:rsidR="007537A8">
          <w:rPr>
            <w:noProof/>
            <w:webHidden/>
          </w:rPr>
        </w:r>
        <w:r w:rsidR="007537A8">
          <w:rPr>
            <w:noProof/>
            <w:webHidden/>
          </w:rPr>
          <w:fldChar w:fldCharType="separate"/>
        </w:r>
        <w:r w:rsidR="007537A8">
          <w:rPr>
            <w:noProof/>
            <w:webHidden/>
          </w:rPr>
          <w:t>117</w:t>
        </w:r>
        <w:r w:rsidR="007537A8">
          <w:rPr>
            <w:noProof/>
            <w:webHidden/>
          </w:rPr>
          <w:fldChar w:fldCharType="end"/>
        </w:r>
      </w:hyperlink>
    </w:p>
    <w:p w14:paraId="11D00D78" w14:textId="358B6867" w:rsidR="007537A8" w:rsidRDefault="00091FED">
      <w:pPr>
        <w:pStyle w:val="Verzeichnis5"/>
        <w:tabs>
          <w:tab w:val="right" w:leader="dot" w:pos="7361"/>
        </w:tabs>
        <w:rPr>
          <w:rFonts w:eastAsiaTheme="minorEastAsia"/>
          <w:noProof/>
          <w:sz w:val="22"/>
          <w:szCs w:val="22"/>
          <w:lang w:eastAsia="de-DE"/>
        </w:rPr>
      </w:pPr>
      <w:hyperlink w:anchor="_Toc22133152" w:history="1">
        <w:r w:rsidR="007537A8" w:rsidRPr="00514104">
          <w:rPr>
            <w:rStyle w:val="Hyperlink"/>
            <w:noProof/>
          </w:rPr>
          <w:t>VIII. Beteiligten- und Prozessfähigkeit</w:t>
        </w:r>
        <w:r w:rsidR="007537A8">
          <w:rPr>
            <w:noProof/>
            <w:webHidden/>
          </w:rPr>
          <w:tab/>
        </w:r>
        <w:r w:rsidR="007537A8">
          <w:rPr>
            <w:noProof/>
            <w:webHidden/>
          </w:rPr>
          <w:fldChar w:fldCharType="begin"/>
        </w:r>
        <w:r w:rsidR="007537A8">
          <w:rPr>
            <w:noProof/>
            <w:webHidden/>
          </w:rPr>
          <w:instrText xml:space="preserve"> PAGEREF _Toc22133152 \h </w:instrText>
        </w:r>
        <w:r w:rsidR="007537A8">
          <w:rPr>
            <w:noProof/>
            <w:webHidden/>
          </w:rPr>
        </w:r>
        <w:r w:rsidR="007537A8">
          <w:rPr>
            <w:noProof/>
            <w:webHidden/>
          </w:rPr>
          <w:fldChar w:fldCharType="separate"/>
        </w:r>
        <w:r w:rsidR="007537A8">
          <w:rPr>
            <w:noProof/>
            <w:webHidden/>
          </w:rPr>
          <w:t>118</w:t>
        </w:r>
        <w:r w:rsidR="007537A8">
          <w:rPr>
            <w:noProof/>
            <w:webHidden/>
          </w:rPr>
          <w:fldChar w:fldCharType="end"/>
        </w:r>
      </w:hyperlink>
    </w:p>
    <w:p w14:paraId="75A15F60" w14:textId="6386CE46" w:rsidR="007537A8" w:rsidRDefault="00091FED">
      <w:pPr>
        <w:pStyle w:val="Verzeichnis5"/>
        <w:tabs>
          <w:tab w:val="right" w:leader="dot" w:pos="7361"/>
        </w:tabs>
        <w:rPr>
          <w:rFonts w:eastAsiaTheme="minorEastAsia"/>
          <w:noProof/>
          <w:sz w:val="22"/>
          <w:szCs w:val="22"/>
          <w:lang w:eastAsia="de-DE"/>
        </w:rPr>
      </w:pPr>
      <w:hyperlink w:anchor="_Toc22133153" w:history="1">
        <w:r w:rsidR="007537A8" w:rsidRPr="00514104">
          <w:rPr>
            <w:rStyle w:val="Hyperlink"/>
            <w:noProof/>
          </w:rPr>
          <w:t>IX. Zwischenergebnis</w:t>
        </w:r>
        <w:r w:rsidR="007537A8">
          <w:rPr>
            <w:noProof/>
            <w:webHidden/>
          </w:rPr>
          <w:tab/>
        </w:r>
        <w:r w:rsidR="007537A8">
          <w:rPr>
            <w:noProof/>
            <w:webHidden/>
          </w:rPr>
          <w:fldChar w:fldCharType="begin"/>
        </w:r>
        <w:r w:rsidR="007537A8">
          <w:rPr>
            <w:noProof/>
            <w:webHidden/>
          </w:rPr>
          <w:instrText xml:space="preserve"> PAGEREF _Toc22133153 \h </w:instrText>
        </w:r>
        <w:r w:rsidR="007537A8">
          <w:rPr>
            <w:noProof/>
            <w:webHidden/>
          </w:rPr>
        </w:r>
        <w:r w:rsidR="007537A8">
          <w:rPr>
            <w:noProof/>
            <w:webHidden/>
          </w:rPr>
          <w:fldChar w:fldCharType="separate"/>
        </w:r>
        <w:r w:rsidR="007537A8">
          <w:rPr>
            <w:noProof/>
            <w:webHidden/>
          </w:rPr>
          <w:t>118</w:t>
        </w:r>
        <w:r w:rsidR="007537A8">
          <w:rPr>
            <w:noProof/>
            <w:webHidden/>
          </w:rPr>
          <w:fldChar w:fldCharType="end"/>
        </w:r>
      </w:hyperlink>
    </w:p>
    <w:p w14:paraId="4AD4DB36" w14:textId="5354DE66" w:rsidR="007537A8" w:rsidRDefault="00091FED">
      <w:pPr>
        <w:pStyle w:val="Verzeichnis4"/>
        <w:tabs>
          <w:tab w:val="right" w:leader="dot" w:pos="7361"/>
        </w:tabs>
        <w:rPr>
          <w:rFonts w:eastAsiaTheme="minorEastAsia"/>
          <w:noProof/>
          <w:sz w:val="22"/>
          <w:szCs w:val="22"/>
          <w:lang w:eastAsia="de-DE"/>
        </w:rPr>
      </w:pPr>
      <w:hyperlink w:anchor="_Toc22133154" w:history="1">
        <w:r w:rsidR="007537A8" w:rsidRPr="00514104">
          <w:rPr>
            <w:rStyle w:val="Hyperlink"/>
            <w:noProof/>
          </w:rPr>
          <w:t>B. Begründetheit</w:t>
        </w:r>
        <w:r w:rsidR="007537A8">
          <w:rPr>
            <w:noProof/>
            <w:webHidden/>
          </w:rPr>
          <w:tab/>
        </w:r>
        <w:r w:rsidR="007537A8">
          <w:rPr>
            <w:noProof/>
            <w:webHidden/>
          </w:rPr>
          <w:fldChar w:fldCharType="begin"/>
        </w:r>
        <w:r w:rsidR="007537A8">
          <w:rPr>
            <w:noProof/>
            <w:webHidden/>
          </w:rPr>
          <w:instrText xml:space="preserve"> PAGEREF _Toc22133154 \h </w:instrText>
        </w:r>
        <w:r w:rsidR="007537A8">
          <w:rPr>
            <w:noProof/>
            <w:webHidden/>
          </w:rPr>
        </w:r>
        <w:r w:rsidR="007537A8">
          <w:rPr>
            <w:noProof/>
            <w:webHidden/>
          </w:rPr>
          <w:fldChar w:fldCharType="separate"/>
        </w:r>
        <w:r w:rsidR="007537A8">
          <w:rPr>
            <w:noProof/>
            <w:webHidden/>
          </w:rPr>
          <w:t>118</w:t>
        </w:r>
        <w:r w:rsidR="007537A8">
          <w:rPr>
            <w:noProof/>
            <w:webHidden/>
          </w:rPr>
          <w:fldChar w:fldCharType="end"/>
        </w:r>
      </w:hyperlink>
    </w:p>
    <w:p w14:paraId="62EA91D6" w14:textId="6D49079F" w:rsidR="007537A8" w:rsidRDefault="00091FED">
      <w:pPr>
        <w:pStyle w:val="Verzeichnis5"/>
        <w:tabs>
          <w:tab w:val="right" w:leader="dot" w:pos="7361"/>
        </w:tabs>
        <w:rPr>
          <w:rFonts w:eastAsiaTheme="minorEastAsia"/>
          <w:noProof/>
          <w:sz w:val="22"/>
          <w:szCs w:val="22"/>
          <w:lang w:eastAsia="de-DE"/>
        </w:rPr>
      </w:pPr>
      <w:hyperlink w:anchor="_Toc22133155" w:history="1">
        <w:r w:rsidR="007537A8" w:rsidRPr="00514104">
          <w:rPr>
            <w:rStyle w:val="Hyperlink"/>
            <w:noProof/>
          </w:rPr>
          <w:t>I. Anspruch des Stadtverbands gegen W auf Verschaffung der Stadthalle durch Einwirkung auf S gem. § 20 I, III HGO</w:t>
        </w:r>
        <w:r w:rsidR="007537A8">
          <w:rPr>
            <w:noProof/>
            <w:webHidden/>
          </w:rPr>
          <w:tab/>
        </w:r>
        <w:r w:rsidR="007537A8">
          <w:rPr>
            <w:noProof/>
            <w:webHidden/>
          </w:rPr>
          <w:fldChar w:fldCharType="begin"/>
        </w:r>
        <w:r w:rsidR="007537A8">
          <w:rPr>
            <w:noProof/>
            <w:webHidden/>
          </w:rPr>
          <w:instrText xml:space="preserve"> PAGEREF _Toc22133155 \h </w:instrText>
        </w:r>
        <w:r w:rsidR="007537A8">
          <w:rPr>
            <w:noProof/>
            <w:webHidden/>
          </w:rPr>
        </w:r>
        <w:r w:rsidR="007537A8">
          <w:rPr>
            <w:noProof/>
            <w:webHidden/>
          </w:rPr>
          <w:fldChar w:fldCharType="separate"/>
        </w:r>
        <w:r w:rsidR="007537A8">
          <w:rPr>
            <w:noProof/>
            <w:webHidden/>
          </w:rPr>
          <w:t>118</w:t>
        </w:r>
        <w:r w:rsidR="007537A8">
          <w:rPr>
            <w:noProof/>
            <w:webHidden/>
          </w:rPr>
          <w:fldChar w:fldCharType="end"/>
        </w:r>
      </w:hyperlink>
    </w:p>
    <w:p w14:paraId="5BE9BC2C" w14:textId="3D656EA2" w:rsidR="007537A8" w:rsidRDefault="00091FED">
      <w:pPr>
        <w:pStyle w:val="Verzeichnis6"/>
        <w:tabs>
          <w:tab w:val="right" w:leader="dot" w:pos="7361"/>
        </w:tabs>
        <w:rPr>
          <w:noProof/>
          <w:sz w:val="22"/>
          <w:szCs w:val="22"/>
          <w:lang w:eastAsia="de-DE"/>
        </w:rPr>
      </w:pPr>
      <w:hyperlink w:anchor="_Toc22133156" w:history="1">
        <w:r w:rsidR="007537A8" w:rsidRPr="00514104">
          <w:rPr>
            <w:rStyle w:val="Hyperlink"/>
            <w:noProof/>
          </w:rPr>
          <w:t>1. Anspruchsvoraussetzungen</w:t>
        </w:r>
        <w:r w:rsidR="007537A8">
          <w:rPr>
            <w:noProof/>
            <w:webHidden/>
          </w:rPr>
          <w:tab/>
        </w:r>
        <w:r w:rsidR="007537A8">
          <w:rPr>
            <w:noProof/>
            <w:webHidden/>
          </w:rPr>
          <w:fldChar w:fldCharType="begin"/>
        </w:r>
        <w:r w:rsidR="007537A8">
          <w:rPr>
            <w:noProof/>
            <w:webHidden/>
          </w:rPr>
          <w:instrText xml:space="preserve"> PAGEREF _Toc22133156 \h </w:instrText>
        </w:r>
        <w:r w:rsidR="007537A8">
          <w:rPr>
            <w:noProof/>
            <w:webHidden/>
          </w:rPr>
        </w:r>
        <w:r w:rsidR="007537A8">
          <w:rPr>
            <w:noProof/>
            <w:webHidden/>
          </w:rPr>
          <w:fldChar w:fldCharType="separate"/>
        </w:r>
        <w:r w:rsidR="007537A8">
          <w:rPr>
            <w:noProof/>
            <w:webHidden/>
          </w:rPr>
          <w:t>118</w:t>
        </w:r>
        <w:r w:rsidR="007537A8">
          <w:rPr>
            <w:noProof/>
            <w:webHidden/>
          </w:rPr>
          <w:fldChar w:fldCharType="end"/>
        </w:r>
      </w:hyperlink>
    </w:p>
    <w:p w14:paraId="30E4C05F" w14:textId="714B0778" w:rsidR="007537A8" w:rsidRDefault="00091FED">
      <w:pPr>
        <w:pStyle w:val="Verzeichnis7"/>
        <w:tabs>
          <w:tab w:val="right" w:leader="dot" w:pos="7361"/>
        </w:tabs>
        <w:rPr>
          <w:noProof/>
          <w:sz w:val="22"/>
          <w:szCs w:val="22"/>
          <w:lang w:eastAsia="de-DE"/>
        </w:rPr>
      </w:pPr>
      <w:hyperlink w:anchor="_Toc22133157" w:history="1">
        <w:r w:rsidR="007537A8" w:rsidRPr="00514104">
          <w:rPr>
            <w:rStyle w:val="Hyperlink"/>
            <w:noProof/>
          </w:rPr>
          <w:t>a) Öffentliche Einrichtung</w:t>
        </w:r>
        <w:r w:rsidR="007537A8">
          <w:rPr>
            <w:noProof/>
            <w:webHidden/>
          </w:rPr>
          <w:tab/>
        </w:r>
        <w:r w:rsidR="007537A8">
          <w:rPr>
            <w:noProof/>
            <w:webHidden/>
          </w:rPr>
          <w:fldChar w:fldCharType="begin"/>
        </w:r>
        <w:r w:rsidR="007537A8">
          <w:rPr>
            <w:noProof/>
            <w:webHidden/>
          </w:rPr>
          <w:instrText xml:space="preserve"> PAGEREF _Toc22133157 \h </w:instrText>
        </w:r>
        <w:r w:rsidR="007537A8">
          <w:rPr>
            <w:noProof/>
            <w:webHidden/>
          </w:rPr>
        </w:r>
        <w:r w:rsidR="007537A8">
          <w:rPr>
            <w:noProof/>
            <w:webHidden/>
          </w:rPr>
          <w:fldChar w:fldCharType="separate"/>
        </w:r>
        <w:r w:rsidR="007537A8">
          <w:rPr>
            <w:noProof/>
            <w:webHidden/>
          </w:rPr>
          <w:t>119</w:t>
        </w:r>
        <w:r w:rsidR="007537A8">
          <w:rPr>
            <w:noProof/>
            <w:webHidden/>
          </w:rPr>
          <w:fldChar w:fldCharType="end"/>
        </w:r>
      </w:hyperlink>
    </w:p>
    <w:p w14:paraId="52B4D4ED" w14:textId="4611B848" w:rsidR="007537A8" w:rsidRDefault="00091FED">
      <w:pPr>
        <w:pStyle w:val="Verzeichnis7"/>
        <w:tabs>
          <w:tab w:val="right" w:leader="dot" w:pos="7361"/>
        </w:tabs>
        <w:rPr>
          <w:noProof/>
          <w:sz w:val="22"/>
          <w:szCs w:val="22"/>
          <w:lang w:eastAsia="de-DE"/>
        </w:rPr>
      </w:pPr>
      <w:hyperlink w:anchor="_Toc22133158" w:history="1">
        <w:r w:rsidR="007537A8" w:rsidRPr="00514104">
          <w:rPr>
            <w:rStyle w:val="Hyperlink"/>
            <w:noProof/>
          </w:rPr>
          <w:t>b) Einwohner bzw. im Ort ansässige juristische Person</w:t>
        </w:r>
        <w:r w:rsidR="007537A8">
          <w:rPr>
            <w:noProof/>
            <w:webHidden/>
          </w:rPr>
          <w:tab/>
        </w:r>
        <w:r w:rsidR="007537A8">
          <w:rPr>
            <w:noProof/>
            <w:webHidden/>
          </w:rPr>
          <w:fldChar w:fldCharType="begin"/>
        </w:r>
        <w:r w:rsidR="007537A8">
          <w:rPr>
            <w:noProof/>
            <w:webHidden/>
          </w:rPr>
          <w:instrText xml:space="preserve"> PAGEREF _Toc22133158 \h </w:instrText>
        </w:r>
        <w:r w:rsidR="007537A8">
          <w:rPr>
            <w:noProof/>
            <w:webHidden/>
          </w:rPr>
        </w:r>
        <w:r w:rsidR="007537A8">
          <w:rPr>
            <w:noProof/>
            <w:webHidden/>
          </w:rPr>
          <w:fldChar w:fldCharType="separate"/>
        </w:r>
        <w:r w:rsidR="007537A8">
          <w:rPr>
            <w:noProof/>
            <w:webHidden/>
          </w:rPr>
          <w:t>119</w:t>
        </w:r>
        <w:r w:rsidR="007537A8">
          <w:rPr>
            <w:noProof/>
            <w:webHidden/>
          </w:rPr>
          <w:fldChar w:fldCharType="end"/>
        </w:r>
      </w:hyperlink>
    </w:p>
    <w:p w14:paraId="7E596ED2" w14:textId="77C0B572" w:rsidR="007537A8" w:rsidRDefault="00091FED">
      <w:pPr>
        <w:pStyle w:val="Verzeichnis7"/>
        <w:tabs>
          <w:tab w:val="right" w:leader="dot" w:pos="7361"/>
        </w:tabs>
        <w:rPr>
          <w:noProof/>
          <w:sz w:val="22"/>
          <w:szCs w:val="22"/>
          <w:lang w:eastAsia="de-DE"/>
        </w:rPr>
      </w:pPr>
      <w:hyperlink w:anchor="_Toc22133159" w:history="1">
        <w:r w:rsidR="007537A8" w:rsidRPr="00514104">
          <w:rPr>
            <w:rStyle w:val="Hyperlink"/>
            <w:noProof/>
          </w:rPr>
          <w:t>c) Nutzung im Rahmen der bestehenden Vorschriften</w:t>
        </w:r>
        <w:r w:rsidR="007537A8">
          <w:rPr>
            <w:noProof/>
            <w:webHidden/>
          </w:rPr>
          <w:tab/>
        </w:r>
        <w:r w:rsidR="007537A8">
          <w:rPr>
            <w:noProof/>
            <w:webHidden/>
          </w:rPr>
          <w:fldChar w:fldCharType="begin"/>
        </w:r>
        <w:r w:rsidR="007537A8">
          <w:rPr>
            <w:noProof/>
            <w:webHidden/>
          </w:rPr>
          <w:instrText xml:space="preserve"> PAGEREF _Toc22133159 \h </w:instrText>
        </w:r>
        <w:r w:rsidR="007537A8">
          <w:rPr>
            <w:noProof/>
            <w:webHidden/>
          </w:rPr>
        </w:r>
        <w:r w:rsidR="007537A8">
          <w:rPr>
            <w:noProof/>
            <w:webHidden/>
          </w:rPr>
          <w:fldChar w:fldCharType="separate"/>
        </w:r>
        <w:r w:rsidR="007537A8">
          <w:rPr>
            <w:noProof/>
            <w:webHidden/>
          </w:rPr>
          <w:t>119</w:t>
        </w:r>
        <w:r w:rsidR="007537A8">
          <w:rPr>
            <w:noProof/>
            <w:webHidden/>
          </w:rPr>
          <w:fldChar w:fldCharType="end"/>
        </w:r>
      </w:hyperlink>
    </w:p>
    <w:p w14:paraId="47FD6F9D" w14:textId="2F946AD3" w:rsidR="007537A8" w:rsidRDefault="00091FED">
      <w:pPr>
        <w:pStyle w:val="Verzeichnis8"/>
        <w:tabs>
          <w:tab w:val="right" w:leader="dot" w:pos="7361"/>
        </w:tabs>
        <w:rPr>
          <w:noProof/>
          <w:sz w:val="22"/>
          <w:szCs w:val="22"/>
          <w:lang w:eastAsia="de-DE"/>
        </w:rPr>
      </w:pPr>
      <w:hyperlink w:anchor="_Toc22133160" w:history="1">
        <w:r w:rsidR="007537A8" w:rsidRPr="00514104">
          <w:rPr>
            <w:rStyle w:val="Hyperlink"/>
            <w:noProof/>
          </w:rPr>
          <w:t>aa) Nutzung im Rahmen des Widmungszwecks der Stadthalle</w:t>
        </w:r>
        <w:r w:rsidR="007537A8">
          <w:rPr>
            <w:noProof/>
            <w:webHidden/>
          </w:rPr>
          <w:tab/>
        </w:r>
        <w:r w:rsidR="007537A8">
          <w:rPr>
            <w:noProof/>
            <w:webHidden/>
          </w:rPr>
          <w:fldChar w:fldCharType="begin"/>
        </w:r>
        <w:r w:rsidR="007537A8">
          <w:rPr>
            <w:noProof/>
            <w:webHidden/>
          </w:rPr>
          <w:instrText xml:space="preserve"> PAGEREF _Toc22133160 \h </w:instrText>
        </w:r>
        <w:r w:rsidR="007537A8">
          <w:rPr>
            <w:noProof/>
            <w:webHidden/>
          </w:rPr>
        </w:r>
        <w:r w:rsidR="007537A8">
          <w:rPr>
            <w:noProof/>
            <w:webHidden/>
          </w:rPr>
          <w:fldChar w:fldCharType="separate"/>
        </w:r>
        <w:r w:rsidR="007537A8">
          <w:rPr>
            <w:noProof/>
            <w:webHidden/>
          </w:rPr>
          <w:t>120</w:t>
        </w:r>
        <w:r w:rsidR="007537A8">
          <w:rPr>
            <w:noProof/>
            <w:webHidden/>
          </w:rPr>
          <w:fldChar w:fldCharType="end"/>
        </w:r>
      </w:hyperlink>
    </w:p>
    <w:p w14:paraId="60AFC7A7" w14:textId="4875FB1E" w:rsidR="007537A8" w:rsidRDefault="00091FED">
      <w:pPr>
        <w:pStyle w:val="Verzeichnis8"/>
        <w:tabs>
          <w:tab w:val="right" w:leader="dot" w:pos="7361"/>
        </w:tabs>
        <w:rPr>
          <w:noProof/>
          <w:sz w:val="22"/>
          <w:szCs w:val="22"/>
          <w:lang w:eastAsia="de-DE"/>
        </w:rPr>
      </w:pPr>
      <w:hyperlink w:anchor="_Toc22133161" w:history="1">
        <w:r w:rsidR="007537A8" w:rsidRPr="00514104">
          <w:rPr>
            <w:rStyle w:val="Hyperlink"/>
            <w:noProof/>
          </w:rPr>
          <w:t>bb) Annahme, dass Straftaten begangen werden</w:t>
        </w:r>
        <w:r w:rsidR="007537A8">
          <w:rPr>
            <w:noProof/>
            <w:webHidden/>
          </w:rPr>
          <w:tab/>
        </w:r>
        <w:r w:rsidR="007537A8">
          <w:rPr>
            <w:noProof/>
            <w:webHidden/>
          </w:rPr>
          <w:fldChar w:fldCharType="begin"/>
        </w:r>
        <w:r w:rsidR="007537A8">
          <w:rPr>
            <w:noProof/>
            <w:webHidden/>
          </w:rPr>
          <w:instrText xml:space="preserve"> PAGEREF _Toc22133161 \h </w:instrText>
        </w:r>
        <w:r w:rsidR="007537A8">
          <w:rPr>
            <w:noProof/>
            <w:webHidden/>
          </w:rPr>
        </w:r>
        <w:r w:rsidR="007537A8">
          <w:rPr>
            <w:noProof/>
            <w:webHidden/>
          </w:rPr>
          <w:fldChar w:fldCharType="separate"/>
        </w:r>
        <w:r w:rsidR="007537A8">
          <w:rPr>
            <w:noProof/>
            <w:webHidden/>
          </w:rPr>
          <w:t>121</w:t>
        </w:r>
        <w:r w:rsidR="007537A8">
          <w:rPr>
            <w:noProof/>
            <w:webHidden/>
          </w:rPr>
          <w:fldChar w:fldCharType="end"/>
        </w:r>
      </w:hyperlink>
    </w:p>
    <w:p w14:paraId="528B47E7" w14:textId="1B27E327" w:rsidR="007537A8" w:rsidRDefault="00091FED">
      <w:pPr>
        <w:pStyle w:val="Verzeichnis7"/>
        <w:tabs>
          <w:tab w:val="right" w:leader="dot" w:pos="7361"/>
        </w:tabs>
        <w:rPr>
          <w:noProof/>
          <w:sz w:val="22"/>
          <w:szCs w:val="22"/>
          <w:lang w:eastAsia="de-DE"/>
        </w:rPr>
      </w:pPr>
      <w:hyperlink w:anchor="_Toc22133162" w:history="1">
        <w:r w:rsidR="007537A8" w:rsidRPr="00514104">
          <w:rPr>
            <w:rStyle w:val="Hyperlink"/>
            <w:noProof/>
          </w:rPr>
          <w:t>d) Zwischenergebnis</w:t>
        </w:r>
        <w:r w:rsidR="007537A8">
          <w:rPr>
            <w:noProof/>
            <w:webHidden/>
          </w:rPr>
          <w:tab/>
        </w:r>
        <w:r w:rsidR="007537A8">
          <w:rPr>
            <w:noProof/>
            <w:webHidden/>
          </w:rPr>
          <w:fldChar w:fldCharType="begin"/>
        </w:r>
        <w:r w:rsidR="007537A8">
          <w:rPr>
            <w:noProof/>
            <w:webHidden/>
          </w:rPr>
          <w:instrText xml:space="preserve"> PAGEREF _Toc22133162 \h </w:instrText>
        </w:r>
        <w:r w:rsidR="007537A8">
          <w:rPr>
            <w:noProof/>
            <w:webHidden/>
          </w:rPr>
        </w:r>
        <w:r w:rsidR="007537A8">
          <w:rPr>
            <w:noProof/>
            <w:webHidden/>
          </w:rPr>
          <w:fldChar w:fldCharType="separate"/>
        </w:r>
        <w:r w:rsidR="007537A8">
          <w:rPr>
            <w:noProof/>
            <w:webHidden/>
          </w:rPr>
          <w:t>122</w:t>
        </w:r>
        <w:r w:rsidR="007537A8">
          <w:rPr>
            <w:noProof/>
            <w:webHidden/>
          </w:rPr>
          <w:fldChar w:fldCharType="end"/>
        </w:r>
      </w:hyperlink>
    </w:p>
    <w:p w14:paraId="44525AE2" w14:textId="5BD05CC5" w:rsidR="007537A8" w:rsidRDefault="00091FED">
      <w:pPr>
        <w:pStyle w:val="Verzeichnis6"/>
        <w:tabs>
          <w:tab w:val="right" w:leader="dot" w:pos="7361"/>
        </w:tabs>
        <w:rPr>
          <w:noProof/>
          <w:sz w:val="22"/>
          <w:szCs w:val="22"/>
          <w:lang w:eastAsia="de-DE"/>
        </w:rPr>
      </w:pPr>
      <w:hyperlink w:anchor="_Toc22133163" w:history="1">
        <w:r w:rsidR="007537A8" w:rsidRPr="00514104">
          <w:rPr>
            <w:rStyle w:val="Hyperlink"/>
            <w:noProof/>
          </w:rPr>
          <w:t>2. Keine Versagungsgründe</w:t>
        </w:r>
        <w:r w:rsidR="007537A8">
          <w:rPr>
            <w:noProof/>
            <w:webHidden/>
          </w:rPr>
          <w:tab/>
        </w:r>
        <w:r w:rsidR="007537A8">
          <w:rPr>
            <w:noProof/>
            <w:webHidden/>
          </w:rPr>
          <w:fldChar w:fldCharType="begin"/>
        </w:r>
        <w:r w:rsidR="007537A8">
          <w:rPr>
            <w:noProof/>
            <w:webHidden/>
          </w:rPr>
          <w:instrText xml:space="preserve"> PAGEREF _Toc22133163 \h </w:instrText>
        </w:r>
        <w:r w:rsidR="007537A8">
          <w:rPr>
            <w:noProof/>
            <w:webHidden/>
          </w:rPr>
        </w:r>
        <w:r w:rsidR="007537A8">
          <w:rPr>
            <w:noProof/>
            <w:webHidden/>
          </w:rPr>
          <w:fldChar w:fldCharType="separate"/>
        </w:r>
        <w:r w:rsidR="007537A8">
          <w:rPr>
            <w:noProof/>
            <w:webHidden/>
          </w:rPr>
          <w:t>122</w:t>
        </w:r>
        <w:r w:rsidR="007537A8">
          <w:rPr>
            <w:noProof/>
            <w:webHidden/>
          </w:rPr>
          <w:fldChar w:fldCharType="end"/>
        </w:r>
      </w:hyperlink>
    </w:p>
    <w:p w14:paraId="26757482" w14:textId="11BD7BA8" w:rsidR="007537A8" w:rsidRDefault="00091FED">
      <w:pPr>
        <w:pStyle w:val="Verzeichnis6"/>
        <w:tabs>
          <w:tab w:val="right" w:leader="dot" w:pos="7361"/>
        </w:tabs>
        <w:rPr>
          <w:noProof/>
          <w:sz w:val="22"/>
          <w:szCs w:val="22"/>
          <w:lang w:eastAsia="de-DE"/>
        </w:rPr>
      </w:pPr>
      <w:hyperlink w:anchor="_Toc22133164" w:history="1">
        <w:r w:rsidR="007537A8" w:rsidRPr="00514104">
          <w:rPr>
            <w:rStyle w:val="Hyperlink"/>
            <w:noProof/>
          </w:rPr>
          <w:t>3. Zwischenergebnis</w:t>
        </w:r>
        <w:r w:rsidR="007537A8">
          <w:rPr>
            <w:noProof/>
            <w:webHidden/>
          </w:rPr>
          <w:tab/>
        </w:r>
        <w:r w:rsidR="007537A8">
          <w:rPr>
            <w:noProof/>
            <w:webHidden/>
          </w:rPr>
          <w:fldChar w:fldCharType="begin"/>
        </w:r>
        <w:r w:rsidR="007537A8">
          <w:rPr>
            <w:noProof/>
            <w:webHidden/>
          </w:rPr>
          <w:instrText xml:space="preserve"> PAGEREF _Toc22133164 \h </w:instrText>
        </w:r>
        <w:r w:rsidR="007537A8">
          <w:rPr>
            <w:noProof/>
            <w:webHidden/>
          </w:rPr>
        </w:r>
        <w:r w:rsidR="007537A8">
          <w:rPr>
            <w:noProof/>
            <w:webHidden/>
          </w:rPr>
          <w:fldChar w:fldCharType="separate"/>
        </w:r>
        <w:r w:rsidR="007537A8">
          <w:rPr>
            <w:noProof/>
            <w:webHidden/>
          </w:rPr>
          <w:t>122</w:t>
        </w:r>
        <w:r w:rsidR="007537A8">
          <w:rPr>
            <w:noProof/>
            <w:webHidden/>
          </w:rPr>
          <w:fldChar w:fldCharType="end"/>
        </w:r>
      </w:hyperlink>
    </w:p>
    <w:p w14:paraId="030361FE" w14:textId="5AD802A7" w:rsidR="007537A8" w:rsidRDefault="00091FED">
      <w:pPr>
        <w:pStyle w:val="Verzeichnis5"/>
        <w:tabs>
          <w:tab w:val="right" w:leader="dot" w:pos="7361"/>
        </w:tabs>
        <w:rPr>
          <w:rFonts w:eastAsiaTheme="minorEastAsia"/>
          <w:noProof/>
          <w:sz w:val="22"/>
          <w:szCs w:val="22"/>
          <w:lang w:eastAsia="de-DE"/>
        </w:rPr>
      </w:pPr>
      <w:hyperlink w:anchor="_Toc22133165" w:history="1">
        <w:r w:rsidR="007537A8" w:rsidRPr="00514104">
          <w:rPr>
            <w:rStyle w:val="Hyperlink"/>
            <w:noProof/>
          </w:rPr>
          <w:t>II. Anspruch des Stadtverbands gegen W auf Verschaffung der Stadthalle durch Einwirkung auf S gem. § 5 I PartG i.V.m. Art. 3 I GG</w:t>
        </w:r>
        <w:r w:rsidR="007537A8">
          <w:rPr>
            <w:noProof/>
            <w:webHidden/>
          </w:rPr>
          <w:tab/>
        </w:r>
        <w:r w:rsidR="007537A8">
          <w:rPr>
            <w:noProof/>
            <w:webHidden/>
          </w:rPr>
          <w:fldChar w:fldCharType="begin"/>
        </w:r>
        <w:r w:rsidR="007537A8">
          <w:rPr>
            <w:noProof/>
            <w:webHidden/>
          </w:rPr>
          <w:instrText xml:space="preserve"> PAGEREF _Toc22133165 \h </w:instrText>
        </w:r>
        <w:r w:rsidR="007537A8">
          <w:rPr>
            <w:noProof/>
            <w:webHidden/>
          </w:rPr>
        </w:r>
        <w:r w:rsidR="007537A8">
          <w:rPr>
            <w:noProof/>
            <w:webHidden/>
          </w:rPr>
          <w:fldChar w:fldCharType="separate"/>
        </w:r>
        <w:r w:rsidR="007537A8">
          <w:rPr>
            <w:noProof/>
            <w:webHidden/>
          </w:rPr>
          <w:t>122</w:t>
        </w:r>
        <w:r w:rsidR="007537A8">
          <w:rPr>
            <w:noProof/>
            <w:webHidden/>
          </w:rPr>
          <w:fldChar w:fldCharType="end"/>
        </w:r>
      </w:hyperlink>
    </w:p>
    <w:p w14:paraId="33D2FAAE" w14:textId="71233B9C" w:rsidR="007537A8" w:rsidRDefault="00091FED">
      <w:pPr>
        <w:pStyle w:val="Verzeichnis6"/>
        <w:tabs>
          <w:tab w:val="right" w:leader="dot" w:pos="7361"/>
        </w:tabs>
        <w:rPr>
          <w:noProof/>
          <w:sz w:val="22"/>
          <w:szCs w:val="22"/>
          <w:lang w:eastAsia="de-DE"/>
        </w:rPr>
      </w:pPr>
      <w:hyperlink w:anchor="_Toc22133166" w:history="1">
        <w:r w:rsidR="007537A8" w:rsidRPr="00514104">
          <w:rPr>
            <w:rStyle w:val="Hyperlink"/>
            <w:noProof/>
          </w:rPr>
          <w:t>1. Zur-Verfügung-Stellung öffentlicher Einrichtung durch Träger öffentlicher Gewalt</w:t>
        </w:r>
        <w:r w:rsidR="007537A8">
          <w:rPr>
            <w:noProof/>
            <w:webHidden/>
          </w:rPr>
          <w:tab/>
        </w:r>
        <w:r w:rsidR="007537A8">
          <w:rPr>
            <w:noProof/>
            <w:webHidden/>
          </w:rPr>
          <w:fldChar w:fldCharType="begin"/>
        </w:r>
        <w:r w:rsidR="007537A8">
          <w:rPr>
            <w:noProof/>
            <w:webHidden/>
          </w:rPr>
          <w:instrText xml:space="preserve"> PAGEREF _Toc22133166 \h </w:instrText>
        </w:r>
        <w:r w:rsidR="007537A8">
          <w:rPr>
            <w:noProof/>
            <w:webHidden/>
          </w:rPr>
        </w:r>
        <w:r w:rsidR="007537A8">
          <w:rPr>
            <w:noProof/>
            <w:webHidden/>
          </w:rPr>
          <w:fldChar w:fldCharType="separate"/>
        </w:r>
        <w:r w:rsidR="007537A8">
          <w:rPr>
            <w:noProof/>
            <w:webHidden/>
          </w:rPr>
          <w:t>122</w:t>
        </w:r>
        <w:r w:rsidR="007537A8">
          <w:rPr>
            <w:noProof/>
            <w:webHidden/>
          </w:rPr>
          <w:fldChar w:fldCharType="end"/>
        </w:r>
      </w:hyperlink>
    </w:p>
    <w:p w14:paraId="3FE7C1E6" w14:textId="75DD16D6" w:rsidR="007537A8" w:rsidRDefault="00091FED">
      <w:pPr>
        <w:pStyle w:val="Verzeichnis6"/>
        <w:tabs>
          <w:tab w:val="right" w:leader="dot" w:pos="7361"/>
        </w:tabs>
        <w:rPr>
          <w:noProof/>
          <w:sz w:val="22"/>
          <w:szCs w:val="22"/>
          <w:lang w:eastAsia="de-DE"/>
        </w:rPr>
      </w:pPr>
      <w:hyperlink w:anchor="_Toc22133167" w:history="1">
        <w:r w:rsidR="007537A8" w:rsidRPr="00514104">
          <w:rPr>
            <w:rStyle w:val="Hyperlink"/>
            <w:noProof/>
          </w:rPr>
          <w:t>2. Widmungszweck der öffentlichen Einrichtung</w:t>
        </w:r>
        <w:r w:rsidR="007537A8">
          <w:rPr>
            <w:noProof/>
            <w:webHidden/>
          </w:rPr>
          <w:tab/>
        </w:r>
        <w:r w:rsidR="007537A8">
          <w:rPr>
            <w:noProof/>
            <w:webHidden/>
          </w:rPr>
          <w:fldChar w:fldCharType="begin"/>
        </w:r>
        <w:r w:rsidR="007537A8">
          <w:rPr>
            <w:noProof/>
            <w:webHidden/>
          </w:rPr>
          <w:instrText xml:space="preserve"> PAGEREF _Toc22133167 \h </w:instrText>
        </w:r>
        <w:r w:rsidR="007537A8">
          <w:rPr>
            <w:noProof/>
            <w:webHidden/>
          </w:rPr>
        </w:r>
        <w:r w:rsidR="007537A8">
          <w:rPr>
            <w:noProof/>
            <w:webHidden/>
          </w:rPr>
          <w:fldChar w:fldCharType="separate"/>
        </w:r>
        <w:r w:rsidR="007537A8">
          <w:rPr>
            <w:noProof/>
            <w:webHidden/>
          </w:rPr>
          <w:t>122</w:t>
        </w:r>
        <w:r w:rsidR="007537A8">
          <w:rPr>
            <w:noProof/>
            <w:webHidden/>
          </w:rPr>
          <w:fldChar w:fldCharType="end"/>
        </w:r>
      </w:hyperlink>
    </w:p>
    <w:p w14:paraId="3906797C" w14:textId="52733008" w:rsidR="007537A8" w:rsidRDefault="00091FED">
      <w:pPr>
        <w:pStyle w:val="Verzeichnis6"/>
        <w:tabs>
          <w:tab w:val="right" w:leader="dot" w:pos="7361"/>
        </w:tabs>
        <w:rPr>
          <w:noProof/>
          <w:sz w:val="22"/>
          <w:szCs w:val="22"/>
          <w:lang w:eastAsia="de-DE"/>
        </w:rPr>
      </w:pPr>
      <w:hyperlink w:anchor="_Toc22133168" w:history="1">
        <w:r w:rsidR="007537A8" w:rsidRPr="00514104">
          <w:rPr>
            <w:rStyle w:val="Hyperlink"/>
            <w:noProof/>
          </w:rPr>
          <w:t>3. Kein Ausschluss des Anspruchs</w:t>
        </w:r>
        <w:r w:rsidR="007537A8">
          <w:rPr>
            <w:noProof/>
            <w:webHidden/>
          </w:rPr>
          <w:tab/>
        </w:r>
        <w:r w:rsidR="007537A8">
          <w:rPr>
            <w:noProof/>
            <w:webHidden/>
          </w:rPr>
          <w:fldChar w:fldCharType="begin"/>
        </w:r>
        <w:r w:rsidR="007537A8">
          <w:rPr>
            <w:noProof/>
            <w:webHidden/>
          </w:rPr>
          <w:instrText xml:space="preserve"> PAGEREF _Toc22133168 \h </w:instrText>
        </w:r>
        <w:r w:rsidR="007537A8">
          <w:rPr>
            <w:noProof/>
            <w:webHidden/>
          </w:rPr>
        </w:r>
        <w:r w:rsidR="007537A8">
          <w:rPr>
            <w:noProof/>
            <w:webHidden/>
          </w:rPr>
          <w:fldChar w:fldCharType="separate"/>
        </w:r>
        <w:r w:rsidR="007537A8">
          <w:rPr>
            <w:noProof/>
            <w:webHidden/>
          </w:rPr>
          <w:t>123</w:t>
        </w:r>
        <w:r w:rsidR="007537A8">
          <w:rPr>
            <w:noProof/>
            <w:webHidden/>
          </w:rPr>
          <w:fldChar w:fldCharType="end"/>
        </w:r>
      </w:hyperlink>
    </w:p>
    <w:p w14:paraId="486F5739" w14:textId="4BD5C40B" w:rsidR="007537A8" w:rsidRDefault="00091FED">
      <w:pPr>
        <w:pStyle w:val="Verzeichnis6"/>
        <w:tabs>
          <w:tab w:val="right" w:leader="dot" w:pos="7361"/>
        </w:tabs>
        <w:rPr>
          <w:noProof/>
          <w:sz w:val="22"/>
          <w:szCs w:val="22"/>
          <w:lang w:eastAsia="de-DE"/>
        </w:rPr>
      </w:pPr>
      <w:hyperlink w:anchor="_Toc22133169" w:history="1">
        <w:r w:rsidR="007537A8" w:rsidRPr="00514104">
          <w:rPr>
            <w:rStyle w:val="Hyperlink"/>
            <w:noProof/>
          </w:rPr>
          <w:t>4. Zwischenergebnis</w:t>
        </w:r>
        <w:r w:rsidR="007537A8">
          <w:rPr>
            <w:noProof/>
            <w:webHidden/>
          </w:rPr>
          <w:tab/>
        </w:r>
        <w:r w:rsidR="007537A8">
          <w:rPr>
            <w:noProof/>
            <w:webHidden/>
          </w:rPr>
          <w:fldChar w:fldCharType="begin"/>
        </w:r>
        <w:r w:rsidR="007537A8">
          <w:rPr>
            <w:noProof/>
            <w:webHidden/>
          </w:rPr>
          <w:instrText xml:space="preserve"> PAGEREF _Toc22133169 \h </w:instrText>
        </w:r>
        <w:r w:rsidR="007537A8">
          <w:rPr>
            <w:noProof/>
            <w:webHidden/>
          </w:rPr>
        </w:r>
        <w:r w:rsidR="007537A8">
          <w:rPr>
            <w:noProof/>
            <w:webHidden/>
          </w:rPr>
          <w:fldChar w:fldCharType="separate"/>
        </w:r>
        <w:r w:rsidR="007537A8">
          <w:rPr>
            <w:noProof/>
            <w:webHidden/>
          </w:rPr>
          <w:t>123</w:t>
        </w:r>
        <w:r w:rsidR="007537A8">
          <w:rPr>
            <w:noProof/>
            <w:webHidden/>
          </w:rPr>
          <w:fldChar w:fldCharType="end"/>
        </w:r>
      </w:hyperlink>
    </w:p>
    <w:p w14:paraId="727202FD" w14:textId="4B3A72C0" w:rsidR="007537A8" w:rsidRDefault="00091FED">
      <w:pPr>
        <w:pStyle w:val="Verzeichnis5"/>
        <w:tabs>
          <w:tab w:val="right" w:leader="dot" w:pos="7361"/>
        </w:tabs>
        <w:rPr>
          <w:rFonts w:eastAsiaTheme="minorEastAsia"/>
          <w:noProof/>
          <w:sz w:val="22"/>
          <w:szCs w:val="22"/>
          <w:lang w:eastAsia="de-DE"/>
        </w:rPr>
      </w:pPr>
      <w:hyperlink w:anchor="_Toc22133170" w:history="1">
        <w:r w:rsidR="007537A8" w:rsidRPr="00514104">
          <w:rPr>
            <w:rStyle w:val="Hyperlink"/>
            <w:noProof/>
          </w:rPr>
          <w:t>III. Verletzung in eigenen Rechten</w:t>
        </w:r>
        <w:r w:rsidR="007537A8">
          <w:rPr>
            <w:noProof/>
            <w:webHidden/>
          </w:rPr>
          <w:tab/>
        </w:r>
        <w:r w:rsidR="007537A8">
          <w:rPr>
            <w:noProof/>
            <w:webHidden/>
          </w:rPr>
          <w:fldChar w:fldCharType="begin"/>
        </w:r>
        <w:r w:rsidR="007537A8">
          <w:rPr>
            <w:noProof/>
            <w:webHidden/>
          </w:rPr>
          <w:instrText xml:space="preserve"> PAGEREF _Toc22133170 \h </w:instrText>
        </w:r>
        <w:r w:rsidR="007537A8">
          <w:rPr>
            <w:noProof/>
            <w:webHidden/>
          </w:rPr>
        </w:r>
        <w:r w:rsidR="007537A8">
          <w:rPr>
            <w:noProof/>
            <w:webHidden/>
          </w:rPr>
          <w:fldChar w:fldCharType="separate"/>
        </w:r>
        <w:r w:rsidR="007537A8">
          <w:rPr>
            <w:noProof/>
            <w:webHidden/>
          </w:rPr>
          <w:t>123</w:t>
        </w:r>
        <w:r w:rsidR="007537A8">
          <w:rPr>
            <w:noProof/>
            <w:webHidden/>
          </w:rPr>
          <w:fldChar w:fldCharType="end"/>
        </w:r>
      </w:hyperlink>
    </w:p>
    <w:p w14:paraId="1AE9A996" w14:textId="4C51619C" w:rsidR="007537A8" w:rsidRDefault="00091FED">
      <w:pPr>
        <w:pStyle w:val="Verzeichnis4"/>
        <w:tabs>
          <w:tab w:val="right" w:leader="dot" w:pos="7361"/>
        </w:tabs>
        <w:rPr>
          <w:rFonts w:eastAsiaTheme="minorEastAsia"/>
          <w:noProof/>
          <w:sz w:val="22"/>
          <w:szCs w:val="22"/>
          <w:lang w:eastAsia="de-DE"/>
        </w:rPr>
      </w:pPr>
      <w:hyperlink w:anchor="_Toc22133171" w:history="1">
        <w:r w:rsidR="007537A8" w:rsidRPr="00514104">
          <w:rPr>
            <w:rStyle w:val="Hyperlink"/>
            <w:noProof/>
          </w:rPr>
          <w:t>C. Ergebnis</w:t>
        </w:r>
        <w:r w:rsidR="007537A8">
          <w:rPr>
            <w:noProof/>
            <w:webHidden/>
          </w:rPr>
          <w:tab/>
        </w:r>
        <w:r w:rsidR="007537A8">
          <w:rPr>
            <w:noProof/>
            <w:webHidden/>
          </w:rPr>
          <w:fldChar w:fldCharType="begin"/>
        </w:r>
        <w:r w:rsidR="007537A8">
          <w:rPr>
            <w:noProof/>
            <w:webHidden/>
          </w:rPr>
          <w:instrText xml:space="preserve"> PAGEREF _Toc22133171 \h </w:instrText>
        </w:r>
        <w:r w:rsidR="007537A8">
          <w:rPr>
            <w:noProof/>
            <w:webHidden/>
          </w:rPr>
        </w:r>
        <w:r w:rsidR="007537A8">
          <w:rPr>
            <w:noProof/>
            <w:webHidden/>
          </w:rPr>
          <w:fldChar w:fldCharType="separate"/>
        </w:r>
        <w:r w:rsidR="007537A8">
          <w:rPr>
            <w:noProof/>
            <w:webHidden/>
          </w:rPr>
          <w:t>123</w:t>
        </w:r>
        <w:r w:rsidR="007537A8">
          <w:rPr>
            <w:noProof/>
            <w:webHidden/>
          </w:rPr>
          <w:fldChar w:fldCharType="end"/>
        </w:r>
      </w:hyperlink>
    </w:p>
    <w:p w14:paraId="6630F724" w14:textId="111B94C5" w:rsidR="0001383E" w:rsidRDefault="00CA43AE" w:rsidP="00261442">
      <w:pPr>
        <w:rPr>
          <w:rFonts w:ascii="Calibri" w:eastAsiaTheme="majorEastAsia" w:hAnsi="Calibri" w:cstheme="majorBidi"/>
          <w:sz w:val="26"/>
          <w:szCs w:val="26"/>
        </w:rPr>
      </w:pPr>
      <w:r>
        <w:rPr>
          <w:rFonts w:eastAsiaTheme="majorEastAsia"/>
        </w:rPr>
        <w:fldChar w:fldCharType="end"/>
      </w:r>
      <w:r w:rsidR="0001383E">
        <w:br w:type="page"/>
      </w:r>
    </w:p>
    <w:p w14:paraId="5305203B" w14:textId="22B072CD" w:rsidR="00C97686" w:rsidRPr="00F049D6" w:rsidRDefault="00C97686" w:rsidP="0001383E">
      <w:pPr>
        <w:pStyle w:val="berschrift3"/>
      </w:pPr>
      <w:bookmarkStart w:id="295" w:name="_Toc22133143"/>
      <w:bookmarkStart w:id="296" w:name="Fall8"/>
      <w:r w:rsidRPr="00F049D6">
        <w:t>Lösung</w:t>
      </w:r>
      <w:r w:rsidR="0001383E">
        <w:t>svorschlag</w:t>
      </w:r>
      <w:bookmarkEnd w:id="295"/>
    </w:p>
    <w:p w14:paraId="06B25F4A" w14:textId="77777777" w:rsidR="00C97686" w:rsidRPr="00FC741E" w:rsidRDefault="00C97686" w:rsidP="00C97686">
      <w:pPr>
        <w:pStyle w:val="Randnummer"/>
        <w:framePr w:h="737" w:wrap="around"/>
      </w:pPr>
    </w:p>
    <w:p w14:paraId="03FE43EC" w14:textId="77777777" w:rsidR="00C97686" w:rsidRPr="00FC741E" w:rsidRDefault="00C97686" w:rsidP="00C97686">
      <w:r w:rsidRPr="00FC741E">
        <w:t xml:space="preserve">Die Klage des Stadtverbands hat Aussicht auf Erfolg, soweit sie zulässig und begründet ist. </w:t>
      </w:r>
    </w:p>
    <w:p w14:paraId="4C806463" w14:textId="77777777" w:rsidR="00C97686" w:rsidRPr="00546A36" w:rsidRDefault="00C97686" w:rsidP="000434BF">
      <w:pPr>
        <w:pStyle w:val="berschrift4"/>
      </w:pPr>
      <w:bookmarkStart w:id="297" w:name="_Toc22133144"/>
      <w:r w:rsidRPr="00546A36">
        <w:t>A. Zulässigkeit</w:t>
      </w:r>
      <w:bookmarkEnd w:id="297"/>
    </w:p>
    <w:p w14:paraId="749817E2" w14:textId="77777777" w:rsidR="00C97686" w:rsidRPr="00FC741E" w:rsidRDefault="00C97686" w:rsidP="00C97686">
      <w:pPr>
        <w:pStyle w:val="Randnummer"/>
        <w:framePr w:h="737" w:wrap="around"/>
      </w:pPr>
    </w:p>
    <w:p w14:paraId="09D924DA" w14:textId="77777777" w:rsidR="00C97686" w:rsidRPr="00FC741E" w:rsidRDefault="00C97686" w:rsidP="00C97686">
      <w:r w:rsidRPr="00FC741E">
        <w:t xml:space="preserve">Die Klage ist zulässig, wenn alle Sachentscheidungsvoraussetzungen vorliegen. </w:t>
      </w:r>
    </w:p>
    <w:p w14:paraId="6A677A76" w14:textId="77777777" w:rsidR="00C97686" w:rsidRPr="00546A36" w:rsidRDefault="00C97686" w:rsidP="000434BF">
      <w:pPr>
        <w:pStyle w:val="berschrift5"/>
      </w:pPr>
      <w:bookmarkStart w:id="298" w:name="_Toc22133145"/>
      <w:r w:rsidRPr="00546A36">
        <w:t>I. Eröffnung des Verwaltungsrechtswegs</w:t>
      </w:r>
      <w:bookmarkEnd w:id="298"/>
    </w:p>
    <w:p w14:paraId="1ED1F4B5" w14:textId="77777777" w:rsidR="00C97686" w:rsidRPr="00FC741E" w:rsidRDefault="00C97686" w:rsidP="00C97686">
      <w:pPr>
        <w:pStyle w:val="Randnummer"/>
        <w:framePr w:h="737" w:wrap="around"/>
      </w:pPr>
    </w:p>
    <w:p w14:paraId="77A5968C" w14:textId="77777777" w:rsidR="00C97686" w:rsidRPr="00FC741E" w:rsidRDefault="00C97686" w:rsidP="00C97686">
      <w:r w:rsidRPr="00FC741E">
        <w:t xml:space="preserve">Zunächst müsste der Verwaltungsrechtsweg eröffnet sein. Mangels aufdrängender Sonderzuweisung eröffnet § 40 I </w:t>
      </w:r>
      <w:r>
        <w:t xml:space="preserve">1 </w:t>
      </w:r>
      <w:r w:rsidRPr="00FC741E">
        <w:t xml:space="preserve">VwGO den Verwaltungsrechtsweg für öffentlich-rechtliche Streitigkeiten nichtverfassungsrechtlicher Art, soweit keine abdrängende Zuweisung vorliegt. Ob eine öffentlich-rechtliche Streitigkeit vorliegt, bemisst sich nach den in Hinblick auf den Klageanspruch streitentscheidenden Normen. </w:t>
      </w:r>
    </w:p>
    <w:p w14:paraId="268D6E0D" w14:textId="0070E93C" w:rsidR="00C97686" w:rsidRPr="00FC741E" w:rsidRDefault="00C97686" w:rsidP="00C97686">
      <w:r w:rsidRPr="00FC741E">
        <w:t xml:space="preserve">Vorliegend betreibt W die Stadthalle </w:t>
      </w:r>
      <w:r>
        <w:t xml:space="preserve">selbst </w:t>
      </w:r>
      <w:r w:rsidRPr="00FC741E">
        <w:t xml:space="preserve">über </w:t>
      </w:r>
      <w:r>
        <w:t>ihren Eigenbetrieb S. Die Ausgestaltung der jeweiligen Benutzungsverhältnisse erfolgt durch Mietvertrag</w:t>
      </w:r>
      <w:r w:rsidR="00AA1753">
        <w:t>,</w:t>
      </w:r>
      <w:r w:rsidRPr="00FC741E">
        <w:t xml:space="preserve"> mithin in privatrechtlicher Form. Dies ist nach dem Grundsatz der Formwahlfreiheit der öffentlichen Verwaltung sowohl hinsichtlich der Organisationsform als auch hinsichtlich der Ausgestaltung der Benutzungsverhältnisse grundsätzlich zulässig. Die rechtlichen Beziehungen zwischen dem Stadtverband und S sind daher privatrechtlicher Natur (§§ 535 ff. BGB). Der Stadtverband verlangt die Überlassung der Stadthalle aber nicht von S, sondern von W. Als Anspruchsgrundlagen und somit streitentscheidende Normen für den Anspruch des Stadtverbands auf Einwirkung der W auf ihren Eigenbetrieb S (sog. öffentlich-rechtlicher Einwirkungs- oder Verschaffungsanspruch) kommen § 20 I, III HGO und § 5 I PartG i.V.m. Art. 3 I GG in Betracht. Diese Normen verpflichten ausschließlich Träger hoheitlicher Gewalt, die dem Bürger hoheitlich in einem Über- und Unterordnungsverhältnis gegenübertreten. Es handelt sich nach der modifizierten Subjektstheorie mithin um Normen des öffentlichen Rechts. </w:t>
      </w:r>
    </w:p>
    <w:p w14:paraId="1AC39F7F" w14:textId="77777777" w:rsidR="00C97686" w:rsidRPr="00FC741E" w:rsidRDefault="00C97686" w:rsidP="00C97686">
      <w:r w:rsidRPr="00FC741E">
        <w:t xml:space="preserve">Da der Kläger ein Stadtverband der N-Partei ist und Parteien Rechte direkt aus Art. 21 GG ableiten können, ist </w:t>
      </w:r>
      <w:r>
        <w:t>zu</w:t>
      </w:r>
      <w:r w:rsidRPr="00FC741E">
        <w:t xml:space="preserve"> überlegen, ob nicht eine Streitigkeit verfassungsrechtlicher Art vorliegt. Ein Verfassungsstreit wird angenommen bei doppelter Verfassungsunmittelbarkeit. Zwar sind Rechte der Parteien unmittelbar in der Verfassung geregelt, der Sache nach geht es jedoch weder um </w:t>
      </w:r>
      <w:r>
        <w:t>v</w:t>
      </w:r>
      <w:r w:rsidRPr="00FC741E">
        <w:t>erfassungs</w:t>
      </w:r>
      <w:r>
        <w:t>rechtlichen</w:t>
      </w:r>
      <w:r w:rsidRPr="00FC741E">
        <w:t xml:space="preserve"> Zulassungsanspruch, noch um einen Streit zwischen zwei unmittelbar am Verfassungsleben beteiligten Akteuren. Daher liegt eine öffentlich-rechtliche Streitigkeit nichtverfassungsrechtlicher Art vor.</w:t>
      </w:r>
    </w:p>
    <w:p w14:paraId="5DCA9C82" w14:textId="77777777" w:rsidR="00C97686" w:rsidRPr="00FC741E" w:rsidRDefault="00C97686" w:rsidP="00C97686">
      <w:r w:rsidRPr="00FC741E">
        <w:t>Das Ergebnis wird auch durch die sog. Zwei-Stufen-Theorie</w:t>
      </w:r>
      <w:r>
        <w:rPr>
          <w:rStyle w:val="Funotenzeichen"/>
        </w:rPr>
        <w:footnoteReference w:id="219"/>
      </w:r>
      <w:r w:rsidRPr="00FC741E">
        <w:t xml:space="preserve"> gestützt, die für die Zulassung zu öffentlichen Einrichtungen entwickelt wurde. Sie unterscheidet zwischen dem „</w:t>
      </w:r>
      <w:r>
        <w:t>O</w:t>
      </w:r>
      <w:r w:rsidRPr="00FC741E">
        <w:t>b“ der Zulassung, welches stets dem öffentlichen Recht zugeordnet ist und dem „</w:t>
      </w:r>
      <w:r>
        <w:t>W</w:t>
      </w:r>
      <w:r w:rsidRPr="00FC741E">
        <w:t xml:space="preserve">ie“ der Zulassung, das privatrechtlich oder öffentlich-rechtlich geregelt sein kann. Auf der ersten Stufe der Zulassung, um die es dem Stadtverband hier geht, ist mangels abdrängender Sonderzuweisung der Verwaltungsrechtsweg eröffnet. </w:t>
      </w:r>
    </w:p>
    <w:p w14:paraId="40E30B1B" w14:textId="77777777" w:rsidR="00C97686" w:rsidRPr="00546A36" w:rsidRDefault="00C97686" w:rsidP="000434BF">
      <w:pPr>
        <w:pStyle w:val="berschrift5"/>
      </w:pPr>
      <w:bookmarkStart w:id="299" w:name="_Toc22133146"/>
      <w:r w:rsidRPr="00546A36">
        <w:t>II. Statthaftigkeit</w:t>
      </w:r>
      <w:bookmarkEnd w:id="299"/>
    </w:p>
    <w:p w14:paraId="612DE984" w14:textId="77777777" w:rsidR="00C97686" w:rsidRPr="00FC741E" w:rsidRDefault="00C97686" w:rsidP="00C97686">
      <w:pPr>
        <w:pStyle w:val="Randnummer"/>
        <w:framePr w:h="737" w:wrap="around"/>
      </w:pPr>
    </w:p>
    <w:p w14:paraId="39645D92" w14:textId="77777777" w:rsidR="00C97686" w:rsidRPr="00FC741E" w:rsidRDefault="00C97686" w:rsidP="00C97686">
      <w:r w:rsidRPr="00FC741E">
        <w:t>Die statthafte Klageart richtet sich nach dem Begehr des Klägers, § 88 VwGO. Der Stadtverband der N-Partei möchte festgestellt haben, dass die Überlassungsverweigerung rechtswidrig war. Würde der Stadtverband die Zulassung begehren, läge ein Leistungsbegehren gerichtet auf den Erlass eines Verwaltungsaktes vor, welches mit der Verpflichtungsklage nach § 42 I Alt. 2 VwGO verfolgt werden könnte</w:t>
      </w:r>
      <w:r>
        <w:rPr>
          <w:rStyle w:val="Funotenzeichen"/>
        </w:rPr>
        <w:footnoteReference w:id="220"/>
      </w:r>
      <w:r w:rsidRPr="00FC741E">
        <w:t xml:space="preserve">. </w:t>
      </w:r>
    </w:p>
    <w:p w14:paraId="5A66841A" w14:textId="77777777" w:rsidR="00C97686" w:rsidRPr="00FC741E" w:rsidRDefault="00C97686" w:rsidP="00C97686">
      <w:r w:rsidRPr="00FC741E">
        <w:t>Das Klagebegehren hat sich jedoch mit Verstreichen des 13.1.2018 durch Zeitablauf erledigt, vgl. § 43 II HVwVfG.</w:t>
      </w:r>
      <w:r w:rsidRPr="00FC741E">
        <w:rPr>
          <w:vertAlign w:val="superscript"/>
        </w:rPr>
        <w:footnoteReference w:id="221"/>
      </w:r>
      <w:r w:rsidRPr="00FC741E">
        <w:t xml:space="preserve"> Zu denken wäre daher an eine Fortsetzungsfeststellungsklage. Zwar hat sich die Angelegenheit nach Klageerhebung erledigt. Der Wortlaut des § 113 I 4 VwGO bezieht sich aber nur auf die Anfechtungssituation. Da eine gesonderte Regelung für die Verpflichtungssituation fehlt, liegt eine Regelungslücke vor. Eine vergleichbare Interessenlage ist vor dem Hintergrund des Art. 19 IV GG ebenfalls zu bejahen, sodass § 113 I 4 VwGO analog anzuwenden ist. Daher ist die Fortsetzungsfeststellungsklage die richtige Klageart. Der Vorsitzende wird nach § 86 III VwGO auf die Umstellung des Klageantrags hinwirken. </w:t>
      </w:r>
    </w:p>
    <w:p w14:paraId="29E6C006" w14:textId="77777777" w:rsidR="00C97686" w:rsidRPr="00546A36" w:rsidRDefault="00C97686" w:rsidP="000434BF">
      <w:pPr>
        <w:pStyle w:val="berschrift5"/>
      </w:pPr>
      <w:bookmarkStart w:id="300" w:name="_Toc22133147"/>
      <w:r w:rsidRPr="00546A36">
        <w:t>III. Klagebefugnis</w:t>
      </w:r>
      <w:bookmarkEnd w:id="300"/>
    </w:p>
    <w:p w14:paraId="14617335" w14:textId="77777777" w:rsidR="00C97686" w:rsidRPr="00FC741E" w:rsidRDefault="00C97686" w:rsidP="00C97686">
      <w:pPr>
        <w:pStyle w:val="Randnummer"/>
        <w:framePr w:h="737" w:wrap="around"/>
      </w:pPr>
    </w:p>
    <w:p w14:paraId="798D879A" w14:textId="77777777" w:rsidR="00C97686" w:rsidRPr="00FC741E" w:rsidRDefault="00C97686" w:rsidP="00C97686">
      <w:r w:rsidRPr="00FC741E">
        <w:t>Der Stadtverband müsste klagebefugt sein.</w:t>
      </w:r>
      <w:r>
        <w:rPr>
          <w:rStyle w:val="Funotenzeichen"/>
        </w:rPr>
        <w:footnoteReference w:id="222"/>
      </w:r>
      <w:r w:rsidRPr="00FC741E">
        <w:t xml:space="preserve"> Es ist umstritten, ob § 42 II VwGO direkt oder analog anzuwenden ist. Stellt man darauf ab, dass die Fortsetzungsfeststellungsklage eine fortgesetzte Anfechtungsklage oder Verpflichtungsklage ist, dann ist die Norm direkt anzuwenden. Betont man umgekehrt den Charakter der Fortsetzungsfeststellungsklage als Feststellungsklage, dann ist die Norm analog anzuwenden. Angesichts des Tenors in § 113 I 4 VwGO spricht viel dafür, von einer Feststellungsklage auszugehen. § 42 II VwGO ist daher analog anzuwenden. Es darf also nicht von vorherein nach jeder Betrachtungsweise ausgeschlossen sein, dass dem Stadtverband ein Anspruch auf Zulassung zustand. Ein solcher Zulassungsanspruch kann sich grundsätzlich aus § 20 I, III HGO und § 5 I PartG i.V.m. Art. 3 I GG ergeben, sodass der Stadtverband klagebefugt ist.</w:t>
      </w:r>
    </w:p>
    <w:p w14:paraId="4598067F" w14:textId="77777777" w:rsidR="00C97686" w:rsidRPr="00546A36" w:rsidRDefault="00C97686" w:rsidP="000434BF">
      <w:pPr>
        <w:pStyle w:val="berschrift5"/>
      </w:pPr>
      <w:bookmarkStart w:id="301" w:name="_Toc22133148"/>
      <w:r w:rsidRPr="00546A36">
        <w:t>IV. Fortsetzungsfeststellungsinteresse</w:t>
      </w:r>
      <w:bookmarkEnd w:id="301"/>
    </w:p>
    <w:p w14:paraId="743E112C" w14:textId="77777777" w:rsidR="00C97686" w:rsidRPr="00FC741E" w:rsidRDefault="00C97686" w:rsidP="00C97686">
      <w:r w:rsidRPr="00FC741E">
        <w:t xml:space="preserve">Nach § 113 I 4 VwGO analog muss der Kläger ein berechtigtes Interesse an der Feststellung der Rechtswidrigkeit des Verwaltungsakts haben (sog. Fortsetzungsfeststellungsinteresse). Es genügt jedes nach vernünftigen Erwägungen schutzwürdige Interesse rechtlicher, wirtschaftlicher oder ideeller Art. Ein Fortsetzungsfeststellungsinteresse wird regelmäßig in folgenden Fallgruppen bejaht: konkrete Wiederholungsgefahr, Rehabilitationsinteresse, präjudizielle Wirkung, tiefgreifende oder sich typischerweise kurzfristig erledigende Grundrechtseingriffe. </w:t>
      </w:r>
    </w:p>
    <w:p w14:paraId="0C25B96D" w14:textId="6576FD80" w:rsidR="00C97686" w:rsidRPr="00FC741E" w:rsidRDefault="00C97686" w:rsidP="00C97686">
      <w:r w:rsidRPr="00FC741E">
        <w:t>Ein Feststellungsinteresse könnte sich hier unter dem Gesichtspunkt der Wiederholungsgefahr und des Rehabilitationsinteresses ergeben. Ein solch ideelles Interesse wird u.a. angenommen, wenn die Ablehnung des Verwaltungsaktes „bei objektiver und vernünftiger Betrachtungsweise“ diskriminierende Wirkung hatte, welche noch andauert, und der durch eine gerichtliche Feststellung der Rechtswidrigkeit wirksam begegnet werden kann.</w:t>
      </w:r>
      <w:r w:rsidRPr="00FC741E">
        <w:rPr>
          <w:vertAlign w:val="superscript"/>
        </w:rPr>
        <w:footnoteReference w:id="223"/>
      </w:r>
      <w:r w:rsidRPr="00FC741E">
        <w:t xml:space="preserve"> Der Stadtverband ist durch die öffentliche Verweigerung der Zulassung bloßgestellt und als „verfassungswidrig“ gebrandmarkt worden. Dies hat </w:t>
      </w:r>
      <w:r w:rsidR="00AA1753">
        <w:t>anhaltenden</w:t>
      </w:r>
      <w:r w:rsidRPr="00FC741E">
        <w:t xml:space="preserve"> Einfluss auf die öffentliche Meinung von N und kann insbesondere das Wählerverhalten beeinflussen. Daher liegt ein Rehabilitationsinteresse vor.</w:t>
      </w:r>
    </w:p>
    <w:p w14:paraId="1E474891" w14:textId="0867FF0A" w:rsidR="00C97686" w:rsidRPr="00FC741E" w:rsidRDefault="00C97686" w:rsidP="00C97686">
      <w:r w:rsidRPr="00FC741E">
        <w:t xml:space="preserve">Auch liegt es nahe, dass der Stadtverband die Stadthalle von W-Stadt in Zukunft für weitere parteipolitische Veranstaltungen nutzen möchte. Da S die Überlassung an die N-Partei </w:t>
      </w:r>
      <w:r w:rsidR="00A8236D">
        <w:t>u</w:t>
      </w:r>
      <w:r>
        <w:t xml:space="preserve">nd ihre Gruppierungen </w:t>
      </w:r>
      <w:r w:rsidRPr="00FC741E">
        <w:t>pauschal ablehnt, ist auch die hinreichend bestimmte Gefahr gegeben, dass unter im Wesentlichen unveränderten tatsächlichen und rechtlichen Umstände</w:t>
      </w:r>
      <w:r>
        <w:t>n</w:t>
      </w:r>
      <w:r w:rsidRPr="00FC741E">
        <w:t xml:space="preserve"> ein gleichartiger Verwaltungsakt ergehen wird. Es kann also auch eine konkrete Wiederholungsgefahr angenommen werden.</w:t>
      </w:r>
    </w:p>
    <w:p w14:paraId="2FB79E78" w14:textId="77777777" w:rsidR="00C97686" w:rsidRPr="00FC741E" w:rsidRDefault="00C97686" w:rsidP="00C97686">
      <w:r w:rsidRPr="00FC741E">
        <w:t>Daher ist ein Feststellungsinteresse unter beiden Gesichtspunkten zu bejahen.</w:t>
      </w:r>
    </w:p>
    <w:p w14:paraId="3247397C" w14:textId="77777777" w:rsidR="00C97686" w:rsidRPr="00546A36" w:rsidRDefault="00C97686" w:rsidP="000434BF">
      <w:pPr>
        <w:pStyle w:val="berschrift5"/>
      </w:pPr>
      <w:bookmarkStart w:id="302" w:name="_Toc22133149"/>
      <w:r w:rsidRPr="00546A36">
        <w:t>V. Vorverfahren</w:t>
      </w:r>
      <w:bookmarkEnd w:id="302"/>
    </w:p>
    <w:p w14:paraId="7175265B" w14:textId="77777777" w:rsidR="00C97686" w:rsidRPr="00FC741E" w:rsidRDefault="00C97686" w:rsidP="00C97686">
      <w:pPr>
        <w:pStyle w:val="Randnummer"/>
        <w:framePr w:h="737" w:wrap="around"/>
      </w:pPr>
    </w:p>
    <w:p w14:paraId="364D68DF" w14:textId="77777777" w:rsidR="00C97686" w:rsidRPr="00FC741E" w:rsidRDefault="00C97686" w:rsidP="00C97686">
      <w:r w:rsidRPr="00FC741E">
        <w:t>Erledigt sich das Klagebegehren nach Erhebung einer Verpflichtungsklage und wird der Klageantrag auf eine Fortsetzungsfeststellungsklage umgestellt, so muss die Verpflichtungsklage zum Zeitpunkt ihrer Erhebung zulässig gewesen sein. Andernfalls würde</w:t>
      </w:r>
      <w:r>
        <w:t>n</w:t>
      </w:r>
      <w:r w:rsidRPr="00FC741E">
        <w:t xml:space="preserve"> deren Zulässigkeitsvoraussetzungen umgangen. Das nach § 68 II VwGO erforderliche Vorverfahren wurde vor Erhebung der Verpflichtungsklage durchgeführt, sodass diese Voraussetzung erfüllt ist.</w:t>
      </w:r>
    </w:p>
    <w:p w14:paraId="52BCF792" w14:textId="77777777" w:rsidR="00C97686" w:rsidRPr="00546A36" w:rsidRDefault="00C97686" w:rsidP="000434BF">
      <w:pPr>
        <w:pStyle w:val="berschrift5"/>
      </w:pPr>
      <w:bookmarkStart w:id="303" w:name="_Toc22133150"/>
      <w:r w:rsidRPr="00546A36">
        <w:t>VI. Form und Klagefrist</w:t>
      </w:r>
      <w:bookmarkEnd w:id="303"/>
    </w:p>
    <w:p w14:paraId="36727D99" w14:textId="77777777" w:rsidR="00C97686" w:rsidRPr="00FC741E" w:rsidRDefault="00C97686" w:rsidP="00C97686">
      <w:pPr>
        <w:pStyle w:val="Randnummer"/>
        <w:framePr w:h="737" w:wrap="around"/>
      </w:pPr>
    </w:p>
    <w:p w14:paraId="61491D16" w14:textId="77777777" w:rsidR="00C97686" w:rsidRPr="00FC741E" w:rsidRDefault="00C97686" w:rsidP="00C97686">
      <w:r w:rsidRPr="00FC741E">
        <w:t>In gleicher Weise dürfte die Verpflichtungsklage nicht verfristet gewesen sein. Dem Sachverhalt sind keine Anhaltspunkte zu entnehmen, dass die Klagefrist des § 74 I 2 VwGO nicht eingehalten worden wäre. Ebenso ist davon auszugehen, dass die Form des § 82 VwGO gewahrt wurde.</w:t>
      </w:r>
    </w:p>
    <w:p w14:paraId="4CEDD246" w14:textId="77777777" w:rsidR="00C97686" w:rsidRPr="00546A36" w:rsidRDefault="00C97686" w:rsidP="000434BF">
      <w:pPr>
        <w:pStyle w:val="berschrift5"/>
      </w:pPr>
      <w:bookmarkStart w:id="304" w:name="_Toc22133151"/>
      <w:r w:rsidRPr="00546A36">
        <w:t>VII. Klagegegner</w:t>
      </w:r>
      <w:bookmarkEnd w:id="304"/>
    </w:p>
    <w:p w14:paraId="5AA895E1" w14:textId="77777777" w:rsidR="00C97686" w:rsidRPr="00FC741E" w:rsidRDefault="00C97686" w:rsidP="00C97686">
      <w:pPr>
        <w:pStyle w:val="Randnummer"/>
        <w:framePr w:h="737" w:wrap="around"/>
      </w:pPr>
    </w:p>
    <w:p w14:paraId="108AB966" w14:textId="77777777" w:rsidR="00C97686" w:rsidRDefault="00C97686" w:rsidP="00C97686">
      <w:r w:rsidRPr="00FC741E">
        <w:t xml:space="preserve">Die Fortsetzungsfeststellungsklage ist nach § 78 I Nr. 1 VwGO analog gegen den Rechtsträger der handelnden Behörde zu richten. Die Ansprüche aus § 20 I, III HGO und § 5 I PartG i.V.m. Art. 3 I GG richten sich allein gegen die Stadt W, sodass diese </w:t>
      </w:r>
      <w:r>
        <w:t xml:space="preserve">richtiger </w:t>
      </w:r>
      <w:r w:rsidRPr="00FC741E">
        <w:t>Klagegegner ist.</w:t>
      </w:r>
    </w:p>
    <w:p w14:paraId="34F73DAB" w14:textId="63499100" w:rsidR="00C97686" w:rsidRPr="00546A36" w:rsidRDefault="00C97686" w:rsidP="000434BF">
      <w:pPr>
        <w:pStyle w:val="berschrift5"/>
      </w:pPr>
      <w:bookmarkStart w:id="305" w:name="_Toc22133152"/>
      <w:r w:rsidRPr="00546A36">
        <w:t>VI</w:t>
      </w:r>
      <w:r w:rsidR="00FD0B98">
        <w:t>I</w:t>
      </w:r>
      <w:r w:rsidRPr="00546A36">
        <w:t>I. Beteiligten- und Prozessfähigkeit</w:t>
      </w:r>
      <w:bookmarkEnd w:id="305"/>
    </w:p>
    <w:p w14:paraId="0C05AB21" w14:textId="77777777" w:rsidR="00C97686" w:rsidRPr="00FC741E" w:rsidRDefault="00C97686" w:rsidP="00C97686">
      <w:pPr>
        <w:pStyle w:val="Randnummer"/>
        <w:framePr w:h="737" w:wrap="around"/>
      </w:pPr>
    </w:p>
    <w:p w14:paraId="5082DAF1" w14:textId="77777777" w:rsidR="00C97686" w:rsidRPr="00FC741E" w:rsidRDefault="00C97686" w:rsidP="00C97686">
      <w:r w:rsidRPr="00FC741E">
        <w:t>Der Stadtverband ist als juristische Person des Privatrechts nach § 61 Nr. 1 Alt. 2 VwGO, § 22 BGB beteiligtenfähig und nach § 62 III VwGO, § 26 I 2 BGB</w:t>
      </w:r>
      <w:r>
        <w:t>,</w:t>
      </w:r>
      <w:r w:rsidRPr="00FC741E">
        <w:t xml:space="preserve"> vertreten durch den Vorsitzenden V</w:t>
      </w:r>
      <w:r>
        <w:t>,</w:t>
      </w:r>
      <w:r w:rsidRPr="00FC741E">
        <w:t xml:space="preserve"> prozessfähig. </w:t>
      </w:r>
    </w:p>
    <w:p w14:paraId="4716341B" w14:textId="77777777" w:rsidR="00C97686" w:rsidRPr="00FC741E" w:rsidRDefault="00C97686" w:rsidP="00C97686">
      <w:r>
        <w:t xml:space="preserve">Die </w:t>
      </w:r>
      <w:r w:rsidRPr="00FC741E">
        <w:t>W-Stadt ist nach §§ 61 Nr. 1 Alt. 2, 62 III VwGO, § 71 I 1 HGO, vertreten durch den Gemeindevorstand</w:t>
      </w:r>
      <w:r>
        <w:t>,</w:t>
      </w:r>
      <w:r w:rsidRPr="00FC741E">
        <w:t xml:space="preserve"> beteiligten- und prozessfähig.</w:t>
      </w:r>
    </w:p>
    <w:p w14:paraId="39D9C082" w14:textId="77777777" w:rsidR="00C97686" w:rsidRPr="00546A36" w:rsidRDefault="00C97686" w:rsidP="000434BF">
      <w:pPr>
        <w:pStyle w:val="berschrift5"/>
      </w:pPr>
      <w:bookmarkStart w:id="306" w:name="_Toc22133153"/>
      <w:r w:rsidRPr="00546A36">
        <w:t>IX. Zwischenergebnis</w:t>
      </w:r>
      <w:bookmarkEnd w:id="306"/>
    </w:p>
    <w:p w14:paraId="71BB06C0" w14:textId="77777777" w:rsidR="00C97686" w:rsidRPr="00FC741E" w:rsidRDefault="00C97686" w:rsidP="00C97686">
      <w:pPr>
        <w:pStyle w:val="Randnummer"/>
        <w:framePr w:h="737" w:wrap="around"/>
      </w:pPr>
    </w:p>
    <w:p w14:paraId="2EFEF78D" w14:textId="77777777" w:rsidR="00C97686" w:rsidRPr="00FC741E" w:rsidRDefault="00C97686" w:rsidP="00C97686">
      <w:r w:rsidRPr="00FC741E">
        <w:t xml:space="preserve">Mithin ist die Fortsetzungsfeststellungsklage zulässig. </w:t>
      </w:r>
    </w:p>
    <w:p w14:paraId="066BA32F" w14:textId="77777777" w:rsidR="00C97686" w:rsidRPr="00FC741E" w:rsidRDefault="00C97686" w:rsidP="00C97686"/>
    <w:p w14:paraId="6A5FF612" w14:textId="77777777" w:rsidR="00C97686" w:rsidRPr="00546A36" w:rsidRDefault="00C97686" w:rsidP="000434BF">
      <w:pPr>
        <w:pStyle w:val="berschrift4"/>
      </w:pPr>
      <w:bookmarkStart w:id="307" w:name="_Toc22133154"/>
      <w:r w:rsidRPr="00546A36">
        <w:t>B. Begründetheit</w:t>
      </w:r>
      <w:bookmarkEnd w:id="307"/>
    </w:p>
    <w:p w14:paraId="7E7012FC" w14:textId="77777777" w:rsidR="00C97686" w:rsidRPr="00FC741E" w:rsidRDefault="00C97686" w:rsidP="00C97686">
      <w:pPr>
        <w:pStyle w:val="Randnummer"/>
        <w:framePr w:h="737" w:wrap="around"/>
      </w:pPr>
    </w:p>
    <w:p w14:paraId="2C9556D1" w14:textId="77777777" w:rsidR="00C97686" w:rsidRPr="00FC741E" w:rsidRDefault="00C97686" w:rsidP="00C97686">
      <w:r w:rsidRPr="00FC741E">
        <w:t xml:space="preserve">Die Klage ist gem. § 113 I 4 VwGO i.V.m. § 113 V 1 VwGO analog begründet, soweit die Ablehnung der Zulassung rechtswidrig war und der Stadtverband dadurch in eigenen Rechten verletzt wurde, ihm also der geltend gemachte öffentlich-rechtliche Einwirkungs- und Verschaffungsanpruch zugestanden hätte. </w:t>
      </w:r>
    </w:p>
    <w:p w14:paraId="783060C5" w14:textId="77777777" w:rsidR="00C97686" w:rsidRPr="00546A36" w:rsidRDefault="00C97686" w:rsidP="000434BF">
      <w:pPr>
        <w:pStyle w:val="berschrift5"/>
      </w:pPr>
      <w:bookmarkStart w:id="308" w:name="_Toc22133155"/>
      <w:r w:rsidRPr="00546A36">
        <w:t>I. Anspruch des Stadtverbands gegen W auf Verschaffung der Stadthalle durch Einwirkung auf S gem. § 20 I, III HGO</w:t>
      </w:r>
      <w:bookmarkEnd w:id="308"/>
    </w:p>
    <w:p w14:paraId="72FD6564" w14:textId="77777777" w:rsidR="00C97686" w:rsidRPr="00FC741E" w:rsidRDefault="00C97686" w:rsidP="00C97686">
      <w:pPr>
        <w:pStyle w:val="Randnummer"/>
        <w:framePr w:h="737" w:wrap="around"/>
      </w:pPr>
    </w:p>
    <w:p w14:paraId="7E27A908" w14:textId="77777777" w:rsidR="00C97686" w:rsidRPr="00FC741E" w:rsidRDefault="00C97686" w:rsidP="00C97686">
      <w:r w:rsidRPr="00FC741E">
        <w:t xml:space="preserve">Ein solcher Anspruch könnte sich zunächst aus § 20 I, III HGO ergeben. Teilweise wird bestritten, dass sich der Zulassungsanspruch einer Partei zu kommunalen öffentlichen Einrichtungen neben dem parteienrechtlichen Anspruch aus dem Kommunalrecht ergeben könne, da das Bundesrecht Vorrang genieße. Dies wird abgelehnt, da § 5 I PartG keine originären Leistungsansprüche, sondern nur einen Gleichbehandlungsanspruch vermittle. Weiter ist die Schaffung und Unterhaltung öffentlicher Einrichtungen freiwillig und in der kommunalen Selbstverwaltungsgarantie des Art. 28 I 2 GG ebenfalls grundgesetzlich verankert, sodass auch der parteienrechtliche Zulassungsanspruch durch die Widmung der Einrichtung beschränkt werden könne. Außerdem würde ein Vorrang des Bundesrechts zu einer Verdrängung der sog. Einwohnerklausel führen. Unterschiede ergeben sich v.a. </w:t>
      </w:r>
      <w:r>
        <w:t>bei</w:t>
      </w:r>
      <w:r w:rsidRPr="00FC741E">
        <w:t xml:space="preserve"> Veranstaltung</w:t>
      </w:r>
      <w:r>
        <w:t>en</w:t>
      </w:r>
      <w:r w:rsidRPr="00FC741E">
        <w:t xml:space="preserve"> mit überörtlichem Bezug.</w:t>
      </w:r>
      <w:r w:rsidRPr="00FC741E">
        <w:rPr>
          <w:vertAlign w:val="superscript"/>
        </w:rPr>
        <w:footnoteReference w:id="224"/>
      </w:r>
      <w:r w:rsidRPr="00FC741E">
        <w:t xml:space="preserve"> Da eine solche Konstellation nicht vorliegt und beide Ansprüche inhaltsgleich sind, ist ein Streitentscheid entbehrlich. Es werden daher beide Ansprüche nebeneinander geprüft.</w:t>
      </w:r>
    </w:p>
    <w:p w14:paraId="528C93E9" w14:textId="77777777" w:rsidR="00C97686" w:rsidRPr="00FC741E" w:rsidRDefault="00C97686" w:rsidP="00C97686">
      <w:r w:rsidRPr="00FC741E">
        <w:t xml:space="preserve">Dazu müssten die Anspruchsvoraussetzungen erfüllt sein und es dürften keine Versagensgründe vorliegen. </w:t>
      </w:r>
    </w:p>
    <w:p w14:paraId="76134328" w14:textId="77777777" w:rsidR="00C97686" w:rsidRPr="00546A36" w:rsidRDefault="00C97686" w:rsidP="000434BF">
      <w:pPr>
        <w:pStyle w:val="berschrift6"/>
      </w:pPr>
      <w:bookmarkStart w:id="309" w:name="_Toc22133156"/>
      <w:r w:rsidRPr="00546A36">
        <w:t>1. Anspruchsvoraussetzungen</w:t>
      </w:r>
      <w:bookmarkEnd w:id="309"/>
    </w:p>
    <w:p w14:paraId="5C045CDA" w14:textId="77777777" w:rsidR="00C97686" w:rsidRPr="00FC741E" w:rsidRDefault="00C97686" w:rsidP="00C97686">
      <w:pPr>
        <w:pStyle w:val="Randnummer"/>
        <w:framePr w:h="737" w:wrap="around"/>
      </w:pPr>
    </w:p>
    <w:p w14:paraId="2E6AF2D6" w14:textId="77777777" w:rsidR="00C97686" w:rsidRPr="00FC741E" w:rsidRDefault="00C97686" w:rsidP="00C97686">
      <w:r w:rsidRPr="00FC741E">
        <w:t>Der Anspruch aus § 20 I, III HGO setzt voraus, dass es sich bei der Stadthalle um eine öffentliche Einrichtung der Gemeinde handelt, der Stadtverband Einwohner von W oder eine dort ansässige juristische Person ist und sich die angestrebte Nutzung „im Rahmen der bestehenden Vorschriften“ bewegt.</w:t>
      </w:r>
    </w:p>
    <w:p w14:paraId="57F2B4D6" w14:textId="77777777" w:rsidR="00C97686" w:rsidRPr="00546A36" w:rsidRDefault="00C97686" w:rsidP="000434BF">
      <w:pPr>
        <w:pStyle w:val="berschrift7"/>
      </w:pPr>
      <w:bookmarkStart w:id="310" w:name="_Toc22133157"/>
      <w:r w:rsidRPr="00546A36">
        <w:t>a) Öffentliche Einrichtung</w:t>
      </w:r>
      <w:bookmarkEnd w:id="310"/>
      <w:r w:rsidRPr="00546A36">
        <w:t xml:space="preserve"> </w:t>
      </w:r>
    </w:p>
    <w:p w14:paraId="15105F52" w14:textId="77777777" w:rsidR="00C97686" w:rsidRPr="00FC741E" w:rsidRDefault="00C97686" w:rsidP="00C97686">
      <w:pPr>
        <w:pStyle w:val="Randnummer"/>
        <w:framePr w:h="737" w:wrap="around"/>
      </w:pPr>
    </w:p>
    <w:p w14:paraId="30257DA5" w14:textId="77777777" w:rsidR="00C97686" w:rsidRPr="00FC741E" w:rsidRDefault="00C97686" w:rsidP="00C97686">
      <w:r w:rsidRPr="00FC741E">
        <w:t>Zunächst müsste es sich bei dem Kulturzentrum um eine öffentliche Einrichtung handeln. Eine öffentliche Einrichtung ist jede Einrichtung, d. h. Zusammenfassung von Sachen oder Personen, die von der Gemeinde im Rahmen ihres gesetzlich umschriebenen Wirkungskreises geschaffen und unterhalten wird und die kraft Widmungsakt (sei es durch Satzung, Beschluss oder konkludent) der allgemeinen Benutzung zumindest durch Ortsansässige nach allgemeinen und gleichen Regeln zugänglich gemacht worden ist.</w:t>
      </w:r>
      <w:r w:rsidRPr="00FC741E">
        <w:rPr>
          <w:vertAlign w:val="superscript"/>
        </w:rPr>
        <w:footnoteReference w:id="225"/>
      </w:r>
      <w:r w:rsidRPr="00FC741E">
        <w:t xml:space="preserve"> </w:t>
      </w:r>
    </w:p>
    <w:p w14:paraId="2951E6E7" w14:textId="77777777" w:rsidR="00C97686" w:rsidRPr="00FC741E" w:rsidRDefault="00C97686" w:rsidP="00C97686">
      <w:r w:rsidRPr="00FC741E">
        <w:t>Die Stadthalle wird nicht durch W direkt, sondern durch den Eigenbetrieb der Stadt W „Stadthallen W-Stadt" S betrieben. Der Gemeinde kommt ein Wahlrecht hinsichtlich ihrer Handlungsform und Ausgestaltung der Benutzungsverhältnisse zu. Jedoch kann es sich um eine öffentliche Einrichtung handeln, soweit W auf die Organisation und den Betrieb der S tatsächlich Einfluss nehmen kann. Die Ausübung dieses Einflusses korreliert mit de</w:t>
      </w:r>
      <w:r>
        <w:t>m</w:t>
      </w:r>
      <w:r w:rsidRPr="00FC741E">
        <w:t xml:space="preserve"> Einwirkungs- und Verschaffungsanspruch gegen die Gemeinde.</w:t>
      </w:r>
      <w:r w:rsidRPr="00FC741E">
        <w:rPr>
          <w:vertAlign w:val="superscript"/>
        </w:rPr>
        <w:footnoteReference w:id="226"/>
      </w:r>
      <w:r w:rsidRPr="00FC741E">
        <w:t xml:space="preserve"> Dadurch wird der Gemeinde verwehrt, sich ihre</w:t>
      </w:r>
      <w:r>
        <w:t>r</w:t>
      </w:r>
      <w:r w:rsidRPr="00FC741E">
        <w:t xml:space="preserve"> öffentlich-rechtlichen Bindungen durch eine „Flucht ins Privatrecht“ zu ent</w:t>
      </w:r>
      <w:r>
        <w:t>ledigen</w:t>
      </w:r>
      <w:r w:rsidRPr="00FC741E">
        <w:t xml:space="preserve">. Der Einfluss ergibt sich hier daraus, dass </w:t>
      </w:r>
      <w:r>
        <w:t>S einen Eigenbetrieb der W darstellt. Bei einem Eigenbetrieb handelt es sich um ein gegenüber der Gemeinde partiell verselbstständigtes Unternehmen, eine Art nicht rechtsfähige öffentlich-rechtliche Anstalt. Er wird zwar eigenständig geführt, ist aber an die Gemeindeleitung rückgekoppelt.</w:t>
      </w:r>
      <w:r>
        <w:rPr>
          <w:rStyle w:val="Funotenzeichen"/>
        </w:rPr>
        <w:footnoteReference w:id="227"/>
      </w:r>
      <w:r>
        <w:t xml:space="preserve"> </w:t>
      </w:r>
      <w:r w:rsidRPr="00FC741E">
        <w:t>Daher wird die Stadthalle unter maßgebendem Einfluss von W betrieben. Sie ist nach der Satzung auch der öffentlichen Benutzung gewidmet, sodass es sich um eine öffentliche Einrichtung handelt.</w:t>
      </w:r>
    </w:p>
    <w:p w14:paraId="4613FC17" w14:textId="77777777" w:rsidR="00C97686" w:rsidRPr="00546A36" w:rsidRDefault="00C97686" w:rsidP="000434BF">
      <w:pPr>
        <w:pStyle w:val="berschrift7"/>
      </w:pPr>
      <w:bookmarkStart w:id="311" w:name="_Toc22133158"/>
      <w:r w:rsidRPr="00546A36">
        <w:t>b) Einwohner bzw. im Ort ansässige juristische Person</w:t>
      </w:r>
      <w:bookmarkEnd w:id="311"/>
    </w:p>
    <w:p w14:paraId="07BAE5D6" w14:textId="77777777" w:rsidR="00C97686" w:rsidRPr="00FC741E" w:rsidRDefault="00C97686" w:rsidP="00C97686">
      <w:pPr>
        <w:pStyle w:val="Randnummer"/>
        <w:framePr w:h="737" w:wrap="around"/>
      </w:pPr>
    </w:p>
    <w:p w14:paraId="280FF04D" w14:textId="77777777" w:rsidR="00C97686" w:rsidRPr="00FC741E" w:rsidRDefault="00C97686" w:rsidP="00C97686">
      <w:r w:rsidRPr="00FC741E">
        <w:t>Nach § 20 I, III HGO sind juristische Personen anspruchsberechtigt, wenn sie in der Gemeinde ihren Sitz, eine Niederlassung oder eine vergleichbare örtliche Verwurzelung haben. Dies wird idealtypisch für Ortsverbände von Parteien angenommen.</w:t>
      </w:r>
      <w:r w:rsidRPr="00FC741E">
        <w:rPr>
          <w:vertAlign w:val="superscript"/>
        </w:rPr>
        <w:footnoteReference w:id="228"/>
      </w:r>
      <w:r w:rsidRPr="00FC741E">
        <w:t xml:space="preserve"> Der Stadtverband W-Stadt der N-Partei ist räumlich </w:t>
      </w:r>
      <w:r>
        <w:t>der</w:t>
      </w:r>
      <w:r w:rsidRPr="00FC741E">
        <w:t xml:space="preserve"> W-Stadt besonders ver</w:t>
      </w:r>
      <w:r>
        <w:t>bunden</w:t>
      </w:r>
      <w:r w:rsidRPr="00FC741E">
        <w:t>, sodass die Ortsansässigkeit zu bejahen ist.</w:t>
      </w:r>
    </w:p>
    <w:p w14:paraId="06827E3C" w14:textId="77777777" w:rsidR="00C97686" w:rsidRPr="00546A36" w:rsidRDefault="00C97686" w:rsidP="000434BF">
      <w:pPr>
        <w:pStyle w:val="berschrift7"/>
      </w:pPr>
      <w:bookmarkStart w:id="312" w:name="_Toc22133159"/>
      <w:r w:rsidRPr="00546A36">
        <w:t>c) Nutzung im Rahmen der bestehenden Vorschriften</w:t>
      </w:r>
      <w:bookmarkEnd w:id="312"/>
      <w:r w:rsidRPr="00546A36">
        <w:t xml:space="preserve"> </w:t>
      </w:r>
    </w:p>
    <w:p w14:paraId="5731897B" w14:textId="77777777" w:rsidR="00C97686" w:rsidRPr="00FC741E" w:rsidRDefault="00C97686" w:rsidP="00C97686">
      <w:pPr>
        <w:pStyle w:val="Randnummer"/>
        <w:framePr w:h="737" w:wrap="around"/>
      </w:pPr>
    </w:p>
    <w:p w14:paraId="22740AAD" w14:textId="7D09D57E" w:rsidR="00C97686" w:rsidRDefault="00C97686" w:rsidP="00C97686">
      <w:r w:rsidRPr="00FC741E">
        <w:t>Nach § 20 I HGO müsste sich die Nutzung „im Rahmen der bestehenden Vorschriften“ halten.</w:t>
      </w:r>
      <w:r w:rsidR="000D731E">
        <w:rPr>
          <w:rStyle w:val="Funotenzeichen"/>
        </w:rPr>
        <w:footnoteReference w:id="229"/>
      </w:r>
    </w:p>
    <w:p w14:paraId="2D019E9C" w14:textId="77777777" w:rsidR="00772351" w:rsidRDefault="00772351" w:rsidP="00C97686"/>
    <w:p w14:paraId="1469A5DE" w14:textId="77777777" w:rsidR="00772351" w:rsidRDefault="00772351" w:rsidP="009A1364"/>
    <w:p w14:paraId="58CA6444" w14:textId="77777777" w:rsidR="00C97686" w:rsidRPr="00546A36" w:rsidRDefault="00C97686" w:rsidP="000434BF">
      <w:pPr>
        <w:pStyle w:val="berschrift8"/>
      </w:pPr>
      <w:bookmarkStart w:id="313" w:name="_Toc22133160"/>
      <w:r w:rsidRPr="00546A36">
        <w:t>aa) Nutzung im Rahmen des Widmungszwecks der Stadthalle</w:t>
      </w:r>
      <w:bookmarkEnd w:id="313"/>
      <w:r w:rsidRPr="00546A36">
        <w:t xml:space="preserve"> </w:t>
      </w:r>
    </w:p>
    <w:p w14:paraId="6775613D" w14:textId="77777777" w:rsidR="00C97686" w:rsidRPr="00FC741E" w:rsidRDefault="00C97686" w:rsidP="00C97686">
      <w:pPr>
        <w:pStyle w:val="Randnummer"/>
        <w:framePr w:h="737" w:wrap="around"/>
      </w:pPr>
    </w:p>
    <w:p w14:paraId="1D204784" w14:textId="77777777" w:rsidR="00C97686" w:rsidRPr="00FC741E" w:rsidRDefault="00C97686" w:rsidP="00C97686">
      <w:r w:rsidRPr="00FC741E">
        <w:t xml:space="preserve">Der Widmungszweck der Stadthalle liegt gerade darin, dem kulturellen, gesellschaftlichen und politischen Leben der Stadt zu dienen (vgl. Ziff. 1 lit. a) AMB). Eine parteipolitische Veranstaltung des Stadtverbandes einer Partei dient zweifellos dem politischen Leben in W-Stadt. Allerdings könnte die Benutzung der Stadthalle bereits nach Ziff. 1 lit. b) AMB ausgeschlossen sein, weil die N eine </w:t>
      </w:r>
      <w:r>
        <w:t>verfassungsfeindliche</w:t>
      </w:r>
      <w:r w:rsidRPr="00FC741E">
        <w:t xml:space="preserve"> Partei ist, die eine Beseitigung der freiheitlich-demokratischen Grundordnung anstrebt. Jedoch muss auch die Satzung in Einklang mit höherrangigem Recht stehen, um den Anspruch wirksam begrenzen zu können. Dies ist insbesondere dann nicht der Fall, wenn eine verfassungswidrige Ungleichbehandlung vorliegt. </w:t>
      </w:r>
    </w:p>
    <w:p w14:paraId="7A644B12" w14:textId="77777777" w:rsidR="00C97686" w:rsidRPr="00FC741E" w:rsidRDefault="00C97686" w:rsidP="00C97686">
      <w:r w:rsidRPr="00FC741E">
        <w:t xml:space="preserve">Die Versagung der Nutzungserlaubnis für Benutzer, die verfassungsfeindliche Ziele verfolgen, ist eine Ungleichbehandlung gegenüber Benutzern, die diese Ziele nicht verfolgen. Eine Ungleichbehandlung ist nicht gerechtfertigt, wenn das Differenzierungskriterium unzulässig ist. Das seitens der Antragsgegnerin gewählte Differenzierungskriterium „Benutzer, die verfassungsfeindliche Ziele oder Zwecke verfolgen", ist mit Art. 3 III 1 GG, § 5 I PartG nicht in Einklang zu bringen, wonach unter anderem niemand wegen seiner politischen Anschauungen benachteiligt werden darf. </w:t>
      </w:r>
    </w:p>
    <w:p w14:paraId="74A0F39D" w14:textId="77777777" w:rsidR="00C97686" w:rsidRPr="00FC741E" w:rsidRDefault="00C97686" w:rsidP="00C97686">
      <w:r w:rsidRPr="00FC741E">
        <w:t xml:space="preserve">Eine Diskriminierung wegen politischer Anschauung ist nur in den durch das Grundgesetz ausdrücklich vorgesehen Fällen zulässig, d.h. insbesondere wenn die Verfassungsfeindlichkeit bereits zu einem Parteienverbot nach Art. 21 II </w:t>
      </w:r>
      <w:r>
        <w:t xml:space="preserve">GG </w:t>
      </w:r>
      <w:r w:rsidRPr="00FC741E">
        <w:t>bzw. zu einem Vereinigungsverbot nach Art. 9 II GG geführt hat. Dann tritt das Diskriminierungsverbot zurück. Jedoch obliegt die Entscheidung über die Verfassungsfeindlichkeit von Parteien gem. Art. 21 II GG allein dem BVerfG (sog. Verbotsmonopol des BVerfG bzw. Parteienprivileg), sodass sich vor Ausspruch eines Verbots keine Behörde auf die Verfassungswidrigkeit einer Partei berufen oder gar Rechtsfolgen daran knüpfen kann.</w:t>
      </w:r>
      <w:r w:rsidRPr="00FC741E">
        <w:rPr>
          <w:vertAlign w:val="superscript"/>
        </w:rPr>
        <w:footnoteReference w:id="230"/>
      </w:r>
      <w:r w:rsidRPr="00FC741E">
        <w:t xml:space="preserve"> </w:t>
      </w:r>
    </w:p>
    <w:p w14:paraId="5DAEB476" w14:textId="77777777" w:rsidR="00C97686" w:rsidRPr="00FC741E" w:rsidRDefault="00C97686" w:rsidP="00C97686">
      <w:r w:rsidRPr="00FC741E">
        <w:t>Eine andere Bewertung ergibt sich auch nicht aus dem Urteil des Bundesverfassungsgerichts vom 17.1.2017, Az.: 2 BvB 1/13 (NPD-Verbotsverfahren). Eine Ungleichbehandlung der NPD wurde darin nur in Hinsicht auf die Parteienfinanzierung zugelassen, nicht aber bezüglich anderer den Parteien zustehenden Rechte.</w:t>
      </w:r>
      <w:r w:rsidRPr="00FC741E">
        <w:rPr>
          <w:vertAlign w:val="superscript"/>
        </w:rPr>
        <w:footnoteReference w:id="231"/>
      </w:r>
      <w:r w:rsidRPr="00FC741E">
        <w:t xml:space="preserve"> Die angenommene Verfassungswidrigkeit der N ist daher kein zulässiger Ablehnungsgrund. </w:t>
      </w:r>
    </w:p>
    <w:p w14:paraId="124DF866" w14:textId="77777777" w:rsidR="00C97686" w:rsidRPr="00FC741E" w:rsidRDefault="00C97686" w:rsidP="00C97686">
      <w:r w:rsidRPr="00FC741E">
        <w:t>Zwar ist der Stadtverband nicht die N-Partei selbst, sondern ein ihre lokale Betätigung in W-Stadt fördernder Verein. Auch im Hinblick auf das öffentliche Vereinsrecht kommt es nicht zu einem Verbotsautomatismus, wenn ein Verein einer verfassungswidrigen Partei nahesteht.</w:t>
      </w:r>
      <w:r w:rsidRPr="00FC741E">
        <w:rPr>
          <w:vertAlign w:val="superscript"/>
        </w:rPr>
        <w:footnoteReference w:id="232"/>
      </w:r>
      <w:r w:rsidRPr="00FC741E">
        <w:t xml:space="preserve"> Eine Ungleichbehandlung des Vereins ist vielmehr nur nach einem Vereinsverbot zulässig, wenn der Verein erwiesenermaßen gegen die verfassungsmäßige Ordnung des Art. 9 II GG verstößt. Der Stadtverband wurde vorliegend noch nicht verboten, sodass auch hierin kein Ablehnungsgrund für </w:t>
      </w:r>
      <w:r>
        <w:t>W</w:t>
      </w:r>
      <w:r w:rsidRPr="00FC741E">
        <w:t xml:space="preserve"> erblickt werden kann.</w:t>
      </w:r>
    </w:p>
    <w:p w14:paraId="543F1940" w14:textId="77777777" w:rsidR="00C97686" w:rsidRPr="00546A36" w:rsidRDefault="00C97686" w:rsidP="000434BF">
      <w:pPr>
        <w:pStyle w:val="berschrift8"/>
      </w:pPr>
      <w:bookmarkStart w:id="314" w:name="_Toc22133161"/>
      <w:r w:rsidRPr="00546A36">
        <w:t>bb) Annahme, dass Straftaten begangen werden</w:t>
      </w:r>
      <w:bookmarkEnd w:id="314"/>
    </w:p>
    <w:p w14:paraId="13B88EEF" w14:textId="77777777" w:rsidR="00C97686" w:rsidRPr="00FC741E" w:rsidRDefault="00C97686" w:rsidP="00C97686">
      <w:pPr>
        <w:pStyle w:val="Randnummer"/>
        <w:framePr w:h="737" w:wrap="around"/>
      </w:pPr>
    </w:p>
    <w:p w14:paraId="2A5022C5" w14:textId="77777777" w:rsidR="00C97686" w:rsidRPr="00FC741E" w:rsidRDefault="00C97686" w:rsidP="00C97686">
      <w:r w:rsidRPr="00FC741E">
        <w:t>Der Verschaffungsanspruch könnte schließlich ausgeschlossen sein, wenn die konkrete Gefahr besteht, dass es im Rahmen der beabsichtigten Nutzung der Stadthalle durch N zu Rechtsverstößen kommt</w:t>
      </w:r>
      <w:r>
        <w:t>, die der N zurechenbar sind</w:t>
      </w:r>
      <w:r w:rsidRPr="00FC741E">
        <w:t>. Zu den „bestehenden Vorschriften“ im Sinne des § 20 I HGO, in deren Rahmen ein Zulassungsanspruch besteht, zählen neben den Regeln über die Zweckbestimmung (Widmung) und Benutzung und öffentlichen Einrichtung auch das sonstige geltende Recht. Die Benutzung gemeindlicher Einrichtungen kann demnach eingeschränkt oder sogar ausgeschlossen werden bei Gefahren für die öffentliche Sicherheit, die sich nach dem Grundsatz der Verhältnismäßigkeit der Mittel auf andere Weise nicht angemessen vermeiden lassen.</w:t>
      </w:r>
      <w:r w:rsidRPr="00FC741E">
        <w:rPr>
          <w:vertAlign w:val="superscript"/>
        </w:rPr>
        <w:footnoteReference w:id="233"/>
      </w:r>
      <w:r w:rsidRPr="00FC741E">
        <w:t xml:space="preserve"> Zum Schutzgut der öffentlichen Sicherheit zählt insbesondere die Unversehrtheit der objektiven Rechtsordnung, also auch die Beachtung von Strafrechtsnormen.</w:t>
      </w:r>
      <w:r w:rsidRPr="00FC741E">
        <w:rPr>
          <w:vertAlign w:val="superscript"/>
        </w:rPr>
        <w:footnoteReference w:id="234"/>
      </w:r>
    </w:p>
    <w:p w14:paraId="5F529F07" w14:textId="77777777" w:rsidR="00C97686" w:rsidRPr="00FC741E" w:rsidRDefault="00C97686" w:rsidP="00C97686">
      <w:r w:rsidRPr="00FC741E">
        <w:t xml:space="preserve">Auf der anderen Seite sind die Gemeinden bei der Vergabe öffentlicher Einrichtungen zur politischen Neutralität verpflichtet. Die Entscheidung über die Benutzung städtischer Räumlichkeiten darf nicht zur Zensur der beabsichtigten Meinungsäußerung missbraucht werden. Dem Neutralitätsgebot ist im besonderen Maße Rechnung zu tragen, wenn die Einrichtung von einer politischen Partei beansprucht wird. </w:t>
      </w:r>
      <w:r>
        <w:t>Dabei soll weder</w:t>
      </w:r>
      <w:r w:rsidRPr="00FC741E">
        <w:t xml:space="preserve"> Rechtsverstößen Vorschub </w:t>
      </w:r>
      <w:r>
        <w:t>ge</w:t>
      </w:r>
      <w:r w:rsidRPr="00FC741E">
        <w:t>leiste</w:t>
      </w:r>
      <w:r>
        <w:t xml:space="preserve">t werden noch </w:t>
      </w:r>
      <w:r w:rsidRPr="00FC741E">
        <w:t xml:space="preserve">die Freiheit der politischen Meinungsäußerung </w:t>
      </w:r>
      <w:r>
        <w:t>beschränkt werden. U</w:t>
      </w:r>
      <w:r w:rsidRPr="00FC741E">
        <w:t xml:space="preserve">nter Beachtung des Grundsatzes der Verhältnismäßigkeit ist die Ablehnung eines Antrags auf Benutzung öffentlicher Räumlichkeiten für Wahlkampfveranstaltungen nur gerechtfertigt, wenn die Begehung von Ordnungswidrigkeiten oder Straftaten </w:t>
      </w:r>
      <w:r>
        <w:t xml:space="preserve">von gravierendem Gewicht </w:t>
      </w:r>
      <w:r w:rsidRPr="00FC741E">
        <w:t>aufgrund konkreter tatsächlicher Anhaltspunkte sicher zu erwarten</w:t>
      </w:r>
      <w:r>
        <w:t xml:space="preserve"> ist </w:t>
      </w:r>
      <w:r w:rsidRPr="00FC741E">
        <w:t>als wesentlicher Teil des Veranstaltungszweckes auch dem Veranstalter zuzurechnen ist.</w:t>
      </w:r>
      <w:r w:rsidRPr="00FC741E">
        <w:rPr>
          <w:vertAlign w:val="superscript"/>
        </w:rPr>
        <w:footnoteReference w:id="235"/>
      </w:r>
      <w:r w:rsidRPr="00FC741E">
        <w:t xml:space="preserve"> </w:t>
      </w:r>
    </w:p>
    <w:p w14:paraId="7FABC9F9" w14:textId="77777777" w:rsidR="00C97686" w:rsidRPr="00FC741E" w:rsidRDefault="00C97686" w:rsidP="00C97686">
      <w:r w:rsidRPr="00FC741E">
        <w:t>W vermutet, dass sich Teilnehmer der geplanten Veranstaltung mit ihren Redebeiträgen außerhalb der Rechtsordnung bewegen werden. Sie stützt dies auf ihre eigene Einschätzung von Redebeiträgen von Abgeordneten der N-Fraktion aus der Stadtverordnetenversammlung, wobei eine Strafverfolgung bislang noch nicht stattgefunden hat. Außerdem ist nicht belegt, dass diese Teilnehmer an dem Landesparteitag überhaupt teilnehmen werden. Soweit sie darüber hinaus allgemein auf die Verfassungsfeindlichkeit der N-Partei und deren Untergruppierungen verweist, ergeben sich auch daraus keine Anhaltspunkte, die eine konkrete Gefahr der Begehung von Ordnungswidrigkeiten oder Straftaten begründet.</w:t>
      </w:r>
    </w:p>
    <w:p w14:paraId="7C704E03" w14:textId="77777777" w:rsidR="00C97686" w:rsidRPr="00546A36" w:rsidRDefault="00C97686" w:rsidP="000434BF">
      <w:pPr>
        <w:pStyle w:val="berschrift7"/>
      </w:pPr>
      <w:bookmarkStart w:id="315" w:name="_Toc22133162"/>
      <w:r w:rsidRPr="00546A36">
        <w:t>d) Zwischenergebnis</w:t>
      </w:r>
      <w:bookmarkEnd w:id="315"/>
    </w:p>
    <w:p w14:paraId="7B6DD354" w14:textId="77777777" w:rsidR="00C97686" w:rsidRPr="00FC741E" w:rsidRDefault="00C97686" w:rsidP="00C97686">
      <w:pPr>
        <w:pStyle w:val="Randnummer"/>
        <w:framePr w:h="737" w:wrap="around"/>
      </w:pPr>
    </w:p>
    <w:p w14:paraId="3F5142AA" w14:textId="77777777" w:rsidR="00C97686" w:rsidRPr="00FC741E" w:rsidRDefault="00C97686" w:rsidP="00C97686">
      <w:r w:rsidRPr="00FC741E">
        <w:t xml:space="preserve">Die Nutzung hält sich damit im Rahmen der bestehenden Vorschriften, sodass alle Anspruchsvoraussetzungen </w:t>
      </w:r>
      <w:r>
        <w:t xml:space="preserve">des § 20 I HGO </w:t>
      </w:r>
      <w:r w:rsidRPr="00FC741E">
        <w:t xml:space="preserve">vorliegen. </w:t>
      </w:r>
    </w:p>
    <w:p w14:paraId="2B77450E" w14:textId="77777777" w:rsidR="00C97686" w:rsidRPr="00546A36" w:rsidRDefault="00C97686" w:rsidP="000434BF">
      <w:pPr>
        <w:pStyle w:val="berschrift6"/>
      </w:pPr>
      <w:bookmarkStart w:id="316" w:name="_Toc22133163"/>
      <w:r w:rsidRPr="00546A36">
        <w:t>2. Keine Versagungsgründe</w:t>
      </w:r>
      <w:bookmarkEnd w:id="316"/>
    </w:p>
    <w:p w14:paraId="19A10700" w14:textId="77777777" w:rsidR="00C97686" w:rsidRPr="00FC741E" w:rsidRDefault="00C97686" w:rsidP="00C97686">
      <w:pPr>
        <w:pStyle w:val="Randnummer"/>
        <w:framePr w:h="737" w:wrap="around"/>
      </w:pPr>
    </w:p>
    <w:p w14:paraId="51964777" w14:textId="77777777" w:rsidR="00C97686" w:rsidRPr="00FC741E" w:rsidRDefault="00C97686" w:rsidP="00C97686">
      <w:r w:rsidRPr="00FC741E">
        <w:t xml:space="preserve">Der Anspruch dürfte aber nicht aus legitimen Gründen ausgeschlossen sein. Ein solcher Versagungsgrund könnte hier in der tatsächlichen Kapazitätserschöpfung bestehen. </w:t>
      </w:r>
    </w:p>
    <w:p w14:paraId="0D40907A" w14:textId="77777777" w:rsidR="00C97686" w:rsidRPr="00FC741E" w:rsidRDefault="00C97686" w:rsidP="00C97686">
      <w:r w:rsidRPr="00FC741E">
        <w:t xml:space="preserve">Ein Anspruch ist ausgeschlossen, wenn seine Erfüllung unmöglich ist. Der allgemeine Rechtsgrundsatz </w:t>
      </w:r>
      <w:r w:rsidRPr="00FC741E">
        <w:rPr>
          <w:i/>
        </w:rPr>
        <w:t>impossibilium nullum est obligatio</w:t>
      </w:r>
      <w:r w:rsidRPr="00FC741E">
        <w:t xml:space="preserve"> gilt insoweit auch im öffentlichen Recht.</w:t>
      </w:r>
      <w:r w:rsidRPr="00FC741E">
        <w:rPr>
          <w:vertAlign w:val="superscript"/>
        </w:rPr>
        <w:footnoteReference w:id="236"/>
      </w:r>
      <w:r w:rsidRPr="00FC741E">
        <w:t xml:space="preserve"> Für öffentliche Einrichtungen muss die Vergabe allerdings nach sachgerechten und zulässigen Auswahlkriterien erfolgen.</w:t>
      </w:r>
      <w:r w:rsidRPr="00FC741E">
        <w:rPr>
          <w:vertAlign w:val="superscript"/>
        </w:rPr>
        <w:footnoteReference w:id="237"/>
      </w:r>
      <w:r w:rsidRPr="00FC741E">
        <w:t xml:space="preserve"> Ob dies hier der Fall </w:t>
      </w:r>
      <w:r>
        <w:t>war</w:t>
      </w:r>
      <w:r w:rsidRPr="00FC741E">
        <w:t xml:space="preserve">, kann offengelassen werden, da die Aufnahmefähigkeit der Stadthalle </w:t>
      </w:r>
      <w:r>
        <w:t>in W</w:t>
      </w:r>
      <w:r w:rsidRPr="00FC741E">
        <w:t>-Stadt am 13.01.2018 nicht ausgeschöpft ist, da sie an diesem Tag nicht belegt ist.</w:t>
      </w:r>
    </w:p>
    <w:p w14:paraId="00F34F8C" w14:textId="77777777" w:rsidR="00C97686" w:rsidRPr="00546A36" w:rsidRDefault="00C97686" w:rsidP="000434BF">
      <w:pPr>
        <w:pStyle w:val="berschrift6"/>
      </w:pPr>
      <w:bookmarkStart w:id="317" w:name="_Toc22133164"/>
      <w:r w:rsidRPr="00546A36">
        <w:t>3. Zwischenergebnis</w:t>
      </w:r>
      <w:bookmarkEnd w:id="317"/>
    </w:p>
    <w:p w14:paraId="113F5C51" w14:textId="77777777" w:rsidR="00C97686" w:rsidRPr="00FC741E" w:rsidRDefault="00C97686" w:rsidP="00C97686">
      <w:pPr>
        <w:pStyle w:val="Randnummer"/>
        <w:framePr w:h="737" w:wrap="around"/>
      </w:pPr>
    </w:p>
    <w:p w14:paraId="46C55A94" w14:textId="18D7DC27" w:rsidR="00C97686" w:rsidRPr="00FC741E" w:rsidRDefault="00C97686" w:rsidP="00C97686">
      <w:r w:rsidRPr="00FC741E">
        <w:t>Daher stand N ein Anspruch</w:t>
      </w:r>
      <w:r w:rsidR="000D731E">
        <w:rPr>
          <w:rStyle w:val="Funotenzeichen"/>
        </w:rPr>
        <w:footnoteReference w:id="238"/>
      </w:r>
      <w:r w:rsidRPr="00FC741E">
        <w:t xml:space="preserve"> auf Verschaffung gegenüber W durch Einwirkung auf S aus § 20 I HGO zu. </w:t>
      </w:r>
    </w:p>
    <w:p w14:paraId="1C30CC3A" w14:textId="77777777" w:rsidR="00C97686" w:rsidRPr="00546A36" w:rsidRDefault="00C97686" w:rsidP="000434BF">
      <w:pPr>
        <w:pStyle w:val="berschrift5"/>
      </w:pPr>
      <w:bookmarkStart w:id="318" w:name="_Toc22133165"/>
      <w:r w:rsidRPr="00546A36">
        <w:t>II. Anspruch des Stadtverbands gegen W auf Verschaffung der Stadthalle durch Einwirkung auf S gem. § 5 I PartG i.V.m. Art. 3 I GG</w:t>
      </w:r>
      <w:bookmarkEnd w:id="318"/>
    </w:p>
    <w:p w14:paraId="171790CF" w14:textId="77777777" w:rsidR="00C97686" w:rsidRPr="00FC741E" w:rsidRDefault="00C97686" w:rsidP="00C97686">
      <w:r w:rsidRPr="00FC741E">
        <w:t xml:space="preserve">Ein Einwirkungs- und Verschaffensanspruch könnte sich daneben aus dem parteienrechtlichen Gleichbehandlungsanspruch </w:t>
      </w:r>
      <w:r>
        <w:t>gem.</w:t>
      </w:r>
      <w:r w:rsidRPr="00FC741E">
        <w:t xml:space="preserve"> § 5 I PartG i.V.m. Art. 3 I GG ergeben. Dies setzt voraus, dass ein Träger öffentlicher Gewalt den Parteien Einrichtungen zur Verfügung stellt.</w:t>
      </w:r>
    </w:p>
    <w:p w14:paraId="7E1B1077" w14:textId="77777777" w:rsidR="00C97686" w:rsidRPr="00546A36" w:rsidRDefault="00C97686" w:rsidP="000434BF">
      <w:pPr>
        <w:pStyle w:val="berschrift6"/>
      </w:pPr>
      <w:bookmarkStart w:id="319" w:name="_Toc22133166"/>
      <w:r w:rsidRPr="00546A36">
        <w:t>1. Zur-Verfügung-Stellung öffentlicher Einrichtung durch Träger öffentlicher Gewalt</w:t>
      </w:r>
      <w:bookmarkEnd w:id="319"/>
    </w:p>
    <w:p w14:paraId="6F539911" w14:textId="77777777" w:rsidR="00C97686" w:rsidRPr="00FC741E" w:rsidRDefault="00C97686" w:rsidP="00C97686">
      <w:r w:rsidRPr="00FC741E">
        <w:t xml:space="preserve">Die Stadthalle stellt, wie oben ausgeführt, eine öffentlich-rechtliche Einrichtung dar. Hinsichtlich der Auswahlentscheidung, wem die öffentliche Einrichtung zur Verfügung gestellt wird, </w:t>
      </w:r>
      <w:r>
        <w:t>kann</w:t>
      </w:r>
      <w:r w:rsidRPr="00FC741E">
        <w:t xml:space="preserve"> W  auf S </w:t>
      </w:r>
      <w:r>
        <w:t xml:space="preserve">einwirken </w:t>
      </w:r>
      <w:r w:rsidRPr="00FC741E">
        <w:t xml:space="preserve">und tritt daher als Träger der hoheitlichen Gewalt auf. Die Stadthalle wurde in der Vergangenheit auch tatsächlich Parteien zwecks Durchführung parteipolitischer Veranstaltungen zur Verfügung gestellt. </w:t>
      </w:r>
    </w:p>
    <w:p w14:paraId="75241A7B" w14:textId="77777777" w:rsidR="00C97686" w:rsidRPr="00546A36" w:rsidRDefault="00C97686" w:rsidP="000434BF">
      <w:pPr>
        <w:pStyle w:val="berschrift6"/>
      </w:pPr>
      <w:bookmarkStart w:id="320" w:name="_Toc22133167"/>
      <w:r w:rsidRPr="00546A36">
        <w:t>2. Widmungszweck der öffentlichen Einrichtung</w:t>
      </w:r>
      <w:bookmarkEnd w:id="320"/>
      <w:r w:rsidRPr="00546A36">
        <w:t xml:space="preserve"> </w:t>
      </w:r>
    </w:p>
    <w:p w14:paraId="0518E3E3" w14:textId="77777777" w:rsidR="00C97686" w:rsidRPr="00FC741E" w:rsidRDefault="00C97686" w:rsidP="00C97686">
      <w:pPr>
        <w:pStyle w:val="Randnummer"/>
        <w:framePr w:h="737" w:wrap="around"/>
      </w:pPr>
    </w:p>
    <w:p w14:paraId="26EB310A" w14:textId="77777777" w:rsidR="00C97686" w:rsidRDefault="00C97686" w:rsidP="00C97686">
      <w:r w:rsidRPr="00FC741E">
        <w:t>Auch der parteienrechtliche Einwirkungs- und Zulassungsanspruch wird wie der kommunalrechtliche durch den Widmungszweck der öffentlichen Einrichtung begrenzt. Die von N geplante Veranstaltung hält sich in den Grenzen des Widmungszwecks (s.o.).</w:t>
      </w:r>
    </w:p>
    <w:p w14:paraId="27C5219A" w14:textId="77777777" w:rsidR="00C97686" w:rsidRPr="00546A36" w:rsidRDefault="00C97686" w:rsidP="000434BF">
      <w:pPr>
        <w:pStyle w:val="berschrift6"/>
      </w:pPr>
      <w:bookmarkStart w:id="321" w:name="_Toc22133168"/>
      <w:r w:rsidRPr="00546A36">
        <w:t>3. Kein Ausschluss des Anspruchs</w:t>
      </w:r>
      <w:bookmarkEnd w:id="321"/>
      <w:r w:rsidRPr="00546A36">
        <w:t xml:space="preserve"> </w:t>
      </w:r>
    </w:p>
    <w:p w14:paraId="50A6EA09" w14:textId="77777777" w:rsidR="00C97686" w:rsidRPr="00FC741E" w:rsidRDefault="00C97686" w:rsidP="00C97686">
      <w:pPr>
        <w:pStyle w:val="Randnummer"/>
        <w:framePr w:h="737" w:wrap="around"/>
      </w:pPr>
    </w:p>
    <w:p w14:paraId="2E6D33FC" w14:textId="77777777" w:rsidR="00C97686" w:rsidRPr="00FC741E" w:rsidRDefault="00C97686" w:rsidP="00C97686">
      <w:r w:rsidRPr="00FC741E">
        <w:t xml:space="preserve">Den Anspruch begrenzende legitime Zwecke sind nicht ersichtlich (s.o.). </w:t>
      </w:r>
    </w:p>
    <w:p w14:paraId="2E7026C9" w14:textId="77777777" w:rsidR="00C97686" w:rsidRPr="00546A36" w:rsidRDefault="00C97686" w:rsidP="000434BF">
      <w:pPr>
        <w:pStyle w:val="berschrift6"/>
      </w:pPr>
      <w:bookmarkStart w:id="322" w:name="_Toc22133169"/>
      <w:r w:rsidRPr="00546A36">
        <w:t>4. Zwischenergebnis</w:t>
      </w:r>
      <w:bookmarkEnd w:id="322"/>
    </w:p>
    <w:p w14:paraId="1F8CB780" w14:textId="77777777" w:rsidR="00C97686" w:rsidRPr="00FC741E" w:rsidRDefault="00C97686" w:rsidP="00C97686">
      <w:pPr>
        <w:pStyle w:val="Randnummer"/>
        <w:framePr w:h="737" w:wrap="around"/>
      </w:pPr>
    </w:p>
    <w:p w14:paraId="7468721A" w14:textId="77777777" w:rsidR="00C97686" w:rsidRPr="00FC741E" w:rsidRDefault="00C97686" w:rsidP="00C97686">
      <w:r w:rsidRPr="00FC741E">
        <w:t xml:space="preserve">Daher besteht auch ein parteienrechtlicher Einwirkungs- und Verschaffungsanspruch der N. </w:t>
      </w:r>
    </w:p>
    <w:p w14:paraId="65EE5005" w14:textId="77777777" w:rsidR="00C97686" w:rsidRPr="00546A36" w:rsidRDefault="00C97686" w:rsidP="000434BF">
      <w:pPr>
        <w:pStyle w:val="berschrift5"/>
      </w:pPr>
      <w:bookmarkStart w:id="323" w:name="_Toc22133170"/>
      <w:r w:rsidRPr="00546A36">
        <w:t>III. Verletzung in eigenen Rechten</w:t>
      </w:r>
      <w:bookmarkEnd w:id="323"/>
      <w:r w:rsidRPr="00546A36">
        <w:t xml:space="preserve"> </w:t>
      </w:r>
    </w:p>
    <w:p w14:paraId="0280C455" w14:textId="77777777" w:rsidR="00C97686" w:rsidRPr="00FC741E" w:rsidRDefault="00C97686" w:rsidP="00C97686">
      <w:pPr>
        <w:pStyle w:val="Randnummer"/>
        <w:framePr w:h="737" w:wrap="around"/>
      </w:pPr>
    </w:p>
    <w:p w14:paraId="20F8B5AA" w14:textId="77777777" w:rsidR="00C97686" w:rsidRDefault="00C97686" w:rsidP="00C97686">
      <w:r w:rsidRPr="00FC741E">
        <w:t xml:space="preserve">Durch die rechtswidrige Ablehnung der Überlassung der Stadthalle ist der Stadtverband der N-Partei auch </w:t>
      </w:r>
      <w:r>
        <w:t xml:space="preserve">in </w:t>
      </w:r>
      <w:r w:rsidRPr="00FC741E">
        <w:t xml:space="preserve">seinen subjektiv-öffentlichen Rechten aus § 20 I HGO und § 5 I i.V.m. Art. 3 I GG verletzt. </w:t>
      </w:r>
    </w:p>
    <w:p w14:paraId="3B8B380C" w14:textId="77777777" w:rsidR="000434BF" w:rsidRPr="00FC741E" w:rsidRDefault="000434BF" w:rsidP="00C97686"/>
    <w:p w14:paraId="005E0ADD" w14:textId="77777777" w:rsidR="00C97686" w:rsidRPr="00546A36" w:rsidRDefault="00C97686" w:rsidP="000434BF">
      <w:pPr>
        <w:pStyle w:val="berschrift4"/>
      </w:pPr>
      <w:bookmarkStart w:id="324" w:name="_Toc22133171"/>
      <w:r w:rsidRPr="00546A36">
        <w:t>C. Ergebnis</w:t>
      </w:r>
      <w:bookmarkEnd w:id="324"/>
    </w:p>
    <w:p w14:paraId="32D36B12" w14:textId="77777777" w:rsidR="00C97686" w:rsidRPr="00FC741E" w:rsidRDefault="00C97686" w:rsidP="00C97686">
      <w:pPr>
        <w:pStyle w:val="Randnummer"/>
        <w:framePr w:h="737" w:wrap="around"/>
      </w:pPr>
    </w:p>
    <w:p w14:paraId="1726D61C" w14:textId="66F1E685" w:rsidR="00FC741E" w:rsidRDefault="00C97686" w:rsidP="00C97686">
      <w:r w:rsidRPr="00FC741E">
        <w:t xml:space="preserve">Die Klage ist zulässig und gem. § 113 I 4 VwGO i.V.m. § 113 V 1 VwGO analog begründet, sodass sie Aussichten auf Erfolg hat. </w:t>
      </w:r>
      <w:bookmarkEnd w:id="296"/>
    </w:p>
    <w:p w14:paraId="6D277F59" w14:textId="77777777" w:rsidR="007E71EB" w:rsidRPr="00FC741E" w:rsidRDefault="007E71EB" w:rsidP="00FC741E"/>
    <w:p w14:paraId="1C07AA93" w14:textId="77777777" w:rsidR="007E71EB" w:rsidRDefault="007E71EB" w:rsidP="00CC7995">
      <w:pPr>
        <w:sectPr w:rsidR="007E71EB" w:rsidSect="000C4535">
          <w:footnotePr>
            <w:numRestart w:val="eachSect"/>
          </w:footnotePr>
          <w:pgSz w:w="9639" w:h="13608"/>
          <w:pgMar w:top="1418" w:right="1134" w:bottom="1134" w:left="1134" w:header="709" w:footer="709" w:gutter="0"/>
          <w:cols w:space="708"/>
          <w:docGrid w:linePitch="360"/>
        </w:sectPr>
      </w:pPr>
    </w:p>
    <w:p w14:paraId="2925BDEC" w14:textId="339DFDF3" w:rsidR="00A0667A" w:rsidRDefault="00A0667A" w:rsidP="00A0667A">
      <w:pPr>
        <w:pStyle w:val="berschrift1"/>
      </w:pPr>
      <w:bookmarkStart w:id="325" w:name="_Toc10464019"/>
      <w:bookmarkStart w:id="326" w:name="_Toc22132779"/>
      <w:r>
        <w:t xml:space="preserve">§ </w:t>
      </w:r>
      <w:r w:rsidR="00601E96">
        <w:t>5</w:t>
      </w:r>
      <w:r w:rsidR="008779DD">
        <w:t xml:space="preserve"> Übungsfälle zur</w:t>
      </w:r>
      <w:r>
        <w:t xml:space="preserve"> allgemeine</w:t>
      </w:r>
      <w:r w:rsidR="008779DD">
        <w:t>n</w:t>
      </w:r>
      <w:r>
        <w:t xml:space="preserve"> Leistungsklage</w:t>
      </w:r>
      <w:bookmarkEnd w:id="325"/>
      <w:bookmarkEnd w:id="326"/>
    </w:p>
    <w:p w14:paraId="1E10FC2E" w14:textId="069FA834" w:rsidR="00F24734" w:rsidRDefault="00D14356" w:rsidP="00F24734">
      <w:pPr>
        <w:pStyle w:val="berschrift2"/>
      </w:pPr>
      <w:bookmarkStart w:id="327" w:name="_Toc22132780"/>
      <w:r>
        <w:t xml:space="preserve">Die </w:t>
      </w:r>
      <w:r w:rsidR="00F24734">
        <w:t>Struktur der allgemeinen Leistungsklage (Nikolas Eisentraut)</w:t>
      </w:r>
      <w:bookmarkEnd w:id="327"/>
    </w:p>
    <w:p w14:paraId="6FD45ABB" w14:textId="3EC5BD01" w:rsidR="00F24734" w:rsidRDefault="00F24734" w:rsidP="00F24734">
      <w:pPr>
        <w:pStyle w:val="Autorin"/>
      </w:pPr>
      <w:r>
        <w:t>Nikolas Eisentraut</w:t>
      </w:r>
    </w:p>
    <w:p w14:paraId="336FF781" w14:textId="77777777" w:rsidR="00F24734" w:rsidRDefault="00F24734" w:rsidP="00F24734">
      <w:r>
        <w:t>Der gutachterlichen Prüfung der allgemeinen Leistungsklage</w:t>
      </w:r>
      <w:r>
        <w:fldChar w:fldCharType="begin"/>
      </w:r>
      <w:r>
        <w:instrText xml:space="preserve"> XE "</w:instrText>
      </w:r>
      <w:r w:rsidRPr="002663CF">
        <w:instrText>Allgemeine Leistungsklage</w:instrText>
      </w:r>
      <w:r>
        <w:instrText xml:space="preserve">" </w:instrText>
      </w:r>
      <w:r>
        <w:fldChar w:fldCharType="end"/>
      </w:r>
      <w:r>
        <w:fldChar w:fldCharType="begin"/>
      </w:r>
      <w:r>
        <w:instrText xml:space="preserve"> XE "</w:instrText>
      </w:r>
      <w:r w:rsidRPr="00FA2C34">
        <w:instrText>Leistungsklage:Allgemeine Leistungsklage</w:instrText>
      </w:r>
      <w:r>
        <w:instrText xml:space="preserve">" </w:instrText>
      </w:r>
      <w:r>
        <w:fldChar w:fldCharType="end"/>
      </w:r>
      <w:r>
        <w:t xml:space="preserve"> liegt die folgende Struktur zugrunde:</w:t>
      </w:r>
    </w:p>
    <w:p w14:paraId="6976EBF3" w14:textId="77777777" w:rsidR="00F24734" w:rsidRDefault="00F24734" w:rsidP="00F24734">
      <w:r>
        <w:t>A. Zulässigkeit</w:t>
      </w:r>
      <w:r>
        <w:fldChar w:fldCharType="begin"/>
      </w:r>
      <w:r>
        <w:instrText xml:space="preserve"> XE "</w:instrText>
      </w:r>
      <w:r w:rsidRPr="001D7B3D">
        <w:instrText>Allgemeine Leistungsklage:Zulässigkeitsprüfung</w:instrText>
      </w:r>
      <w:r>
        <w:instrText xml:space="preserve">" </w:instrText>
      </w:r>
      <w:r>
        <w:fldChar w:fldCharType="end"/>
      </w:r>
    </w:p>
    <w:p w14:paraId="3C17F899" w14:textId="337D1024" w:rsidR="00F24734" w:rsidRPr="00D16DAC" w:rsidRDefault="00F24734" w:rsidP="00F24734">
      <w:pPr>
        <w:ind w:firstLine="708"/>
      </w:pPr>
      <w:r w:rsidRPr="00D16DAC">
        <w:t>I. Eröffnung des Verwaltungsrechtswegs</w:t>
      </w:r>
      <w:r>
        <w:t xml:space="preserve"> (s. § 1 Rn. </w:t>
      </w:r>
      <w:r w:rsidR="00AA1753">
        <w:t>8</w:t>
      </w:r>
      <w:r>
        <w:t> ff.)</w:t>
      </w:r>
      <w:r w:rsidR="003F18F9">
        <w:rPr>
          <w:rStyle w:val="Funotenzeichen"/>
        </w:rPr>
        <w:footnoteReference w:id="239"/>
      </w:r>
    </w:p>
    <w:p w14:paraId="7EA8D082" w14:textId="5BF014F6" w:rsidR="00F24734" w:rsidRPr="00D16DAC" w:rsidRDefault="00F24734" w:rsidP="00F24734">
      <w:pPr>
        <w:ind w:left="708"/>
      </w:pPr>
      <w:r w:rsidRPr="00D16DAC">
        <w:t>II. Statthafte Klageart (</w:t>
      </w:r>
      <w:r>
        <w:t>s. § 1 Rn. </w:t>
      </w:r>
      <w:r w:rsidR="00AA1753">
        <w:t>6</w:t>
      </w:r>
      <w:r>
        <w:t> ff.)</w:t>
      </w:r>
      <w:r>
        <w:rPr>
          <w:rStyle w:val="Funotenzeichen"/>
        </w:rPr>
        <w:footnoteReference w:id="240"/>
      </w:r>
    </w:p>
    <w:p w14:paraId="3E61D233" w14:textId="5FF03531" w:rsidR="00F24734" w:rsidRDefault="00F24734" w:rsidP="00F24734">
      <w:pPr>
        <w:ind w:firstLine="708"/>
      </w:pPr>
      <w:r>
        <w:t>III. Klagebefugnis</w:t>
      </w:r>
      <w:r>
        <w:rPr>
          <w:rStyle w:val="Funotenzeichen"/>
        </w:rPr>
        <w:footnoteReference w:id="241"/>
      </w:r>
    </w:p>
    <w:p w14:paraId="49C9C3B8" w14:textId="03D9A26D" w:rsidR="00F24734" w:rsidRDefault="00F24734" w:rsidP="00F24734">
      <w:pPr>
        <w:ind w:firstLine="708"/>
      </w:pPr>
      <w:r>
        <w:t>IV. Beteiligte</w:t>
      </w:r>
      <w:r>
        <w:rPr>
          <w:rStyle w:val="Funotenzeichen"/>
        </w:rPr>
        <w:footnoteReference w:id="242"/>
      </w:r>
    </w:p>
    <w:p w14:paraId="5C6657D6" w14:textId="18A5D547" w:rsidR="00F24734" w:rsidRDefault="00F24734" w:rsidP="00F24734">
      <w:pPr>
        <w:ind w:firstLine="708"/>
      </w:pPr>
      <w:r>
        <w:t>V. Zuständiges Gericht</w:t>
      </w:r>
      <w:r>
        <w:rPr>
          <w:rStyle w:val="Funotenzeichen"/>
        </w:rPr>
        <w:footnoteReference w:id="243"/>
      </w:r>
    </w:p>
    <w:p w14:paraId="5D449F75" w14:textId="7027AD9A" w:rsidR="00F24734" w:rsidRDefault="00F24734" w:rsidP="00F24734">
      <w:pPr>
        <w:ind w:firstLine="708"/>
      </w:pPr>
      <w:r>
        <w:t>VI. Rechtsschutzbedürfnis</w:t>
      </w:r>
      <w:r>
        <w:rPr>
          <w:rStyle w:val="Funotenzeichen"/>
        </w:rPr>
        <w:footnoteReference w:id="244"/>
      </w:r>
    </w:p>
    <w:p w14:paraId="2CA628DE" w14:textId="69EFC182" w:rsidR="00F24734" w:rsidRDefault="00F24734" w:rsidP="00F24734">
      <w:r>
        <w:t>B. Begründetheit</w:t>
      </w:r>
      <w:r>
        <w:rPr>
          <w:rStyle w:val="Funotenzeichen"/>
        </w:rPr>
        <w:footnoteReference w:id="245"/>
      </w:r>
    </w:p>
    <w:p w14:paraId="7D7A8C8F" w14:textId="75662B73" w:rsidR="00F24734" w:rsidRDefault="00F24734" w:rsidP="00F24734">
      <w:pPr>
        <w:ind w:left="708"/>
      </w:pPr>
      <w:r>
        <w:t>I. Anspruchsgrundlage</w:t>
      </w:r>
      <w:r>
        <w:rPr>
          <w:rStyle w:val="Funotenzeichen"/>
        </w:rPr>
        <w:footnoteReference w:id="246"/>
      </w:r>
    </w:p>
    <w:p w14:paraId="616F47D4" w14:textId="77777777" w:rsidR="00F24734" w:rsidRDefault="00F24734" w:rsidP="00F24734">
      <w:pPr>
        <w:ind w:firstLine="708"/>
      </w:pPr>
      <w:r>
        <w:t>II. Voraussetzungen der Anspruchsgrundlage erfüllt?</w:t>
      </w:r>
    </w:p>
    <w:p w14:paraId="45F0B7BE" w14:textId="77777777" w:rsidR="00F24734" w:rsidRPr="00F24734" w:rsidRDefault="00F24734" w:rsidP="00F24734"/>
    <w:p w14:paraId="41E98580" w14:textId="3802AC02" w:rsidR="000444BD" w:rsidRDefault="00F1012B" w:rsidP="008779DD">
      <w:pPr>
        <w:pStyle w:val="berschrift2"/>
      </w:pPr>
      <w:bookmarkStart w:id="328" w:name="_Toc10464165"/>
      <w:bookmarkStart w:id="329" w:name="_Toc13833580"/>
      <w:bookmarkStart w:id="330" w:name="_Toc22132781"/>
      <w:bookmarkStart w:id="331" w:name="Leistungsklage"/>
      <w:r>
        <w:t>Fall 9</w:t>
      </w:r>
      <w:r w:rsidR="000444BD">
        <w:t xml:space="preserve">: </w:t>
      </w:r>
      <w:r w:rsidR="004D7C04">
        <w:t xml:space="preserve">Leistungsklage zur Geltendmachung eines </w:t>
      </w:r>
      <w:r w:rsidR="000444BD">
        <w:t>Anspruch</w:t>
      </w:r>
      <w:r w:rsidR="004D7C04">
        <w:t>s</w:t>
      </w:r>
      <w:r w:rsidR="000444BD">
        <w:t xml:space="preserve"> aus öffentlich-rechtlichem Vertrag (Wolfgang Abromeit)</w:t>
      </w:r>
      <w:bookmarkEnd w:id="328"/>
      <w:bookmarkEnd w:id="329"/>
      <w:bookmarkEnd w:id="330"/>
    </w:p>
    <w:p w14:paraId="3016A354" w14:textId="6F84ACD2" w:rsidR="0017745A" w:rsidRPr="0017745A" w:rsidRDefault="0017745A" w:rsidP="0017745A">
      <w:pPr>
        <w:pStyle w:val="Autorin"/>
      </w:pPr>
      <w:r>
        <w:t>Wolfgang Abromeit</w:t>
      </w:r>
    </w:p>
    <w:p w14:paraId="3DC5C051" w14:textId="77777777" w:rsidR="000671E9" w:rsidRPr="000671E9" w:rsidRDefault="000671E9" w:rsidP="005A16FB">
      <w:pPr>
        <w:pStyle w:val="Randnummer"/>
        <w:framePr w:wrap="around"/>
        <w:numPr>
          <w:ilvl w:val="0"/>
          <w:numId w:val="9"/>
        </w:numPr>
      </w:pPr>
    </w:p>
    <w:p w14:paraId="2344E6A3" w14:textId="691A82BF" w:rsidR="000444BD" w:rsidRDefault="000444BD" w:rsidP="000444BD">
      <w:r w:rsidRPr="008C1E48">
        <w:t xml:space="preserve">Der Fall beruht auf einer Variation des </w:t>
      </w:r>
      <w:r w:rsidRPr="008C1E48">
        <w:rPr>
          <w:rFonts w:cs="Arial"/>
        </w:rPr>
        <w:t xml:space="preserve">Urteils vom </w:t>
      </w:r>
      <w:hyperlink r:id="rId53" w:history="1">
        <w:r w:rsidR="00E75A8D" w:rsidRPr="00E75A8D">
          <w:rPr>
            <w:rStyle w:val="Hyperlink"/>
            <w:rFonts w:cs="Arial"/>
          </w:rPr>
          <w:t>BVerwG, Urteil vom 16. 5. 2000, Az.: 4 C 4/99</w:t>
        </w:r>
      </w:hyperlink>
      <w:r w:rsidR="00E75A8D">
        <w:rPr>
          <w:rFonts w:cs="Arial"/>
        </w:rPr>
        <w:t xml:space="preserve"> = </w:t>
      </w:r>
      <w:r w:rsidRPr="008C1E48">
        <w:rPr>
          <w:rFonts w:cs="Arial"/>
        </w:rPr>
        <w:t xml:space="preserve">NVwZ 2000, </w:t>
      </w:r>
      <w:r w:rsidR="00E91AF0">
        <w:rPr>
          <w:rFonts w:cs="Arial"/>
        </w:rPr>
        <w:t>1</w:t>
      </w:r>
      <w:r w:rsidR="00E75A8D">
        <w:rPr>
          <w:rFonts w:cs="Arial"/>
        </w:rPr>
        <w:t>285 ff. =</w:t>
      </w:r>
      <w:r w:rsidRPr="008C1E48">
        <w:rPr>
          <w:rFonts w:cs="Arial"/>
        </w:rPr>
        <w:t xml:space="preserve"> BVerwGE 111, 162. Eine reine Kenntnis der Tenorierung reicht allerdings nicht aus, da es sich um Variationen des Sachverhalts handelt.</w:t>
      </w:r>
      <w:r w:rsidRPr="008C1E48">
        <w:t xml:space="preserve"> </w:t>
      </w:r>
    </w:p>
    <w:p w14:paraId="28DF7A67" w14:textId="77777777" w:rsidR="009E471F" w:rsidRDefault="009E471F" w:rsidP="009E471F">
      <w:pPr>
        <w:pStyle w:val="Randnummer"/>
        <w:framePr w:wrap="around"/>
      </w:pPr>
    </w:p>
    <w:p w14:paraId="74ED6F16" w14:textId="7E3B2EA3" w:rsidR="000444BD" w:rsidRDefault="009E471F" w:rsidP="000444BD">
      <w:pPr>
        <w:rPr>
          <w:rFonts w:cs="Arial"/>
        </w:rPr>
      </w:pPr>
      <w:r>
        <w:t>Lernziele/Schwerpunkte:</w:t>
      </w:r>
      <w:r w:rsidR="000444BD">
        <w:t xml:space="preserve"> </w:t>
      </w:r>
      <w:r w:rsidR="000444BD" w:rsidRPr="008C1E48">
        <w:rPr>
          <w:rFonts w:cs="Arial"/>
        </w:rPr>
        <w:t>Kernpun</w:t>
      </w:r>
      <w:r>
        <w:rPr>
          <w:rFonts w:cs="Arial"/>
        </w:rPr>
        <w:t>kte sind 1. n</w:t>
      </w:r>
      <w:r w:rsidR="000444BD" w:rsidRPr="008C1E48">
        <w:rPr>
          <w:rFonts w:cs="Arial"/>
        </w:rPr>
        <w:t xml:space="preserve">achvollziehbare Argumentationen zu den Problemen: Subordinationsrechtlicher Vertrag (i.S.v. §§ 59 II; 54 S. 2 VwVfG ohne expliziten Ersatz eines </w:t>
      </w:r>
      <w:r w:rsidR="006D7E4D">
        <w:rPr>
          <w:rFonts w:cs="Arial"/>
        </w:rPr>
        <w:t>Verwaltungsakts</w:t>
      </w:r>
      <w:r w:rsidR="000444BD" w:rsidRPr="008C1E48">
        <w:rPr>
          <w:rFonts w:cs="Arial"/>
        </w:rPr>
        <w:t xml:space="preserve"> durch den Vertrag); Austauschvertrag (i.S.v. § 56 VwVfG bei "hinkendem Austauschvertrag") und – vor allem – die Frage des sachlichen Zusammenhangs der Leistungspflichten </w:t>
      </w:r>
      <w:r w:rsidR="008D4994">
        <w:rPr>
          <w:rFonts w:cs="Arial"/>
        </w:rPr>
        <w:t>im Rahmen der Prüfung eines Verstoßes</w:t>
      </w:r>
      <w:r w:rsidR="000444BD" w:rsidRPr="008C1E48">
        <w:rPr>
          <w:rFonts w:cs="Arial"/>
        </w:rPr>
        <w:t xml:space="preserve"> </w:t>
      </w:r>
      <w:r>
        <w:rPr>
          <w:rFonts w:cs="Arial"/>
        </w:rPr>
        <w:t>gegen das Koppelungsverbot. 2. e</w:t>
      </w:r>
      <w:r w:rsidR="000444BD" w:rsidRPr="008C1E48">
        <w:rPr>
          <w:rFonts w:cs="Arial"/>
        </w:rPr>
        <w:t>in Verständnis des öffentlich-rechtlichen Erstattungsanspruchs und der Rolle des Verwaltungsvertrags als Rechtsgrund in seiner Prüfung.</w:t>
      </w:r>
    </w:p>
    <w:p w14:paraId="4FA6A6BE" w14:textId="77777777" w:rsidR="00772351" w:rsidRPr="000444BD" w:rsidRDefault="00772351" w:rsidP="000444BD"/>
    <w:p w14:paraId="016AE2DF" w14:textId="564F7933" w:rsidR="000444BD" w:rsidRPr="00546A36" w:rsidRDefault="000444BD" w:rsidP="0001383E">
      <w:pPr>
        <w:pStyle w:val="berschrift3"/>
      </w:pPr>
      <w:r w:rsidRPr="00546A36">
        <w:t>Sachverhalt</w:t>
      </w:r>
    </w:p>
    <w:p w14:paraId="38A0CA32" w14:textId="77777777" w:rsidR="000444BD" w:rsidRPr="000444BD" w:rsidRDefault="000444BD" w:rsidP="000444BD">
      <w:pPr>
        <w:pStyle w:val="Randnummer"/>
        <w:framePr w:wrap="around"/>
      </w:pPr>
    </w:p>
    <w:p w14:paraId="751D32F8" w14:textId="2F915360" w:rsidR="000444BD" w:rsidRPr="000444BD" w:rsidRDefault="000444BD" w:rsidP="000444BD">
      <w:r w:rsidRPr="000444BD">
        <w:t>Jakob Fabian (J) ist in letzter Zeit beruflich erfolgreich gewesen und möchte Berlin den Rücken kehren</w:t>
      </w:r>
      <w:r w:rsidR="008D4994">
        <w:t>,</w:t>
      </w:r>
      <w:r w:rsidRPr="000444BD">
        <w:t xml:space="preserve"> um sich in einer ländlicheren Gegend ein Zuhause </w:t>
      </w:r>
      <w:r w:rsidR="008D4994">
        <w:t xml:space="preserve">zu </w:t>
      </w:r>
      <w:r w:rsidRPr="000444BD">
        <w:t>schaffen. Bald findet und erwirbt er ein Grundstück in direkter Nachbarschaft zu einem kürzlich neu geplanten Wohngebiet in der kreisfreien Stadt PBrück in Brandenburg. Sein Grundstück liegt so günstig, dass es auf Grund der kürzlich durchgeführten Erschließungsarbeiten alle tatsächlichen Anforderungen an Bauland erfüllt. Dem von J geplanten pompösen Vorhaben stehen auch, von einem Problem abgesehen, keine baurechtlichen Erwägungen entgegen: Im örtlichen Bebauungsplan ist das Grundstück als Landwirtschaftsfläche ausgewiesen. J möchte in puncto Baugenehmigung jedoch sicher gehen und ist bereit, dafür tief in die Tasche zu greifen. Er trifft mit den Vertretern von PBrück zwei Vereinbarungen, die in einem Vertragsdokument zusammengefasst werden. Er sagt zu, die Planungskosten in Höhe von 5.000 € zu übernehmen, die entstehen, wenn sein Grundstück in den Bebauungsplan des Wohngebiets mit einbezogen wird. Im Gegenzug verpflichtet sich PBrück, die erforderlichen Schritte einzuleiten um diese Planungen zu beginnen. Darüber hinaus verlangt PBrück jedoch bereits jetzt die Zusicherung, dass J sich auch an den bereits im damaligen Verfahren entstandenen und mit der Erschließung verbundenen Kosten beteiligt. J ist einverstanden, denselben Betrag zu zahlen, den auch die anderen Anwohner geleistet haben, sobald er seine Baugenehmigung in den Händen hält. PBrück erklärt, sie beabsichtige 70% der so zusätzlich erhaltenen Mittel an die seinerzeit mit den Erschließungskosten belasteten Anwohner auszuschütten und den Rest (3.000 €) für die Instandhaltung des denkmalgeschützten Rathauses zu verwenden. Die beiden Vereinbarungen werden in einem Dokument festgehalten und allen formellen Anforderungen entsprechend einzeln unterzeichnet. Beide Vereinbarungen enthalten eine Klausel, wonach die Unwirksamkeit einzelner Vertragsteile die Wirksamkeit der anderen Bestandteile unberührt lässt.</w:t>
      </w:r>
    </w:p>
    <w:p w14:paraId="3A30A9BA" w14:textId="44ABB7A3" w:rsidR="000444BD" w:rsidRPr="000444BD" w:rsidRDefault="000444BD" w:rsidP="000444BD">
      <w:r w:rsidRPr="000444BD">
        <w:t xml:space="preserve">Nach Zahlung der ersten 5.000 € verläuft die Planung wie abgesprochen. Im Anschluss erhält J – endlich – seine Baugenehmigung. Daraufhin überweist er umgehend die verbleibenden 10.000 €. PBrück zahlt den Betrag von 7.000 € nach einem ordnungsgemäßen Verfahren an die anderen Anwohner aus. Nach Baubeginn überlegt J sich jedoch, ob er das Geld nicht doch besser gebrauchen könne als die Stadt. Mittlerweile ist er sich nicht mehr sicher, ob es überhaupt rechtens sein könne, wenn PBrück ihr Planungsrecht in dieser Form zu Markte trägt. Er fordert sein Geld zurück! Da seine Nachbarn nicht zu dem Richtfest seines Anwesens erschienen sind, ärgert er sich außerdem, dass diese, letztlich dank seiner „Großzügigkeit“ einen Teil </w:t>
      </w:r>
      <w:r w:rsidR="008D4994">
        <w:t>i</w:t>
      </w:r>
      <w:r w:rsidRPr="000444BD">
        <w:t xml:space="preserve">hrer Planungs- und Erschließungskosten zurückbekommen haben. Das Rathaus gefällt ihm zwar, allerdings glaubt er, die Stadt solle eigentlich selber für die Instandhaltung aufkommen, immerhin habe das </w:t>
      </w:r>
      <w:r w:rsidR="008D4994">
        <w:t>G</w:t>
      </w:r>
      <w:r w:rsidRPr="000444BD">
        <w:t>anze ja nichts mit der Bauplanung zu tun. Die Stadt PBrück weigert sich jedoch, auch nur einen Cent zurück zu zahlen. Schließlich halte J ja die Baugenehmigung in den Händen. J konsultiert daraufhin den Anwalt Labude (L), der für ihn prüfen soll, ob eine Klage gegen PBrück auf Rückzahlung der geleisteten Beträge Aussicht auf Erfolg hätte.</w:t>
      </w:r>
    </w:p>
    <w:p w14:paraId="77EC0561" w14:textId="6D34231A" w:rsidR="000444BD" w:rsidRDefault="000444BD" w:rsidP="000444BD">
      <w:r w:rsidRPr="00546A36">
        <w:rPr>
          <w:b/>
        </w:rPr>
        <w:t>Bearbeiter</w:t>
      </w:r>
      <w:r w:rsidR="00546A36" w:rsidRPr="00546A36">
        <w:rPr>
          <w:b/>
        </w:rPr>
        <w:t>*innen</w:t>
      </w:r>
      <w:r w:rsidRPr="00546A36">
        <w:rPr>
          <w:b/>
        </w:rPr>
        <w:t>vermerk:</w:t>
      </w:r>
      <w:r w:rsidRPr="000444BD">
        <w:t xml:space="preserve"> </w:t>
      </w:r>
      <w:r w:rsidRPr="008D4994">
        <w:rPr>
          <w:b/>
          <w:bCs/>
        </w:rPr>
        <w:t xml:space="preserve">Erstellen </w:t>
      </w:r>
      <w:r w:rsidR="008D4994">
        <w:rPr>
          <w:b/>
          <w:bCs/>
        </w:rPr>
        <w:t>S</w:t>
      </w:r>
      <w:r w:rsidRPr="008D4994">
        <w:rPr>
          <w:b/>
          <w:bCs/>
        </w:rPr>
        <w:t xml:space="preserve">ie ein Gutachten, in dem Sie sich mit den L gestellten Fragen auseinandersetzen. </w:t>
      </w:r>
    </w:p>
    <w:p w14:paraId="3B6166C5" w14:textId="77777777" w:rsidR="0001383E" w:rsidRDefault="0001383E">
      <w:pPr>
        <w:jc w:val="left"/>
        <w:rPr>
          <w:rFonts w:ascii="Calibri" w:eastAsiaTheme="majorEastAsia" w:hAnsi="Calibri" w:cstheme="majorBidi"/>
          <w:sz w:val="26"/>
          <w:szCs w:val="26"/>
        </w:rPr>
      </w:pPr>
      <w:r>
        <w:br w:type="page"/>
      </w:r>
    </w:p>
    <w:p w14:paraId="7C6D895A" w14:textId="5269AEBD" w:rsidR="00546A36" w:rsidRPr="00546A36" w:rsidRDefault="00546A36" w:rsidP="0001383E">
      <w:pPr>
        <w:pStyle w:val="berschrift3"/>
      </w:pPr>
      <w:r w:rsidRPr="00546A36">
        <w:t>Lösungsgliederung</w:t>
      </w:r>
    </w:p>
    <w:p w14:paraId="113B3C22" w14:textId="77777777" w:rsidR="00546A36" w:rsidRDefault="00546A36" w:rsidP="00546A36">
      <w:pPr>
        <w:pStyle w:val="Randnummer"/>
        <w:framePr w:wrap="around"/>
      </w:pPr>
    </w:p>
    <w:p w14:paraId="644055B7" w14:textId="1FC5C33F" w:rsidR="007537A8" w:rsidRDefault="00CA43AE">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"Fall9" </w:instrText>
      </w:r>
      <w:r>
        <w:rPr>
          <w:rFonts w:eastAsiaTheme="majorEastAsia"/>
        </w:rPr>
        <w:fldChar w:fldCharType="separate"/>
      </w:r>
      <w:hyperlink w:anchor="_Toc22133172" w:history="1">
        <w:r w:rsidR="007537A8" w:rsidRPr="00BF7122">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_Toc22133172 \h </w:instrText>
        </w:r>
        <w:r w:rsidR="007537A8">
          <w:rPr>
            <w:noProof/>
            <w:webHidden/>
          </w:rPr>
        </w:r>
        <w:r w:rsidR="007537A8">
          <w:rPr>
            <w:noProof/>
            <w:webHidden/>
          </w:rPr>
          <w:fldChar w:fldCharType="separate"/>
        </w:r>
        <w:r w:rsidR="007537A8">
          <w:rPr>
            <w:noProof/>
            <w:webHidden/>
          </w:rPr>
          <w:t>129</w:t>
        </w:r>
        <w:r w:rsidR="007537A8">
          <w:rPr>
            <w:noProof/>
            <w:webHidden/>
          </w:rPr>
          <w:fldChar w:fldCharType="end"/>
        </w:r>
      </w:hyperlink>
    </w:p>
    <w:p w14:paraId="13252CDE" w14:textId="16CA363C" w:rsidR="007537A8" w:rsidRDefault="00091FED">
      <w:pPr>
        <w:pStyle w:val="Verzeichnis4"/>
        <w:tabs>
          <w:tab w:val="right" w:leader="dot" w:pos="7361"/>
        </w:tabs>
        <w:rPr>
          <w:rFonts w:eastAsiaTheme="minorEastAsia"/>
          <w:noProof/>
          <w:sz w:val="22"/>
          <w:szCs w:val="22"/>
          <w:lang w:eastAsia="de-DE"/>
        </w:rPr>
      </w:pPr>
      <w:hyperlink w:anchor="_Toc22133173" w:history="1">
        <w:r w:rsidR="007537A8" w:rsidRPr="00BF7122">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_Toc22133173 \h </w:instrText>
        </w:r>
        <w:r w:rsidR="007537A8">
          <w:rPr>
            <w:noProof/>
            <w:webHidden/>
          </w:rPr>
        </w:r>
        <w:r w:rsidR="007537A8">
          <w:rPr>
            <w:noProof/>
            <w:webHidden/>
          </w:rPr>
          <w:fldChar w:fldCharType="separate"/>
        </w:r>
        <w:r w:rsidR="007537A8">
          <w:rPr>
            <w:noProof/>
            <w:webHidden/>
          </w:rPr>
          <w:t>129</w:t>
        </w:r>
        <w:r w:rsidR="007537A8">
          <w:rPr>
            <w:noProof/>
            <w:webHidden/>
          </w:rPr>
          <w:fldChar w:fldCharType="end"/>
        </w:r>
      </w:hyperlink>
    </w:p>
    <w:p w14:paraId="1436FCE5" w14:textId="10A77E33" w:rsidR="007537A8" w:rsidRDefault="00091FED">
      <w:pPr>
        <w:pStyle w:val="Verzeichnis5"/>
        <w:tabs>
          <w:tab w:val="right" w:leader="dot" w:pos="7361"/>
        </w:tabs>
        <w:rPr>
          <w:rFonts w:eastAsiaTheme="minorEastAsia"/>
          <w:noProof/>
          <w:sz w:val="22"/>
          <w:szCs w:val="22"/>
          <w:lang w:eastAsia="de-DE"/>
        </w:rPr>
      </w:pPr>
      <w:hyperlink w:anchor="_Toc22133174" w:history="1">
        <w:r w:rsidR="007537A8" w:rsidRPr="00BF7122">
          <w:rPr>
            <w:rStyle w:val="Hyperlink"/>
            <w:noProof/>
          </w:rPr>
          <w:t>I. Eröffnung des Verwaltungsrechtswegs</w:t>
        </w:r>
        <w:r w:rsidR="007537A8">
          <w:rPr>
            <w:noProof/>
            <w:webHidden/>
          </w:rPr>
          <w:tab/>
        </w:r>
        <w:r w:rsidR="007537A8">
          <w:rPr>
            <w:noProof/>
            <w:webHidden/>
          </w:rPr>
          <w:fldChar w:fldCharType="begin"/>
        </w:r>
        <w:r w:rsidR="007537A8">
          <w:rPr>
            <w:noProof/>
            <w:webHidden/>
          </w:rPr>
          <w:instrText xml:space="preserve"> PAGEREF _Toc22133174 \h </w:instrText>
        </w:r>
        <w:r w:rsidR="007537A8">
          <w:rPr>
            <w:noProof/>
            <w:webHidden/>
          </w:rPr>
        </w:r>
        <w:r w:rsidR="007537A8">
          <w:rPr>
            <w:noProof/>
            <w:webHidden/>
          </w:rPr>
          <w:fldChar w:fldCharType="separate"/>
        </w:r>
        <w:r w:rsidR="007537A8">
          <w:rPr>
            <w:noProof/>
            <w:webHidden/>
          </w:rPr>
          <w:t>129</w:t>
        </w:r>
        <w:r w:rsidR="007537A8">
          <w:rPr>
            <w:noProof/>
            <w:webHidden/>
          </w:rPr>
          <w:fldChar w:fldCharType="end"/>
        </w:r>
      </w:hyperlink>
    </w:p>
    <w:p w14:paraId="1C90922B" w14:textId="75AA70D7" w:rsidR="007537A8" w:rsidRDefault="00091FED">
      <w:pPr>
        <w:pStyle w:val="Verzeichnis5"/>
        <w:tabs>
          <w:tab w:val="right" w:leader="dot" w:pos="7361"/>
        </w:tabs>
        <w:rPr>
          <w:rFonts w:eastAsiaTheme="minorEastAsia"/>
          <w:noProof/>
          <w:sz w:val="22"/>
          <w:szCs w:val="22"/>
          <w:lang w:eastAsia="de-DE"/>
        </w:rPr>
      </w:pPr>
      <w:hyperlink w:anchor="_Toc22133175" w:history="1">
        <w:r w:rsidR="007537A8" w:rsidRPr="00BF7122">
          <w:rPr>
            <w:rStyle w:val="Hyperlink"/>
            <w:noProof/>
          </w:rPr>
          <w:t>II. Statthafte Klageart</w:t>
        </w:r>
        <w:r w:rsidR="007537A8">
          <w:rPr>
            <w:noProof/>
            <w:webHidden/>
          </w:rPr>
          <w:tab/>
        </w:r>
        <w:r w:rsidR="007537A8">
          <w:rPr>
            <w:noProof/>
            <w:webHidden/>
          </w:rPr>
          <w:fldChar w:fldCharType="begin"/>
        </w:r>
        <w:r w:rsidR="007537A8">
          <w:rPr>
            <w:noProof/>
            <w:webHidden/>
          </w:rPr>
          <w:instrText xml:space="preserve"> PAGEREF _Toc22133175 \h </w:instrText>
        </w:r>
        <w:r w:rsidR="007537A8">
          <w:rPr>
            <w:noProof/>
            <w:webHidden/>
          </w:rPr>
        </w:r>
        <w:r w:rsidR="007537A8">
          <w:rPr>
            <w:noProof/>
            <w:webHidden/>
          </w:rPr>
          <w:fldChar w:fldCharType="separate"/>
        </w:r>
        <w:r w:rsidR="007537A8">
          <w:rPr>
            <w:noProof/>
            <w:webHidden/>
          </w:rPr>
          <w:t>129</w:t>
        </w:r>
        <w:r w:rsidR="007537A8">
          <w:rPr>
            <w:noProof/>
            <w:webHidden/>
          </w:rPr>
          <w:fldChar w:fldCharType="end"/>
        </w:r>
      </w:hyperlink>
    </w:p>
    <w:p w14:paraId="71443F34" w14:textId="5C33A397" w:rsidR="007537A8" w:rsidRDefault="00091FED">
      <w:pPr>
        <w:pStyle w:val="Verzeichnis5"/>
        <w:tabs>
          <w:tab w:val="right" w:leader="dot" w:pos="7361"/>
        </w:tabs>
        <w:rPr>
          <w:rFonts w:eastAsiaTheme="minorEastAsia"/>
          <w:noProof/>
          <w:sz w:val="22"/>
          <w:szCs w:val="22"/>
          <w:lang w:eastAsia="de-DE"/>
        </w:rPr>
      </w:pPr>
      <w:hyperlink w:anchor="_Toc22133176" w:history="1">
        <w:r w:rsidR="007537A8" w:rsidRPr="00BF7122">
          <w:rPr>
            <w:rStyle w:val="Hyperlink"/>
            <w:noProof/>
          </w:rPr>
          <w:t>III. Klagebefugnis</w:t>
        </w:r>
        <w:r w:rsidR="007537A8">
          <w:rPr>
            <w:noProof/>
            <w:webHidden/>
          </w:rPr>
          <w:tab/>
        </w:r>
        <w:r w:rsidR="007537A8">
          <w:rPr>
            <w:noProof/>
            <w:webHidden/>
          </w:rPr>
          <w:fldChar w:fldCharType="begin"/>
        </w:r>
        <w:r w:rsidR="007537A8">
          <w:rPr>
            <w:noProof/>
            <w:webHidden/>
          </w:rPr>
          <w:instrText xml:space="preserve"> PAGEREF _Toc22133176 \h </w:instrText>
        </w:r>
        <w:r w:rsidR="007537A8">
          <w:rPr>
            <w:noProof/>
            <w:webHidden/>
          </w:rPr>
        </w:r>
        <w:r w:rsidR="007537A8">
          <w:rPr>
            <w:noProof/>
            <w:webHidden/>
          </w:rPr>
          <w:fldChar w:fldCharType="separate"/>
        </w:r>
        <w:r w:rsidR="007537A8">
          <w:rPr>
            <w:noProof/>
            <w:webHidden/>
          </w:rPr>
          <w:t>129</w:t>
        </w:r>
        <w:r w:rsidR="007537A8">
          <w:rPr>
            <w:noProof/>
            <w:webHidden/>
          </w:rPr>
          <w:fldChar w:fldCharType="end"/>
        </w:r>
      </w:hyperlink>
    </w:p>
    <w:p w14:paraId="6239A7F2" w14:textId="39974DD9" w:rsidR="007537A8" w:rsidRDefault="00091FED">
      <w:pPr>
        <w:pStyle w:val="Verzeichnis5"/>
        <w:tabs>
          <w:tab w:val="right" w:leader="dot" w:pos="7361"/>
        </w:tabs>
        <w:rPr>
          <w:rFonts w:eastAsiaTheme="minorEastAsia"/>
          <w:noProof/>
          <w:sz w:val="22"/>
          <w:szCs w:val="22"/>
          <w:lang w:eastAsia="de-DE"/>
        </w:rPr>
      </w:pPr>
      <w:hyperlink w:anchor="_Toc22133177" w:history="1">
        <w:r w:rsidR="007537A8" w:rsidRPr="00BF7122">
          <w:rPr>
            <w:rStyle w:val="Hyperlink"/>
            <w:noProof/>
          </w:rPr>
          <w:t>IV. Rechtsschutzbedürfnis</w:t>
        </w:r>
        <w:r w:rsidR="007537A8">
          <w:rPr>
            <w:noProof/>
            <w:webHidden/>
          </w:rPr>
          <w:tab/>
        </w:r>
        <w:r w:rsidR="007537A8">
          <w:rPr>
            <w:noProof/>
            <w:webHidden/>
          </w:rPr>
          <w:fldChar w:fldCharType="begin"/>
        </w:r>
        <w:r w:rsidR="007537A8">
          <w:rPr>
            <w:noProof/>
            <w:webHidden/>
          </w:rPr>
          <w:instrText xml:space="preserve"> PAGEREF _Toc22133177 \h </w:instrText>
        </w:r>
        <w:r w:rsidR="007537A8">
          <w:rPr>
            <w:noProof/>
            <w:webHidden/>
          </w:rPr>
        </w:r>
        <w:r w:rsidR="007537A8">
          <w:rPr>
            <w:noProof/>
            <w:webHidden/>
          </w:rPr>
          <w:fldChar w:fldCharType="separate"/>
        </w:r>
        <w:r w:rsidR="007537A8">
          <w:rPr>
            <w:noProof/>
            <w:webHidden/>
          </w:rPr>
          <w:t>129</w:t>
        </w:r>
        <w:r w:rsidR="007537A8">
          <w:rPr>
            <w:noProof/>
            <w:webHidden/>
          </w:rPr>
          <w:fldChar w:fldCharType="end"/>
        </w:r>
      </w:hyperlink>
    </w:p>
    <w:p w14:paraId="58ECEB12" w14:textId="1428F52D" w:rsidR="007537A8" w:rsidRDefault="00091FED">
      <w:pPr>
        <w:pStyle w:val="Verzeichnis5"/>
        <w:tabs>
          <w:tab w:val="right" w:leader="dot" w:pos="7361"/>
        </w:tabs>
        <w:rPr>
          <w:rFonts w:eastAsiaTheme="minorEastAsia"/>
          <w:noProof/>
          <w:sz w:val="22"/>
          <w:szCs w:val="22"/>
          <w:lang w:eastAsia="de-DE"/>
        </w:rPr>
      </w:pPr>
      <w:hyperlink w:anchor="_Toc22133178" w:history="1">
        <w:r w:rsidR="007537A8" w:rsidRPr="00BF7122">
          <w:rPr>
            <w:rStyle w:val="Hyperlink"/>
            <w:noProof/>
          </w:rPr>
          <w:t>V. Vorverfahren</w:t>
        </w:r>
        <w:r w:rsidR="007537A8">
          <w:rPr>
            <w:noProof/>
            <w:webHidden/>
          </w:rPr>
          <w:tab/>
        </w:r>
        <w:r w:rsidR="007537A8">
          <w:rPr>
            <w:noProof/>
            <w:webHidden/>
          </w:rPr>
          <w:fldChar w:fldCharType="begin"/>
        </w:r>
        <w:r w:rsidR="007537A8">
          <w:rPr>
            <w:noProof/>
            <w:webHidden/>
          </w:rPr>
          <w:instrText xml:space="preserve"> PAGEREF _Toc22133178 \h </w:instrText>
        </w:r>
        <w:r w:rsidR="007537A8">
          <w:rPr>
            <w:noProof/>
            <w:webHidden/>
          </w:rPr>
        </w:r>
        <w:r w:rsidR="007537A8">
          <w:rPr>
            <w:noProof/>
            <w:webHidden/>
          </w:rPr>
          <w:fldChar w:fldCharType="separate"/>
        </w:r>
        <w:r w:rsidR="007537A8">
          <w:rPr>
            <w:noProof/>
            <w:webHidden/>
          </w:rPr>
          <w:t>130</w:t>
        </w:r>
        <w:r w:rsidR="007537A8">
          <w:rPr>
            <w:noProof/>
            <w:webHidden/>
          </w:rPr>
          <w:fldChar w:fldCharType="end"/>
        </w:r>
      </w:hyperlink>
    </w:p>
    <w:p w14:paraId="1402EA8F" w14:textId="49FE3AA2" w:rsidR="007537A8" w:rsidRDefault="00091FED">
      <w:pPr>
        <w:pStyle w:val="Verzeichnis5"/>
        <w:tabs>
          <w:tab w:val="right" w:leader="dot" w:pos="7361"/>
        </w:tabs>
        <w:rPr>
          <w:rFonts w:eastAsiaTheme="minorEastAsia"/>
          <w:noProof/>
          <w:sz w:val="22"/>
          <w:szCs w:val="22"/>
          <w:lang w:eastAsia="de-DE"/>
        </w:rPr>
      </w:pPr>
      <w:hyperlink w:anchor="_Toc22133179" w:history="1">
        <w:r w:rsidR="007537A8" w:rsidRPr="00BF7122">
          <w:rPr>
            <w:rStyle w:val="Hyperlink"/>
            <w:noProof/>
          </w:rPr>
          <w:t>VI. Klagefrist</w:t>
        </w:r>
        <w:r w:rsidR="007537A8">
          <w:rPr>
            <w:noProof/>
            <w:webHidden/>
          </w:rPr>
          <w:tab/>
        </w:r>
        <w:r w:rsidR="007537A8">
          <w:rPr>
            <w:noProof/>
            <w:webHidden/>
          </w:rPr>
          <w:fldChar w:fldCharType="begin"/>
        </w:r>
        <w:r w:rsidR="007537A8">
          <w:rPr>
            <w:noProof/>
            <w:webHidden/>
          </w:rPr>
          <w:instrText xml:space="preserve"> PAGEREF _Toc22133179 \h </w:instrText>
        </w:r>
        <w:r w:rsidR="007537A8">
          <w:rPr>
            <w:noProof/>
            <w:webHidden/>
          </w:rPr>
        </w:r>
        <w:r w:rsidR="007537A8">
          <w:rPr>
            <w:noProof/>
            <w:webHidden/>
          </w:rPr>
          <w:fldChar w:fldCharType="separate"/>
        </w:r>
        <w:r w:rsidR="007537A8">
          <w:rPr>
            <w:noProof/>
            <w:webHidden/>
          </w:rPr>
          <w:t>130</w:t>
        </w:r>
        <w:r w:rsidR="007537A8">
          <w:rPr>
            <w:noProof/>
            <w:webHidden/>
          </w:rPr>
          <w:fldChar w:fldCharType="end"/>
        </w:r>
      </w:hyperlink>
    </w:p>
    <w:p w14:paraId="4EED1B55" w14:textId="299A8B8B" w:rsidR="007537A8" w:rsidRDefault="00091FED">
      <w:pPr>
        <w:pStyle w:val="Verzeichnis5"/>
        <w:tabs>
          <w:tab w:val="right" w:leader="dot" w:pos="7361"/>
        </w:tabs>
        <w:rPr>
          <w:rFonts w:eastAsiaTheme="minorEastAsia"/>
          <w:noProof/>
          <w:sz w:val="22"/>
          <w:szCs w:val="22"/>
          <w:lang w:eastAsia="de-DE"/>
        </w:rPr>
      </w:pPr>
      <w:hyperlink w:anchor="_Toc22133180" w:history="1">
        <w:r w:rsidR="007537A8" w:rsidRPr="00BF7122">
          <w:rPr>
            <w:rStyle w:val="Hyperlink"/>
            <w:noProof/>
          </w:rPr>
          <w:t>VII. Klagegegner</w:t>
        </w:r>
        <w:r w:rsidR="007537A8">
          <w:rPr>
            <w:noProof/>
            <w:webHidden/>
          </w:rPr>
          <w:tab/>
        </w:r>
        <w:r w:rsidR="007537A8">
          <w:rPr>
            <w:noProof/>
            <w:webHidden/>
          </w:rPr>
          <w:fldChar w:fldCharType="begin"/>
        </w:r>
        <w:r w:rsidR="007537A8">
          <w:rPr>
            <w:noProof/>
            <w:webHidden/>
          </w:rPr>
          <w:instrText xml:space="preserve"> PAGEREF _Toc22133180 \h </w:instrText>
        </w:r>
        <w:r w:rsidR="007537A8">
          <w:rPr>
            <w:noProof/>
            <w:webHidden/>
          </w:rPr>
        </w:r>
        <w:r w:rsidR="007537A8">
          <w:rPr>
            <w:noProof/>
            <w:webHidden/>
          </w:rPr>
          <w:fldChar w:fldCharType="separate"/>
        </w:r>
        <w:r w:rsidR="007537A8">
          <w:rPr>
            <w:noProof/>
            <w:webHidden/>
          </w:rPr>
          <w:t>130</w:t>
        </w:r>
        <w:r w:rsidR="007537A8">
          <w:rPr>
            <w:noProof/>
            <w:webHidden/>
          </w:rPr>
          <w:fldChar w:fldCharType="end"/>
        </w:r>
      </w:hyperlink>
    </w:p>
    <w:p w14:paraId="793E6C3C" w14:textId="2337EB33" w:rsidR="007537A8" w:rsidRDefault="00091FED">
      <w:pPr>
        <w:pStyle w:val="Verzeichnis5"/>
        <w:tabs>
          <w:tab w:val="right" w:leader="dot" w:pos="7361"/>
        </w:tabs>
        <w:rPr>
          <w:rFonts w:eastAsiaTheme="minorEastAsia"/>
          <w:noProof/>
          <w:sz w:val="22"/>
          <w:szCs w:val="22"/>
          <w:lang w:eastAsia="de-DE"/>
        </w:rPr>
      </w:pPr>
      <w:hyperlink w:anchor="_Toc22133181" w:history="1">
        <w:r w:rsidR="007537A8" w:rsidRPr="00BF7122">
          <w:rPr>
            <w:rStyle w:val="Hyperlink"/>
            <w:noProof/>
          </w:rPr>
          <w:t>VIII. Beteiligtenfähigkeit</w:t>
        </w:r>
        <w:r w:rsidR="007537A8">
          <w:rPr>
            <w:noProof/>
            <w:webHidden/>
          </w:rPr>
          <w:tab/>
        </w:r>
        <w:r w:rsidR="007537A8">
          <w:rPr>
            <w:noProof/>
            <w:webHidden/>
          </w:rPr>
          <w:fldChar w:fldCharType="begin"/>
        </w:r>
        <w:r w:rsidR="007537A8">
          <w:rPr>
            <w:noProof/>
            <w:webHidden/>
          </w:rPr>
          <w:instrText xml:space="preserve"> PAGEREF _Toc22133181 \h </w:instrText>
        </w:r>
        <w:r w:rsidR="007537A8">
          <w:rPr>
            <w:noProof/>
            <w:webHidden/>
          </w:rPr>
        </w:r>
        <w:r w:rsidR="007537A8">
          <w:rPr>
            <w:noProof/>
            <w:webHidden/>
          </w:rPr>
          <w:fldChar w:fldCharType="separate"/>
        </w:r>
        <w:r w:rsidR="007537A8">
          <w:rPr>
            <w:noProof/>
            <w:webHidden/>
          </w:rPr>
          <w:t>130</w:t>
        </w:r>
        <w:r w:rsidR="007537A8">
          <w:rPr>
            <w:noProof/>
            <w:webHidden/>
          </w:rPr>
          <w:fldChar w:fldCharType="end"/>
        </w:r>
      </w:hyperlink>
    </w:p>
    <w:p w14:paraId="6ACB2A43" w14:textId="25FE3BA9" w:rsidR="007537A8" w:rsidRDefault="00091FED">
      <w:pPr>
        <w:pStyle w:val="Verzeichnis4"/>
        <w:tabs>
          <w:tab w:val="right" w:leader="dot" w:pos="7361"/>
        </w:tabs>
        <w:rPr>
          <w:rFonts w:eastAsiaTheme="minorEastAsia"/>
          <w:noProof/>
          <w:sz w:val="22"/>
          <w:szCs w:val="22"/>
          <w:lang w:eastAsia="de-DE"/>
        </w:rPr>
      </w:pPr>
      <w:hyperlink w:anchor="_Toc22133182" w:history="1">
        <w:r w:rsidR="007537A8" w:rsidRPr="00BF7122">
          <w:rPr>
            <w:rStyle w:val="Hyperlink"/>
            <w:noProof/>
          </w:rPr>
          <w:t>B. Begründetheit der Klage</w:t>
        </w:r>
        <w:r w:rsidR="007537A8">
          <w:rPr>
            <w:noProof/>
            <w:webHidden/>
          </w:rPr>
          <w:tab/>
        </w:r>
        <w:r w:rsidR="007537A8">
          <w:rPr>
            <w:noProof/>
            <w:webHidden/>
          </w:rPr>
          <w:fldChar w:fldCharType="begin"/>
        </w:r>
        <w:r w:rsidR="007537A8">
          <w:rPr>
            <w:noProof/>
            <w:webHidden/>
          </w:rPr>
          <w:instrText xml:space="preserve"> PAGEREF _Toc22133182 \h </w:instrText>
        </w:r>
        <w:r w:rsidR="007537A8">
          <w:rPr>
            <w:noProof/>
            <w:webHidden/>
          </w:rPr>
        </w:r>
        <w:r w:rsidR="007537A8">
          <w:rPr>
            <w:noProof/>
            <w:webHidden/>
          </w:rPr>
          <w:fldChar w:fldCharType="separate"/>
        </w:r>
        <w:r w:rsidR="007537A8">
          <w:rPr>
            <w:noProof/>
            <w:webHidden/>
          </w:rPr>
          <w:t>130</w:t>
        </w:r>
        <w:r w:rsidR="007537A8">
          <w:rPr>
            <w:noProof/>
            <w:webHidden/>
          </w:rPr>
          <w:fldChar w:fldCharType="end"/>
        </w:r>
      </w:hyperlink>
    </w:p>
    <w:p w14:paraId="0F213EE9" w14:textId="55B9EE7E" w:rsidR="007537A8" w:rsidRDefault="00091FED">
      <w:pPr>
        <w:pStyle w:val="Verzeichnis5"/>
        <w:tabs>
          <w:tab w:val="right" w:leader="dot" w:pos="7361"/>
        </w:tabs>
        <w:rPr>
          <w:rFonts w:eastAsiaTheme="minorEastAsia"/>
          <w:noProof/>
          <w:sz w:val="22"/>
          <w:szCs w:val="22"/>
          <w:lang w:eastAsia="de-DE"/>
        </w:rPr>
      </w:pPr>
      <w:hyperlink w:anchor="_Toc22133183" w:history="1">
        <w:r w:rsidR="007537A8" w:rsidRPr="00BF7122">
          <w:rPr>
            <w:rStyle w:val="Hyperlink"/>
            <w:noProof/>
          </w:rPr>
          <w:t>I. Öffentlich-rechtlicher Erstattungsanspruch auf Rückzahlung von 5.000 € (aus Vertrag 1)</w:t>
        </w:r>
        <w:r w:rsidR="007537A8">
          <w:rPr>
            <w:noProof/>
            <w:webHidden/>
          </w:rPr>
          <w:tab/>
        </w:r>
        <w:r w:rsidR="007537A8">
          <w:rPr>
            <w:noProof/>
            <w:webHidden/>
          </w:rPr>
          <w:fldChar w:fldCharType="begin"/>
        </w:r>
        <w:r w:rsidR="007537A8">
          <w:rPr>
            <w:noProof/>
            <w:webHidden/>
          </w:rPr>
          <w:instrText xml:space="preserve"> PAGEREF _Toc22133183 \h </w:instrText>
        </w:r>
        <w:r w:rsidR="007537A8">
          <w:rPr>
            <w:noProof/>
            <w:webHidden/>
          </w:rPr>
        </w:r>
        <w:r w:rsidR="007537A8">
          <w:rPr>
            <w:noProof/>
            <w:webHidden/>
          </w:rPr>
          <w:fldChar w:fldCharType="separate"/>
        </w:r>
        <w:r w:rsidR="007537A8">
          <w:rPr>
            <w:noProof/>
            <w:webHidden/>
          </w:rPr>
          <w:t>131</w:t>
        </w:r>
        <w:r w:rsidR="007537A8">
          <w:rPr>
            <w:noProof/>
            <w:webHidden/>
          </w:rPr>
          <w:fldChar w:fldCharType="end"/>
        </w:r>
      </w:hyperlink>
    </w:p>
    <w:p w14:paraId="097719C9" w14:textId="4A455859" w:rsidR="007537A8" w:rsidRDefault="00091FED">
      <w:pPr>
        <w:pStyle w:val="Verzeichnis6"/>
        <w:tabs>
          <w:tab w:val="right" w:leader="dot" w:pos="7361"/>
        </w:tabs>
        <w:rPr>
          <w:noProof/>
          <w:sz w:val="22"/>
          <w:szCs w:val="22"/>
          <w:lang w:eastAsia="de-DE"/>
        </w:rPr>
      </w:pPr>
      <w:hyperlink w:anchor="_Toc22133184" w:history="1">
        <w:r w:rsidR="007537A8" w:rsidRPr="00BF7122">
          <w:rPr>
            <w:rStyle w:val="Hyperlink"/>
            <w:noProof/>
          </w:rPr>
          <w:t>1. Öffentlich-rechtlicher Charakter des Erstattungsanspruchs</w:t>
        </w:r>
        <w:r w:rsidR="007537A8">
          <w:rPr>
            <w:noProof/>
            <w:webHidden/>
          </w:rPr>
          <w:tab/>
        </w:r>
        <w:r w:rsidR="007537A8">
          <w:rPr>
            <w:noProof/>
            <w:webHidden/>
          </w:rPr>
          <w:fldChar w:fldCharType="begin"/>
        </w:r>
        <w:r w:rsidR="007537A8">
          <w:rPr>
            <w:noProof/>
            <w:webHidden/>
          </w:rPr>
          <w:instrText xml:space="preserve"> PAGEREF _Toc22133184 \h </w:instrText>
        </w:r>
        <w:r w:rsidR="007537A8">
          <w:rPr>
            <w:noProof/>
            <w:webHidden/>
          </w:rPr>
        </w:r>
        <w:r w:rsidR="007537A8">
          <w:rPr>
            <w:noProof/>
            <w:webHidden/>
          </w:rPr>
          <w:fldChar w:fldCharType="separate"/>
        </w:r>
        <w:r w:rsidR="007537A8">
          <w:rPr>
            <w:noProof/>
            <w:webHidden/>
          </w:rPr>
          <w:t>131</w:t>
        </w:r>
        <w:r w:rsidR="007537A8">
          <w:rPr>
            <w:noProof/>
            <w:webHidden/>
          </w:rPr>
          <w:fldChar w:fldCharType="end"/>
        </w:r>
      </w:hyperlink>
    </w:p>
    <w:p w14:paraId="3924DCC8" w14:textId="041CF83E" w:rsidR="007537A8" w:rsidRDefault="00091FED">
      <w:pPr>
        <w:pStyle w:val="Verzeichnis6"/>
        <w:tabs>
          <w:tab w:val="right" w:leader="dot" w:pos="7361"/>
        </w:tabs>
        <w:rPr>
          <w:noProof/>
          <w:sz w:val="22"/>
          <w:szCs w:val="22"/>
          <w:lang w:eastAsia="de-DE"/>
        </w:rPr>
      </w:pPr>
      <w:hyperlink w:anchor="_Toc22133185" w:history="1">
        <w:r w:rsidR="007537A8" w:rsidRPr="00BF7122">
          <w:rPr>
            <w:rStyle w:val="Hyperlink"/>
            <w:noProof/>
          </w:rPr>
          <w:t>2. Vermögensverschiebung</w:t>
        </w:r>
        <w:r w:rsidR="007537A8">
          <w:rPr>
            <w:noProof/>
            <w:webHidden/>
          </w:rPr>
          <w:tab/>
        </w:r>
        <w:r w:rsidR="007537A8">
          <w:rPr>
            <w:noProof/>
            <w:webHidden/>
          </w:rPr>
          <w:fldChar w:fldCharType="begin"/>
        </w:r>
        <w:r w:rsidR="007537A8">
          <w:rPr>
            <w:noProof/>
            <w:webHidden/>
          </w:rPr>
          <w:instrText xml:space="preserve"> PAGEREF _Toc22133185 \h </w:instrText>
        </w:r>
        <w:r w:rsidR="007537A8">
          <w:rPr>
            <w:noProof/>
            <w:webHidden/>
          </w:rPr>
        </w:r>
        <w:r w:rsidR="007537A8">
          <w:rPr>
            <w:noProof/>
            <w:webHidden/>
          </w:rPr>
          <w:fldChar w:fldCharType="separate"/>
        </w:r>
        <w:r w:rsidR="007537A8">
          <w:rPr>
            <w:noProof/>
            <w:webHidden/>
          </w:rPr>
          <w:t>131</w:t>
        </w:r>
        <w:r w:rsidR="007537A8">
          <w:rPr>
            <w:noProof/>
            <w:webHidden/>
          </w:rPr>
          <w:fldChar w:fldCharType="end"/>
        </w:r>
      </w:hyperlink>
    </w:p>
    <w:p w14:paraId="5636B74D" w14:textId="26E08D7D" w:rsidR="007537A8" w:rsidRDefault="00091FED">
      <w:pPr>
        <w:pStyle w:val="Verzeichnis6"/>
        <w:tabs>
          <w:tab w:val="right" w:leader="dot" w:pos="7361"/>
        </w:tabs>
        <w:rPr>
          <w:noProof/>
          <w:sz w:val="22"/>
          <w:szCs w:val="22"/>
          <w:lang w:eastAsia="de-DE"/>
        </w:rPr>
      </w:pPr>
      <w:hyperlink w:anchor="_Toc22133186" w:history="1">
        <w:r w:rsidR="007537A8" w:rsidRPr="00BF7122">
          <w:rPr>
            <w:rStyle w:val="Hyperlink"/>
            <w:noProof/>
          </w:rPr>
          <w:t>3. Rechtsgrundlosigkeit der Vermögensverschiebung</w:t>
        </w:r>
        <w:r w:rsidR="007537A8">
          <w:rPr>
            <w:noProof/>
            <w:webHidden/>
          </w:rPr>
          <w:tab/>
        </w:r>
        <w:r w:rsidR="007537A8">
          <w:rPr>
            <w:noProof/>
            <w:webHidden/>
          </w:rPr>
          <w:fldChar w:fldCharType="begin"/>
        </w:r>
        <w:r w:rsidR="007537A8">
          <w:rPr>
            <w:noProof/>
            <w:webHidden/>
          </w:rPr>
          <w:instrText xml:space="preserve"> PAGEREF _Toc22133186 \h </w:instrText>
        </w:r>
        <w:r w:rsidR="007537A8">
          <w:rPr>
            <w:noProof/>
            <w:webHidden/>
          </w:rPr>
        </w:r>
        <w:r w:rsidR="007537A8">
          <w:rPr>
            <w:noProof/>
            <w:webHidden/>
          </w:rPr>
          <w:fldChar w:fldCharType="separate"/>
        </w:r>
        <w:r w:rsidR="007537A8">
          <w:rPr>
            <w:noProof/>
            <w:webHidden/>
          </w:rPr>
          <w:t>132</w:t>
        </w:r>
        <w:r w:rsidR="007537A8">
          <w:rPr>
            <w:noProof/>
            <w:webHidden/>
          </w:rPr>
          <w:fldChar w:fldCharType="end"/>
        </w:r>
      </w:hyperlink>
    </w:p>
    <w:p w14:paraId="0C22EC3A" w14:textId="34AF2FE4" w:rsidR="007537A8" w:rsidRDefault="00091FED">
      <w:pPr>
        <w:pStyle w:val="Verzeichnis7"/>
        <w:tabs>
          <w:tab w:val="right" w:leader="dot" w:pos="7361"/>
        </w:tabs>
        <w:rPr>
          <w:noProof/>
          <w:sz w:val="22"/>
          <w:szCs w:val="22"/>
          <w:lang w:eastAsia="de-DE"/>
        </w:rPr>
      </w:pPr>
      <w:hyperlink w:anchor="_Toc22133187" w:history="1">
        <w:r w:rsidR="007537A8" w:rsidRPr="00BF7122">
          <w:rPr>
            <w:rStyle w:val="Hyperlink"/>
            <w:bCs/>
            <w:noProof/>
          </w:rPr>
          <w:t xml:space="preserve">a) </w:t>
        </w:r>
        <w:r w:rsidR="007537A8" w:rsidRPr="00BF7122">
          <w:rPr>
            <w:rStyle w:val="Hyperlink"/>
            <w:noProof/>
          </w:rPr>
          <w:t>Vertragsschluss</w:t>
        </w:r>
        <w:r w:rsidR="007537A8">
          <w:rPr>
            <w:noProof/>
            <w:webHidden/>
          </w:rPr>
          <w:tab/>
        </w:r>
        <w:r w:rsidR="007537A8">
          <w:rPr>
            <w:noProof/>
            <w:webHidden/>
          </w:rPr>
          <w:fldChar w:fldCharType="begin"/>
        </w:r>
        <w:r w:rsidR="007537A8">
          <w:rPr>
            <w:noProof/>
            <w:webHidden/>
          </w:rPr>
          <w:instrText xml:space="preserve"> PAGEREF _Toc22133187 \h </w:instrText>
        </w:r>
        <w:r w:rsidR="007537A8">
          <w:rPr>
            <w:noProof/>
            <w:webHidden/>
          </w:rPr>
        </w:r>
        <w:r w:rsidR="007537A8">
          <w:rPr>
            <w:noProof/>
            <w:webHidden/>
          </w:rPr>
          <w:fldChar w:fldCharType="separate"/>
        </w:r>
        <w:r w:rsidR="007537A8">
          <w:rPr>
            <w:noProof/>
            <w:webHidden/>
          </w:rPr>
          <w:t>132</w:t>
        </w:r>
        <w:r w:rsidR="007537A8">
          <w:rPr>
            <w:noProof/>
            <w:webHidden/>
          </w:rPr>
          <w:fldChar w:fldCharType="end"/>
        </w:r>
      </w:hyperlink>
    </w:p>
    <w:p w14:paraId="32CD2C16" w14:textId="0C6740B3" w:rsidR="007537A8" w:rsidRDefault="00091FED">
      <w:pPr>
        <w:pStyle w:val="Verzeichnis7"/>
        <w:tabs>
          <w:tab w:val="right" w:leader="dot" w:pos="7361"/>
        </w:tabs>
        <w:rPr>
          <w:noProof/>
          <w:sz w:val="22"/>
          <w:szCs w:val="22"/>
          <w:lang w:eastAsia="de-DE"/>
        </w:rPr>
      </w:pPr>
      <w:hyperlink w:anchor="_Toc22133188" w:history="1">
        <w:r w:rsidR="007537A8" w:rsidRPr="00BF7122">
          <w:rPr>
            <w:rStyle w:val="Hyperlink"/>
            <w:noProof/>
          </w:rPr>
          <w:t>b) Vertragsformverbot (§ 54 1 VwVfG)</w:t>
        </w:r>
        <w:r w:rsidR="007537A8">
          <w:rPr>
            <w:noProof/>
            <w:webHidden/>
          </w:rPr>
          <w:tab/>
        </w:r>
        <w:r w:rsidR="007537A8">
          <w:rPr>
            <w:noProof/>
            <w:webHidden/>
          </w:rPr>
          <w:fldChar w:fldCharType="begin"/>
        </w:r>
        <w:r w:rsidR="007537A8">
          <w:rPr>
            <w:noProof/>
            <w:webHidden/>
          </w:rPr>
          <w:instrText xml:space="preserve"> PAGEREF _Toc22133188 \h </w:instrText>
        </w:r>
        <w:r w:rsidR="007537A8">
          <w:rPr>
            <w:noProof/>
            <w:webHidden/>
          </w:rPr>
        </w:r>
        <w:r w:rsidR="007537A8">
          <w:rPr>
            <w:noProof/>
            <w:webHidden/>
          </w:rPr>
          <w:fldChar w:fldCharType="separate"/>
        </w:r>
        <w:r w:rsidR="007537A8">
          <w:rPr>
            <w:noProof/>
            <w:webHidden/>
          </w:rPr>
          <w:t>132</w:t>
        </w:r>
        <w:r w:rsidR="007537A8">
          <w:rPr>
            <w:noProof/>
            <w:webHidden/>
          </w:rPr>
          <w:fldChar w:fldCharType="end"/>
        </w:r>
      </w:hyperlink>
    </w:p>
    <w:p w14:paraId="0421189E" w14:textId="61FE86C4" w:rsidR="007537A8" w:rsidRDefault="00091FED">
      <w:pPr>
        <w:pStyle w:val="Verzeichnis7"/>
        <w:tabs>
          <w:tab w:val="right" w:leader="dot" w:pos="7361"/>
        </w:tabs>
        <w:rPr>
          <w:noProof/>
          <w:sz w:val="22"/>
          <w:szCs w:val="22"/>
          <w:lang w:eastAsia="de-DE"/>
        </w:rPr>
      </w:pPr>
      <w:hyperlink w:anchor="_Toc22133189" w:history="1">
        <w:r w:rsidR="007537A8" w:rsidRPr="00BF7122">
          <w:rPr>
            <w:rStyle w:val="Hyperlink"/>
            <w:noProof/>
          </w:rPr>
          <w:t>c) Charakter des Vertrags – subordinationsrechtlicher Vertrag i.S.d. §§ 59 II, 54 S. 2 VwVfG</w:t>
        </w:r>
        <w:r w:rsidR="007537A8">
          <w:rPr>
            <w:noProof/>
            <w:webHidden/>
          </w:rPr>
          <w:tab/>
        </w:r>
        <w:r w:rsidR="007537A8">
          <w:rPr>
            <w:noProof/>
            <w:webHidden/>
          </w:rPr>
          <w:fldChar w:fldCharType="begin"/>
        </w:r>
        <w:r w:rsidR="007537A8">
          <w:rPr>
            <w:noProof/>
            <w:webHidden/>
          </w:rPr>
          <w:instrText xml:space="preserve"> PAGEREF _Toc22133189 \h </w:instrText>
        </w:r>
        <w:r w:rsidR="007537A8">
          <w:rPr>
            <w:noProof/>
            <w:webHidden/>
          </w:rPr>
        </w:r>
        <w:r w:rsidR="007537A8">
          <w:rPr>
            <w:noProof/>
            <w:webHidden/>
          </w:rPr>
          <w:fldChar w:fldCharType="separate"/>
        </w:r>
        <w:r w:rsidR="007537A8">
          <w:rPr>
            <w:noProof/>
            <w:webHidden/>
          </w:rPr>
          <w:t>133</w:t>
        </w:r>
        <w:r w:rsidR="007537A8">
          <w:rPr>
            <w:noProof/>
            <w:webHidden/>
          </w:rPr>
          <w:fldChar w:fldCharType="end"/>
        </w:r>
      </w:hyperlink>
    </w:p>
    <w:p w14:paraId="04BA29F6" w14:textId="59F3A21D" w:rsidR="007537A8" w:rsidRDefault="00091FED">
      <w:pPr>
        <w:pStyle w:val="Verzeichnis7"/>
        <w:tabs>
          <w:tab w:val="right" w:leader="dot" w:pos="7361"/>
        </w:tabs>
        <w:rPr>
          <w:noProof/>
          <w:sz w:val="22"/>
          <w:szCs w:val="22"/>
          <w:lang w:eastAsia="de-DE"/>
        </w:rPr>
      </w:pPr>
      <w:hyperlink w:anchor="_Toc22133190" w:history="1">
        <w:r w:rsidR="007537A8" w:rsidRPr="00BF7122">
          <w:rPr>
            <w:rStyle w:val="Hyperlink"/>
            <w:noProof/>
          </w:rPr>
          <w:t>d) Austauschvertrag nach §§ 59 II Nr. 4, 56 VwVfG</w:t>
        </w:r>
        <w:r w:rsidR="007537A8">
          <w:rPr>
            <w:noProof/>
            <w:webHidden/>
          </w:rPr>
          <w:tab/>
        </w:r>
        <w:r w:rsidR="007537A8">
          <w:rPr>
            <w:noProof/>
            <w:webHidden/>
          </w:rPr>
          <w:fldChar w:fldCharType="begin"/>
        </w:r>
        <w:r w:rsidR="007537A8">
          <w:rPr>
            <w:noProof/>
            <w:webHidden/>
          </w:rPr>
          <w:instrText xml:space="preserve"> PAGEREF _Toc22133190 \h </w:instrText>
        </w:r>
        <w:r w:rsidR="007537A8">
          <w:rPr>
            <w:noProof/>
            <w:webHidden/>
          </w:rPr>
        </w:r>
        <w:r w:rsidR="007537A8">
          <w:rPr>
            <w:noProof/>
            <w:webHidden/>
          </w:rPr>
          <w:fldChar w:fldCharType="separate"/>
        </w:r>
        <w:r w:rsidR="007537A8">
          <w:rPr>
            <w:noProof/>
            <w:webHidden/>
          </w:rPr>
          <w:t>133</w:t>
        </w:r>
        <w:r w:rsidR="007537A8">
          <w:rPr>
            <w:noProof/>
            <w:webHidden/>
          </w:rPr>
          <w:fldChar w:fldCharType="end"/>
        </w:r>
      </w:hyperlink>
    </w:p>
    <w:p w14:paraId="74E87D8F" w14:textId="09FDC8C2" w:rsidR="007537A8" w:rsidRDefault="00091FED">
      <w:pPr>
        <w:pStyle w:val="Verzeichnis7"/>
        <w:tabs>
          <w:tab w:val="right" w:leader="dot" w:pos="7361"/>
        </w:tabs>
        <w:rPr>
          <w:noProof/>
          <w:sz w:val="22"/>
          <w:szCs w:val="22"/>
          <w:lang w:eastAsia="de-DE"/>
        </w:rPr>
      </w:pPr>
      <w:hyperlink w:anchor="_Toc22133191" w:history="1">
        <w:r w:rsidR="007537A8" w:rsidRPr="00BF7122">
          <w:rPr>
            <w:rStyle w:val="Hyperlink"/>
            <w:noProof/>
          </w:rPr>
          <w:t>e) Verstoß gegen Koppelungsverbot § 56 VwVfG</w:t>
        </w:r>
        <w:r w:rsidR="007537A8">
          <w:rPr>
            <w:noProof/>
            <w:webHidden/>
          </w:rPr>
          <w:tab/>
        </w:r>
        <w:r w:rsidR="007537A8">
          <w:rPr>
            <w:noProof/>
            <w:webHidden/>
          </w:rPr>
          <w:fldChar w:fldCharType="begin"/>
        </w:r>
        <w:r w:rsidR="007537A8">
          <w:rPr>
            <w:noProof/>
            <w:webHidden/>
          </w:rPr>
          <w:instrText xml:space="preserve"> PAGEREF _Toc22133191 \h </w:instrText>
        </w:r>
        <w:r w:rsidR="007537A8">
          <w:rPr>
            <w:noProof/>
            <w:webHidden/>
          </w:rPr>
        </w:r>
        <w:r w:rsidR="007537A8">
          <w:rPr>
            <w:noProof/>
            <w:webHidden/>
          </w:rPr>
          <w:fldChar w:fldCharType="separate"/>
        </w:r>
        <w:r w:rsidR="007537A8">
          <w:rPr>
            <w:noProof/>
            <w:webHidden/>
          </w:rPr>
          <w:t>134</w:t>
        </w:r>
        <w:r w:rsidR="007537A8">
          <w:rPr>
            <w:noProof/>
            <w:webHidden/>
          </w:rPr>
          <w:fldChar w:fldCharType="end"/>
        </w:r>
      </w:hyperlink>
    </w:p>
    <w:p w14:paraId="1625C3D3" w14:textId="34148C2D" w:rsidR="007537A8" w:rsidRDefault="00091FED">
      <w:pPr>
        <w:pStyle w:val="Verzeichnis6"/>
        <w:tabs>
          <w:tab w:val="right" w:leader="dot" w:pos="7361"/>
        </w:tabs>
        <w:rPr>
          <w:noProof/>
          <w:sz w:val="22"/>
          <w:szCs w:val="22"/>
          <w:lang w:eastAsia="de-DE"/>
        </w:rPr>
      </w:pPr>
      <w:hyperlink w:anchor="_Toc22133192" w:history="1">
        <w:r w:rsidR="007537A8" w:rsidRPr="00BF7122">
          <w:rPr>
            <w:rStyle w:val="Hyperlink"/>
            <w:noProof/>
          </w:rPr>
          <w:t>4. Zwischenergebnis</w:t>
        </w:r>
        <w:r w:rsidR="007537A8">
          <w:rPr>
            <w:noProof/>
            <w:webHidden/>
          </w:rPr>
          <w:tab/>
        </w:r>
        <w:r w:rsidR="007537A8">
          <w:rPr>
            <w:noProof/>
            <w:webHidden/>
          </w:rPr>
          <w:fldChar w:fldCharType="begin"/>
        </w:r>
        <w:r w:rsidR="007537A8">
          <w:rPr>
            <w:noProof/>
            <w:webHidden/>
          </w:rPr>
          <w:instrText xml:space="preserve"> PAGEREF _Toc22133192 \h </w:instrText>
        </w:r>
        <w:r w:rsidR="007537A8">
          <w:rPr>
            <w:noProof/>
            <w:webHidden/>
          </w:rPr>
        </w:r>
        <w:r w:rsidR="007537A8">
          <w:rPr>
            <w:noProof/>
            <w:webHidden/>
          </w:rPr>
          <w:fldChar w:fldCharType="separate"/>
        </w:r>
        <w:r w:rsidR="007537A8">
          <w:rPr>
            <w:noProof/>
            <w:webHidden/>
          </w:rPr>
          <w:t>134</w:t>
        </w:r>
        <w:r w:rsidR="007537A8">
          <w:rPr>
            <w:noProof/>
            <w:webHidden/>
          </w:rPr>
          <w:fldChar w:fldCharType="end"/>
        </w:r>
      </w:hyperlink>
    </w:p>
    <w:p w14:paraId="41D62648" w14:textId="2B1078E6" w:rsidR="007537A8" w:rsidRDefault="00091FED">
      <w:pPr>
        <w:pStyle w:val="Verzeichnis5"/>
        <w:tabs>
          <w:tab w:val="right" w:leader="dot" w:pos="7361"/>
        </w:tabs>
        <w:rPr>
          <w:rFonts w:eastAsiaTheme="minorEastAsia"/>
          <w:noProof/>
          <w:sz w:val="22"/>
          <w:szCs w:val="22"/>
          <w:lang w:eastAsia="de-DE"/>
        </w:rPr>
      </w:pPr>
      <w:hyperlink w:anchor="_Toc22133193" w:history="1">
        <w:r w:rsidR="007537A8" w:rsidRPr="00BF7122">
          <w:rPr>
            <w:rStyle w:val="Hyperlink"/>
            <w:noProof/>
          </w:rPr>
          <w:t>II. Öffentlich-rechtlicher Erstattungsanspruch auf Rückzahlung von 10.000 € (aus Vereinbarung 2)</w:t>
        </w:r>
        <w:r w:rsidR="007537A8">
          <w:rPr>
            <w:noProof/>
            <w:webHidden/>
          </w:rPr>
          <w:tab/>
        </w:r>
        <w:r w:rsidR="007537A8">
          <w:rPr>
            <w:noProof/>
            <w:webHidden/>
          </w:rPr>
          <w:fldChar w:fldCharType="begin"/>
        </w:r>
        <w:r w:rsidR="007537A8">
          <w:rPr>
            <w:noProof/>
            <w:webHidden/>
          </w:rPr>
          <w:instrText xml:space="preserve"> PAGEREF _Toc22133193 \h </w:instrText>
        </w:r>
        <w:r w:rsidR="007537A8">
          <w:rPr>
            <w:noProof/>
            <w:webHidden/>
          </w:rPr>
        </w:r>
        <w:r w:rsidR="007537A8">
          <w:rPr>
            <w:noProof/>
            <w:webHidden/>
          </w:rPr>
          <w:fldChar w:fldCharType="separate"/>
        </w:r>
        <w:r w:rsidR="007537A8">
          <w:rPr>
            <w:noProof/>
            <w:webHidden/>
          </w:rPr>
          <w:t>134</w:t>
        </w:r>
        <w:r w:rsidR="007537A8">
          <w:rPr>
            <w:noProof/>
            <w:webHidden/>
          </w:rPr>
          <w:fldChar w:fldCharType="end"/>
        </w:r>
      </w:hyperlink>
    </w:p>
    <w:p w14:paraId="4F876D93" w14:textId="18105F51" w:rsidR="007537A8" w:rsidRDefault="00091FED">
      <w:pPr>
        <w:pStyle w:val="Verzeichnis6"/>
        <w:tabs>
          <w:tab w:val="right" w:leader="dot" w:pos="7361"/>
        </w:tabs>
        <w:rPr>
          <w:noProof/>
          <w:sz w:val="22"/>
          <w:szCs w:val="22"/>
          <w:lang w:eastAsia="de-DE"/>
        </w:rPr>
      </w:pPr>
      <w:hyperlink w:anchor="_Toc22133194" w:history="1">
        <w:r w:rsidR="007537A8" w:rsidRPr="00BF7122">
          <w:rPr>
            <w:rStyle w:val="Hyperlink"/>
            <w:noProof/>
          </w:rPr>
          <w:t>1. Öffentlich-rechtlicher Charakter des Rechtsverhältnisses und Vermögensverschiebung</w:t>
        </w:r>
        <w:r w:rsidR="007537A8">
          <w:rPr>
            <w:noProof/>
            <w:webHidden/>
          </w:rPr>
          <w:tab/>
        </w:r>
        <w:r w:rsidR="007537A8">
          <w:rPr>
            <w:noProof/>
            <w:webHidden/>
          </w:rPr>
          <w:fldChar w:fldCharType="begin"/>
        </w:r>
        <w:r w:rsidR="007537A8">
          <w:rPr>
            <w:noProof/>
            <w:webHidden/>
          </w:rPr>
          <w:instrText xml:space="preserve"> PAGEREF _Toc22133194 \h </w:instrText>
        </w:r>
        <w:r w:rsidR="007537A8">
          <w:rPr>
            <w:noProof/>
            <w:webHidden/>
          </w:rPr>
        </w:r>
        <w:r w:rsidR="007537A8">
          <w:rPr>
            <w:noProof/>
            <w:webHidden/>
          </w:rPr>
          <w:fldChar w:fldCharType="separate"/>
        </w:r>
        <w:r w:rsidR="007537A8">
          <w:rPr>
            <w:noProof/>
            <w:webHidden/>
          </w:rPr>
          <w:t>135</w:t>
        </w:r>
        <w:r w:rsidR="007537A8">
          <w:rPr>
            <w:noProof/>
            <w:webHidden/>
          </w:rPr>
          <w:fldChar w:fldCharType="end"/>
        </w:r>
      </w:hyperlink>
    </w:p>
    <w:p w14:paraId="19837CF1" w14:textId="3FAA40A2" w:rsidR="007537A8" w:rsidRDefault="00091FED">
      <w:pPr>
        <w:pStyle w:val="Verzeichnis6"/>
        <w:tabs>
          <w:tab w:val="right" w:leader="dot" w:pos="7361"/>
        </w:tabs>
        <w:rPr>
          <w:noProof/>
          <w:sz w:val="22"/>
          <w:szCs w:val="22"/>
          <w:lang w:eastAsia="de-DE"/>
        </w:rPr>
      </w:pPr>
      <w:hyperlink w:anchor="_Toc22133195" w:history="1">
        <w:r w:rsidR="007537A8" w:rsidRPr="00BF7122">
          <w:rPr>
            <w:rStyle w:val="Hyperlink"/>
            <w:noProof/>
          </w:rPr>
          <w:t>2. Ohne Rechtsgrund</w:t>
        </w:r>
        <w:r w:rsidR="007537A8">
          <w:rPr>
            <w:noProof/>
            <w:webHidden/>
          </w:rPr>
          <w:tab/>
        </w:r>
        <w:r w:rsidR="007537A8">
          <w:rPr>
            <w:noProof/>
            <w:webHidden/>
          </w:rPr>
          <w:fldChar w:fldCharType="begin"/>
        </w:r>
        <w:r w:rsidR="007537A8">
          <w:rPr>
            <w:noProof/>
            <w:webHidden/>
          </w:rPr>
          <w:instrText xml:space="preserve"> PAGEREF _Toc22133195 \h </w:instrText>
        </w:r>
        <w:r w:rsidR="007537A8">
          <w:rPr>
            <w:noProof/>
            <w:webHidden/>
          </w:rPr>
        </w:r>
        <w:r w:rsidR="007537A8">
          <w:rPr>
            <w:noProof/>
            <w:webHidden/>
          </w:rPr>
          <w:fldChar w:fldCharType="separate"/>
        </w:r>
        <w:r w:rsidR="007537A8">
          <w:rPr>
            <w:noProof/>
            <w:webHidden/>
          </w:rPr>
          <w:t>135</w:t>
        </w:r>
        <w:r w:rsidR="007537A8">
          <w:rPr>
            <w:noProof/>
            <w:webHidden/>
          </w:rPr>
          <w:fldChar w:fldCharType="end"/>
        </w:r>
      </w:hyperlink>
    </w:p>
    <w:p w14:paraId="645CE98A" w14:textId="176DA063" w:rsidR="007537A8" w:rsidRDefault="00091FED">
      <w:pPr>
        <w:pStyle w:val="Verzeichnis7"/>
        <w:tabs>
          <w:tab w:val="right" w:leader="dot" w:pos="7361"/>
        </w:tabs>
        <w:rPr>
          <w:noProof/>
          <w:sz w:val="22"/>
          <w:szCs w:val="22"/>
          <w:lang w:eastAsia="de-DE"/>
        </w:rPr>
      </w:pPr>
      <w:hyperlink w:anchor="_Toc22133196" w:history="1">
        <w:r w:rsidR="007537A8" w:rsidRPr="00BF7122">
          <w:rPr>
            <w:rStyle w:val="Hyperlink"/>
            <w:bCs/>
            <w:noProof/>
          </w:rPr>
          <w:t xml:space="preserve">a) </w:t>
        </w:r>
        <w:r w:rsidR="007537A8" w:rsidRPr="00BF7122">
          <w:rPr>
            <w:rStyle w:val="Hyperlink"/>
            <w:noProof/>
          </w:rPr>
          <w:t>Vertragsschluss</w:t>
        </w:r>
        <w:r w:rsidR="007537A8">
          <w:rPr>
            <w:noProof/>
            <w:webHidden/>
          </w:rPr>
          <w:tab/>
        </w:r>
        <w:r w:rsidR="007537A8">
          <w:rPr>
            <w:noProof/>
            <w:webHidden/>
          </w:rPr>
          <w:fldChar w:fldCharType="begin"/>
        </w:r>
        <w:r w:rsidR="007537A8">
          <w:rPr>
            <w:noProof/>
            <w:webHidden/>
          </w:rPr>
          <w:instrText xml:space="preserve"> PAGEREF _Toc22133196 \h </w:instrText>
        </w:r>
        <w:r w:rsidR="007537A8">
          <w:rPr>
            <w:noProof/>
            <w:webHidden/>
          </w:rPr>
        </w:r>
        <w:r w:rsidR="007537A8">
          <w:rPr>
            <w:noProof/>
            <w:webHidden/>
          </w:rPr>
          <w:fldChar w:fldCharType="separate"/>
        </w:r>
        <w:r w:rsidR="007537A8">
          <w:rPr>
            <w:noProof/>
            <w:webHidden/>
          </w:rPr>
          <w:t>135</w:t>
        </w:r>
        <w:r w:rsidR="007537A8">
          <w:rPr>
            <w:noProof/>
            <w:webHidden/>
          </w:rPr>
          <w:fldChar w:fldCharType="end"/>
        </w:r>
      </w:hyperlink>
    </w:p>
    <w:p w14:paraId="5B78319E" w14:textId="4C9C5089" w:rsidR="007537A8" w:rsidRDefault="00091FED">
      <w:pPr>
        <w:pStyle w:val="Verzeichnis7"/>
        <w:tabs>
          <w:tab w:val="right" w:leader="dot" w:pos="7361"/>
        </w:tabs>
        <w:rPr>
          <w:noProof/>
          <w:sz w:val="22"/>
          <w:szCs w:val="22"/>
          <w:lang w:eastAsia="de-DE"/>
        </w:rPr>
      </w:pPr>
      <w:hyperlink w:anchor="_Toc22133197" w:history="1">
        <w:r w:rsidR="007537A8" w:rsidRPr="00BF7122">
          <w:rPr>
            <w:rStyle w:val="Hyperlink"/>
            <w:noProof/>
          </w:rPr>
          <w:t>b) Vertragsformverbot</w:t>
        </w:r>
        <w:r w:rsidR="007537A8">
          <w:rPr>
            <w:noProof/>
            <w:webHidden/>
          </w:rPr>
          <w:tab/>
        </w:r>
        <w:r w:rsidR="007537A8">
          <w:rPr>
            <w:noProof/>
            <w:webHidden/>
          </w:rPr>
          <w:fldChar w:fldCharType="begin"/>
        </w:r>
        <w:r w:rsidR="007537A8">
          <w:rPr>
            <w:noProof/>
            <w:webHidden/>
          </w:rPr>
          <w:instrText xml:space="preserve"> PAGEREF _Toc22133197 \h </w:instrText>
        </w:r>
        <w:r w:rsidR="007537A8">
          <w:rPr>
            <w:noProof/>
            <w:webHidden/>
          </w:rPr>
        </w:r>
        <w:r w:rsidR="007537A8">
          <w:rPr>
            <w:noProof/>
            <w:webHidden/>
          </w:rPr>
          <w:fldChar w:fldCharType="separate"/>
        </w:r>
        <w:r w:rsidR="007537A8">
          <w:rPr>
            <w:noProof/>
            <w:webHidden/>
          </w:rPr>
          <w:t>135</w:t>
        </w:r>
        <w:r w:rsidR="007537A8">
          <w:rPr>
            <w:noProof/>
            <w:webHidden/>
          </w:rPr>
          <w:fldChar w:fldCharType="end"/>
        </w:r>
      </w:hyperlink>
    </w:p>
    <w:p w14:paraId="2D14561D" w14:textId="412E1D15" w:rsidR="007537A8" w:rsidRDefault="00091FED">
      <w:pPr>
        <w:pStyle w:val="Verzeichnis7"/>
        <w:tabs>
          <w:tab w:val="right" w:leader="dot" w:pos="7361"/>
        </w:tabs>
        <w:rPr>
          <w:noProof/>
          <w:sz w:val="22"/>
          <w:szCs w:val="22"/>
          <w:lang w:eastAsia="de-DE"/>
        </w:rPr>
      </w:pPr>
      <w:hyperlink w:anchor="_Toc22133198" w:history="1">
        <w:r w:rsidR="007537A8" w:rsidRPr="00BF7122">
          <w:rPr>
            <w:rStyle w:val="Hyperlink"/>
            <w:noProof/>
          </w:rPr>
          <w:t>c) Nichtigkeit gem. §§ 59 II VwVfG, § 54 S. 2 VwVfG</w:t>
        </w:r>
        <w:r w:rsidR="007537A8">
          <w:rPr>
            <w:noProof/>
            <w:webHidden/>
          </w:rPr>
          <w:tab/>
        </w:r>
        <w:r w:rsidR="007537A8">
          <w:rPr>
            <w:noProof/>
            <w:webHidden/>
          </w:rPr>
          <w:fldChar w:fldCharType="begin"/>
        </w:r>
        <w:r w:rsidR="007537A8">
          <w:rPr>
            <w:noProof/>
            <w:webHidden/>
          </w:rPr>
          <w:instrText xml:space="preserve"> PAGEREF _Toc22133198 \h </w:instrText>
        </w:r>
        <w:r w:rsidR="007537A8">
          <w:rPr>
            <w:noProof/>
            <w:webHidden/>
          </w:rPr>
        </w:r>
        <w:r w:rsidR="007537A8">
          <w:rPr>
            <w:noProof/>
            <w:webHidden/>
          </w:rPr>
          <w:fldChar w:fldCharType="separate"/>
        </w:r>
        <w:r w:rsidR="007537A8">
          <w:rPr>
            <w:noProof/>
            <w:webHidden/>
          </w:rPr>
          <w:t>135</w:t>
        </w:r>
        <w:r w:rsidR="007537A8">
          <w:rPr>
            <w:noProof/>
            <w:webHidden/>
          </w:rPr>
          <w:fldChar w:fldCharType="end"/>
        </w:r>
      </w:hyperlink>
    </w:p>
    <w:p w14:paraId="0038569A" w14:textId="324F24D1" w:rsidR="007537A8" w:rsidRDefault="00091FED">
      <w:pPr>
        <w:pStyle w:val="Verzeichnis7"/>
        <w:tabs>
          <w:tab w:val="right" w:leader="dot" w:pos="7361"/>
        </w:tabs>
        <w:rPr>
          <w:noProof/>
          <w:sz w:val="22"/>
          <w:szCs w:val="22"/>
          <w:lang w:eastAsia="de-DE"/>
        </w:rPr>
      </w:pPr>
      <w:hyperlink w:anchor="_Toc22133199" w:history="1">
        <w:r w:rsidR="007537A8" w:rsidRPr="00BF7122">
          <w:rPr>
            <w:rStyle w:val="Hyperlink"/>
            <w:noProof/>
          </w:rPr>
          <w:t>d) Nichtigkeit nach § 59 II Nr. 4 VwVfG bei einem Austauschvertrag nach § 56 I oder II VwVfG</w:t>
        </w:r>
        <w:r w:rsidR="007537A8">
          <w:rPr>
            <w:noProof/>
            <w:webHidden/>
          </w:rPr>
          <w:tab/>
        </w:r>
        <w:r w:rsidR="007537A8">
          <w:rPr>
            <w:noProof/>
            <w:webHidden/>
          </w:rPr>
          <w:fldChar w:fldCharType="begin"/>
        </w:r>
        <w:r w:rsidR="007537A8">
          <w:rPr>
            <w:noProof/>
            <w:webHidden/>
          </w:rPr>
          <w:instrText xml:space="preserve"> PAGEREF _Toc22133199 \h </w:instrText>
        </w:r>
        <w:r w:rsidR="007537A8">
          <w:rPr>
            <w:noProof/>
            <w:webHidden/>
          </w:rPr>
        </w:r>
        <w:r w:rsidR="007537A8">
          <w:rPr>
            <w:noProof/>
            <w:webHidden/>
          </w:rPr>
          <w:fldChar w:fldCharType="separate"/>
        </w:r>
        <w:r w:rsidR="007537A8">
          <w:rPr>
            <w:noProof/>
            <w:webHidden/>
          </w:rPr>
          <w:t>136</w:t>
        </w:r>
        <w:r w:rsidR="007537A8">
          <w:rPr>
            <w:noProof/>
            <w:webHidden/>
          </w:rPr>
          <w:fldChar w:fldCharType="end"/>
        </w:r>
      </w:hyperlink>
    </w:p>
    <w:p w14:paraId="0C5F110A" w14:textId="497BF3ED" w:rsidR="007537A8" w:rsidRDefault="00091FED">
      <w:pPr>
        <w:pStyle w:val="Verzeichnis8"/>
        <w:tabs>
          <w:tab w:val="right" w:leader="dot" w:pos="7361"/>
        </w:tabs>
        <w:rPr>
          <w:noProof/>
          <w:sz w:val="22"/>
          <w:szCs w:val="22"/>
          <w:lang w:eastAsia="de-DE"/>
        </w:rPr>
      </w:pPr>
      <w:hyperlink w:anchor="_Toc22133200" w:history="1">
        <w:r w:rsidR="007537A8" w:rsidRPr="00BF7122">
          <w:rPr>
            <w:rStyle w:val="Hyperlink"/>
            <w:noProof/>
          </w:rPr>
          <w:t>aa) Vorliegen eines Austauschvertrages</w:t>
        </w:r>
        <w:r w:rsidR="007537A8">
          <w:rPr>
            <w:noProof/>
            <w:webHidden/>
          </w:rPr>
          <w:tab/>
        </w:r>
        <w:r w:rsidR="007537A8">
          <w:rPr>
            <w:noProof/>
            <w:webHidden/>
          </w:rPr>
          <w:fldChar w:fldCharType="begin"/>
        </w:r>
        <w:r w:rsidR="007537A8">
          <w:rPr>
            <w:noProof/>
            <w:webHidden/>
          </w:rPr>
          <w:instrText xml:space="preserve"> PAGEREF _Toc22133200 \h </w:instrText>
        </w:r>
        <w:r w:rsidR="007537A8">
          <w:rPr>
            <w:noProof/>
            <w:webHidden/>
          </w:rPr>
        </w:r>
        <w:r w:rsidR="007537A8">
          <w:rPr>
            <w:noProof/>
            <w:webHidden/>
          </w:rPr>
          <w:fldChar w:fldCharType="separate"/>
        </w:r>
        <w:r w:rsidR="007537A8">
          <w:rPr>
            <w:noProof/>
            <w:webHidden/>
          </w:rPr>
          <w:t>136</w:t>
        </w:r>
        <w:r w:rsidR="007537A8">
          <w:rPr>
            <w:noProof/>
            <w:webHidden/>
          </w:rPr>
          <w:fldChar w:fldCharType="end"/>
        </w:r>
      </w:hyperlink>
    </w:p>
    <w:p w14:paraId="361D5DDD" w14:textId="4C524554" w:rsidR="007537A8" w:rsidRDefault="00091FED">
      <w:pPr>
        <w:pStyle w:val="Verzeichnis8"/>
        <w:tabs>
          <w:tab w:val="right" w:leader="dot" w:pos="7361"/>
        </w:tabs>
        <w:rPr>
          <w:noProof/>
          <w:sz w:val="22"/>
          <w:szCs w:val="22"/>
          <w:lang w:eastAsia="de-DE"/>
        </w:rPr>
      </w:pPr>
      <w:hyperlink w:anchor="_Toc22133201" w:history="1">
        <w:r w:rsidR="007537A8" w:rsidRPr="00BF7122">
          <w:rPr>
            <w:rStyle w:val="Hyperlink"/>
            <w:noProof/>
          </w:rPr>
          <w:t>bb) Verstoß gegen das Koppelungsverbot</w:t>
        </w:r>
        <w:r w:rsidR="007537A8">
          <w:rPr>
            <w:noProof/>
            <w:webHidden/>
          </w:rPr>
          <w:tab/>
        </w:r>
        <w:r w:rsidR="007537A8">
          <w:rPr>
            <w:noProof/>
            <w:webHidden/>
          </w:rPr>
          <w:fldChar w:fldCharType="begin"/>
        </w:r>
        <w:r w:rsidR="007537A8">
          <w:rPr>
            <w:noProof/>
            <w:webHidden/>
          </w:rPr>
          <w:instrText xml:space="preserve"> PAGEREF _Toc22133201 \h </w:instrText>
        </w:r>
        <w:r w:rsidR="007537A8">
          <w:rPr>
            <w:noProof/>
            <w:webHidden/>
          </w:rPr>
        </w:r>
        <w:r w:rsidR="007537A8">
          <w:rPr>
            <w:noProof/>
            <w:webHidden/>
          </w:rPr>
          <w:fldChar w:fldCharType="separate"/>
        </w:r>
        <w:r w:rsidR="007537A8">
          <w:rPr>
            <w:noProof/>
            <w:webHidden/>
          </w:rPr>
          <w:t>136</w:t>
        </w:r>
        <w:r w:rsidR="007537A8">
          <w:rPr>
            <w:noProof/>
            <w:webHidden/>
          </w:rPr>
          <w:fldChar w:fldCharType="end"/>
        </w:r>
      </w:hyperlink>
    </w:p>
    <w:p w14:paraId="1FA6B61A" w14:textId="4FC942C2" w:rsidR="007537A8" w:rsidRDefault="00091FED">
      <w:pPr>
        <w:pStyle w:val="Verzeichnis9"/>
        <w:tabs>
          <w:tab w:val="right" w:leader="dot" w:pos="7361"/>
        </w:tabs>
        <w:rPr>
          <w:noProof/>
          <w:sz w:val="22"/>
          <w:szCs w:val="22"/>
          <w:lang w:eastAsia="de-DE"/>
        </w:rPr>
      </w:pPr>
      <w:hyperlink w:anchor="_Toc22133202" w:history="1">
        <w:r w:rsidR="007537A8" w:rsidRPr="00BF7122">
          <w:rPr>
            <w:rStyle w:val="Hyperlink"/>
            <w:noProof/>
          </w:rPr>
          <w:t>(1) 7.000 € als Entschädigung für die vom damaligen Erschließungsbeitrag belasteten Nachbarn</w:t>
        </w:r>
        <w:r w:rsidR="007537A8">
          <w:rPr>
            <w:noProof/>
            <w:webHidden/>
          </w:rPr>
          <w:tab/>
        </w:r>
        <w:r w:rsidR="007537A8">
          <w:rPr>
            <w:noProof/>
            <w:webHidden/>
          </w:rPr>
          <w:fldChar w:fldCharType="begin"/>
        </w:r>
        <w:r w:rsidR="007537A8">
          <w:rPr>
            <w:noProof/>
            <w:webHidden/>
          </w:rPr>
          <w:instrText xml:space="preserve"> PAGEREF _Toc22133202 \h </w:instrText>
        </w:r>
        <w:r w:rsidR="007537A8">
          <w:rPr>
            <w:noProof/>
            <w:webHidden/>
          </w:rPr>
        </w:r>
        <w:r w:rsidR="007537A8">
          <w:rPr>
            <w:noProof/>
            <w:webHidden/>
          </w:rPr>
          <w:fldChar w:fldCharType="separate"/>
        </w:r>
        <w:r w:rsidR="007537A8">
          <w:rPr>
            <w:noProof/>
            <w:webHidden/>
          </w:rPr>
          <w:t>136</w:t>
        </w:r>
        <w:r w:rsidR="007537A8">
          <w:rPr>
            <w:noProof/>
            <w:webHidden/>
          </w:rPr>
          <w:fldChar w:fldCharType="end"/>
        </w:r>
      </w:hyperlink>
    </w:p>
    <w:p w14:paraId="59A4D14B" w14:textId="0B778C91" w:rsidR="007537A8" w:rsidRDefault="00091FED">
      <w:pPr>
        <w:pStyle w:val="Verzeichnis9"/>
        <w:tabs>
          <w:tab w:val="right" w:leader="dot" w:pos="7361"/>
        </w:tabs>
        <w:rPr>
          <w:noProof/>
          <w:sz w:val="22"/>
          <w:szCs w:val="22"/>
          <w:lang w:eastAsia="de-DE"/>
        </w:rPr>
      </w:pPr>
      <w:hyperlink w:anchor="_Toc22133203" w:history="1">
        <w:r w:rsidR="007537A8" w:rsidRPr="00BF7122">
          <w:rPr>
            <w:rStyle w:val="Hyperlink"/>
            <w:noProof/>
          </w:rPr>
          <w:t>(2) 3.000 € für die Restauration des Rathauses</w:t>
        </w:r>
        <w:r w:rsidR="007537A8">
          <w:rPr>
            <w:noProof/>
            <w:webHidden/>
          </w:rPr>
          <w:tab/>
        </w:r>
        <w:r w:rsidR="007537A8">
          <w:rPr>
            <w:noProof/>
            <w:webHidden/>
          </w:rPr>
          <w:fldChar w:fldCharType="begin"/>
        </w:r>
        <w:r w:rsidR="007537A8">
          <w:rPr>
            <w:noProof/>
            <w:webHidden/>
          </w:rPr>
          <w:instrText xml:space="preserve"> PAGEREF _Toc22133203 \h </w:instrText>
        </w:r>
        <w:r w:rsidR="007537A8">
          <w:rPr>
            <w:noProof/>
            <w:webHidden/>
          </w:rPr>
        </w:r>
        <w:r w:rsidR="007537A8">
          <w:rPr>
            <w:noProof/>
            <w:webHidden/>
          </w:rPr>
          <w:fldChar w:fldCharType="separate"/>
        </w:r>
        <w:r w:rsidR="007537A8">
          <w:rPr>
            <w:noProof/>
            <w:webHidden/>
          </w:rPr>
          <w:t>138</w:t>
        </w:r>
        <w:r w:rsidR="007537A8">
          <w:rPr>
            <w:noProof/>
            <w:webHidden/>
          </w:rPr>
          <w:fldChar w:fldCharType="end"/>
        </w:r>
      </w:hyperlink>
    </w:p>
    <w:p w14:paraId="22FE1FE3" w14:textId="34AE8D87" w:rsidR="007537A8" w:rsidRDefault="00091FED">
      <w:pPr>
        <w:pStyle w:val="Verzeichnis9"/>
        <w:tabs>
          <w:tab w:val="right" w:leader="dot" w:pos="7361"/>
        </w:tabs>
        <w:rPr>
          <w:noProof/>
          <w:sz w:val="22"/>
          <w:szCs w:val="22"/>
          <w:lang w:eastAsia="de-DE"/>
        </w:rPr>
      </w:pPr>
      <w:hyperlink w:anchor="_Toc22133204" w:history="1">
        <w:r w:rsidR="007537A8" w:rsidRPr="00BF7122">
          <w:rPr>
            <w:rStyle w:val="Hyperlink"/>
            <w:noProof/>
          </w:rPr>
          <w:t>(3) Zwischenergebnis</w:t>
        </w:r>
        <w:r w:rsidR="007537A8">
          <w:rPr>
            <w:noProof/>
            <w:webHidden/>
          </w:rPr>
          <w:tab/>
        </w:r>
        <w:r w:rsidR="007537A8">
          <w:rPr>
            <w:noProof/>
            <w:webHidden/>
          </w:rPr>
          <w:fldChar w:fldCharType="begin"/>
        </w:r>
        <w:r w:rsidR="007537A8">
          <w:rPr>
            <w:noProof/>
            <w:webHidden/>
          </w:rPr>
          <w:instrText xml:space="preserve"> PAGEREF _Toc22133204 \h </w:instrText>
        </w:r>
        <w:r w:rsidR="007537A8">
          <w:rPr>
            <w:noProof/>
            <w:webHidden/>
          </w:rPr>
        </w:r>
        <w:r w:rsidR="007537A8">
          <w:rPr>
            <w:noProof/>
            <w:webHidden/>
          </w:rPr>
          <w:fldChar w:fldCharType="separate"/>
        </w:r>
        <w:r w:rsidR="007537A8">
          <w:rPr>
            <w:noProof/>
            <w:webHidden/>
          </w:rPr>
          <w:t>138</w:t>
        </w:r>
        <w:r w:rsidR="007537A8">
          <w:rPr>
            <w:noProof/>
            <w:webHidden/>
          </w:rPr>
          <w:fldChar w:fldCharType="end"/>
        </w:r>
      </w:hyperlink>
    </w:p>
    <w:p w14:paraId="0A1A01B0" w14:textId="0BDE84B1" w:rsidR="007537A8" w:rsidRDefault="00091FED">
      <w:pPr>
        <w:pStyle w:val="Verzeichnis7"/>
        <w:tabs>
          <w:tab w:val="right" w:leader="dot" w:pos="7361"/>
        </w:tabs>
        <w:rPr>
          <w:noProof/>
          <w:sz w:val="22"/>
          <w:szCs w:val="22"/>
          <w:lang w:eastAsia="de-DE"/>
        </w:rPr>
      </w:pPr>
      <w:hyperlink w:anchor="_Toc22133205" w:history="1">
        <w:r w:rsidR="007537A8" w:rsidRPr="00BF7122">
          <w:rPr>
            <w:rStyle w:val="Hyperlink"/>
            <w:noProof/>
          </w:rPr>
          <w:t>e) Folge der zumindest teilweisen Nichtigkeit</w:t>
        </w:r>
        <w:r w:rsidR="007537A8">
          <w:rPr>
            <w:noProof/>
            <w:webHidden/>
          </w:rPr>
          <w:tab/>
        </w:r>
        <w:r w:rsidR="007537A8">
          <w:rPr>
            <w:noProof/>
            <w:webHidden/>
          </w:rPr>
          <w:fldChar w:fldCharType="begin"/>
        </w:r>
        <w:r w:rsidR="007537A8">
          <w:rPr>
            <w:noProof/>
            <w:webHidden/>
          </w:rPr>
          <w:instrText xml:space="preserve"> PAGEREF _Toc22133205 \h </w:instrText>
        </w:r>
        <w:r w:rsidR="007537A8">
          <w:rPr>
            <w:noProof/>
            <w:webHidden/>
          </w:rPr>
        </w:r>
        <w:r w:rsidR="007537A8">
          <w:rPr>
            <w:noProof/>
            <w:webHidden/>
          </w:rPr>
          <w:fldChar w:fldCharType="separate"/>
        </w:r>
        <w:r w:rsidR="007537A8">
          <w:rPr>
            <w:noProof/>
            <w:webHidden/>
          </w:rPr>
          <w:t>138</w:t>
        </w:r>
        <w:r w:rsidR="007537A8">
          <w:rPr>
            <w:noProof/>
            <w:webHidden/>
          </w:rPr>
          <w:fldChar w:fldCharType="end"/>
        </w:r>
      </w:hyperlink>
    </w:p>
    <w:p w14:paraId="22BF7596" w14:textId="2FE70FE3" w:rsidR="007537A8" w:rsidRDefault="00091FED">
      <w:pPr>
        <w:pStyle w:val="Verzeichnis7"/>
        <w:tabs>
          <w:tab w:val="right" w:leader="dot" w:pos="7361"/>
        </w:tabs>
        <w:rPr>
          <w:noProof/>
          <w:sz w:val="22"/>
          <w:szCs w:val="22"/>
          <w:lang w:eastAsia="de-DE"/>
        </w:rPr>
      </w:pPr>
      <w:hyperlink w:anchor="_Toc22133206" w:history="1">
        <w:r w:rsidR="007537A8" w:rsidRPr="00BF7122">
          <w:rPr>
            <w:rStyle w:val="Hyperlink"/>
            <w:noProof/>
          </w:rPr>
          <w:t>f) Ergebnis</w:t>
        </w:r>
        <w:r w:rsidR="007537A8">
          <w:rPr>
            <w:noProof/>
            <w:webHidden/>
          </w:rPr>
          <w:tab/>
        </w:r>
        <w:r w:rsidR="007537A8">
          <w:rPr>
            <w:noProof/>
            <w:webHidden/>
          </w:rPr>
          <w:fldChar w:fldCharType="begin"/>
        </w:r>
        <w:r w:rsidR="007537A8">
          <w:rPr>
            <w:noProof/>
            <w:webHidden/>
          </w:rPr>
          <w:instrText xml:space="preserve"> PAGEREF _Toc22133206 \h </w:instrText>
        </w:r>
        <w:r w:rsidR="007537A8">
          <w:rPr>
            <w:noProof/>
            <w:webHidden/>
          </w:rPr>
        </w:r>
        <w:r w:rsidR="007537A8">
          <w:rPr>
            <w:noProof/>
            <w:webHidden/>
          </w:rPr>
          <w:fldChar w:fldCharType="separate"/>
        </w:r>
        <w:r w:rsidR="007537A8">
          <w:rPr>
            <w:noProof/>
            <w:webHidden/>
          </w:rPr>
          <w:t>139</w:t>
        </w:r>
        <w:r w:rsidR="007537A8">
          <w:rPr>
            <w:noProof/>
            <w:webHidden/>
          </w:rPr>
          <w:fldChar w:fldCharType="end"/>
        </w:r>
      </w:hyperlink>
    </w:p>
    <w:p w14:paraId="260EBB42" w14:textId="736CF835" w:rsidR="007537A8" w:rsidRDefault="00091FED">
      <w:pPr>
        <w:pStyle w:val="Verzeichnis6"/>
        <w:tabs>
          <w:tab w:val="right" w:leader="dot" w:pos="7361"/>
        </w:tabs>
        <w:rPr>
          <w:noProof/>
          <w:sz w:val="22"/>
          <w:szCs w:val="22"/>
          <w:lang w:eastAsia="de-DE"/>
        </w:rPr>
      </w:pPr>
      <w:hyperlink w:anchor="_Toc22133207" w:history="1">
        <w:r w:rsidR="007537A8" w:rsidRPr="00BF7122">
          <w:rPr>
            <w:rStyle w:val="Hyperlink"/>
            <w:noProof/>
          </w:rPr>
          <w:t>3. Nichtvorliegen eines Ausschlussgrundes</w:t>
        </w:r>
        <w:r w:rsidR="007537A8">
          <w:rPr>
            <w:noProof/>
            <w:webHidden/>
          </w:rPr>
          <w:tab/>
        </w:r>
        <w:r w:rsidR="007537A8">
          <w:rPr>
            <w:noProof/>
            <w:webHidden/>
          </w:rPr>
          <w:fldChar w:fldCharType="begin"/>
        </w:r>
        <w:r w:rsidR="007537A8">
          <w:rPr>
            <w:noProof/>
            <w:webHidden/>
          </w:rPr>
          <w:instrText xml:space="preserve"> PAGEREF _Toc22133207 \h </w:instrText>
        </w:r>
        <w:r w:rsidR="007537A8">
          <w:rPr>
            <w:noProof/>
            <w:webHidden/>
          </w:rPr>
        </w:r>
        <w:r w:rsidR="007537A8">
          <w:rPr>
            <w:noProof/>
            <w:webHidden/>
          </w:rPr>
          <w:fldChar w:fldCharType="separate"/>
        </w:r>
        <w:r w:rsidR="007537A8">
          <w:rPr>
            <w:noProof/>
            <w:webHidden/>
          </w:rPr>
          <w:t>139</w:t>
        </w:r>
        <w:r w:rsidR="007537A8">
          <w:rPr>
            <w:noProof/>
            <w:webHidden/>
          </w:rPr>
          <w:fldChar w:fldCharType="end"/>
        </w:r>
      </w:hyperlink>
    </w:p>
    <w:p w14:paraId="1E329C8F" w14:textId="2A941C69" w:rsidR="007537A8" w:rsidRDefault="00091FED">
      <w:pPr>
        <w:pStyle w:val="Verzeichnis5"/>
        <w:tabs>
          <w:tab w:val="right" w:leader="dot" w:pos="7361"/>
        </w:tabs>
        <w:rPr>
          <w:rFonts w:eastAsiaTheme="minorEastAsia"/>
          <w:noProof/>
          <w:sz w:val="22"/>
          <w:szCs w:val="22"/>
          <w:lang w:eastAsia="de-DE"/>
        </w:rPr>
      </w:pPr>
      <w:hyperlink w:anchor="_Toc22133208" w:history="1">
        <w:r w:rsidR="007537A8" w:rsidRPr="00BF7122">
          <w:rPr>
            <w:rStyle w:val="Hyperlink"/>
            <w:noProof/>
          </w:rPr>
          <w:t>III. Zwischenergebnis</w:t>
        </w:r>
        <w:r w:rsidR="007537A8">
          <w:rPr>
            <w:noProof/>
            <w:webHidden/>
          </w:rPr>
          <w:tab/>
        </w:r>
        <w:r w:rsidR="007537A8">
          <w:rPr>
            <w:noProof/>
            <w:webHidden/>
          </w:rPr>
          <w:fldChar w:fldCharType="begin"/>
        </w:r>
        <w:r w:rsidR="007537A8">
          <w:rPr>
            <w:noProof/>
            <w:webHidden/>
          </w:rPr>
          <w:instrText xml:space="preserve"> PAGEREF _Toc22133208 \h </w:instrText>
        </w:r>
        <w:r w:rsidR="007537A8">
          <w:rPr>
            <w:noProof/>
            <w:webHidden/>
          </w:rPr>
        </w:r>
        <w:r w:rsidR="007537A8">
          <w:rPr>
            <w:noProof/>
            <w:webHidden/>
          </w:rPr>
          <w:fldChar w:fldCharType="separate"/>
        </w:r>
        <w:r w:rsidR="007537A8">
          <w:rPr>
            <w:noProof/>
            <w:webHidden/>
          </w:rPr>
          <w:t>140</w:t>
        </w:r>
        <w:r w:rsidR="007537A8">
          <w:rPr>
            <w:noProof/>
            <w:webHidden/>
          </w:rPr>
          <w:fldChar w:fldCharType="end"/>
        </w:r>
      </w:hyperlink>
    </w:p>
    <w:p w14:paraId="16ACDBAA" w14:textId="2014C6AC" w:rsidR="007537A8" w:rsidRDefault="00091FED">
      <w:pPr>
        <w:pStyle w:val="Verzeichnis4"/>
        <w:tabs>
          <w:tab w:val="right" w:leader="dot" w:pos="7361"/>
        </w:tabs>
        <w:rPr>
          <w:rFonts w:eastAsiaTheme="minorEastAsia"/>
          <w:noProof/>
          <w:sz w:val="22"/>
          <w:szCs w:val="22"/>
          <w:lang w:eastAsia="de-DE"/>
        </w:rPr>
      </w:pPr>
      <w:hyperlink w:anchor="_Toc22133209" w:history="1">
        <w:r w:rsidR="007537A8" w:rsidRPr="00BF7122">
          <w:rPr>
            <w:rStyle w:val="Hyperlink"/>
            <w:noProof/>
          </w:rPr>
          <w:t>C. Ergebnis</w:t>
        </w:r>
        <w:r w:rsidR="007537A8">
          <w:rPr>
            <w:noProof/>
            <w:webHidden/>
          </w:rPr>
          <w:tab/>
        </w:r>
        <w:r w:rsidR="007537A8">
          <w:rPr>
            <w:noProof/>
            <w:webHidden/>
          </w:rPr>
          <w:fldChar w:fldCharType="begin"/>
        </w:r>
        <w:r w:rsidR="007537A8">
          <w:rPr>
            <w:noProof/>
            <w:webHidden/>
          </w:rPr>
          <w:instrText xml:space="preserve"> PAGEREF _Toc22133209 \h </w:instrText>
        </w:r>
        <w:r w:rsidR="007537A8">
          <w:rPr>
            <w:noProof/>
            <w:webHidden/>
          </w:rPr>
        </w:r>
        <w:r w:rsidR="007537A8">
          <w:rPr>
            <w:noProof/>
            <w:webHidden/>
          </w:rPr>
          <w:fldChar w:fldCharType="separate"/>
        </w:r>
        <w:r w:rsidR="007537A8">
          <w:rPr>
            <w:noProof/>
            <w:webHidden/>
          </w:rPr>
          <w:t>140</w:t>
        </w:r>
        <w:r w:rsidR="007537A8">
          <w:rPr>
            <w:noProof/>
            <w:webHidden/>
          </w:rPr>
          <w:fldChar w:fldCharType="end"/>
        </w:r>
      </w:hyperlink>
    </w:p>
    <w:p w14:paraId="1CFA8915" w14:textId="0073C7B4" w:rsidR="0001383E" w:rsidRPr="00261442" w:rsidRDefault="00CA43AE" w:rsidP="00261442">
      <w:pPr>
        <w:rPr>
          <w:rFonts w:eastAsiaTheme="majorEastAsia"/>
        </w:rPr>
      </w:pPr>
      <w:r>
        <w:rPr>
          <w:rFonts w:eastAsiaTheme="majorEastAsia"/>
        </w:rPr>
        <w:fldChar w:fldCharType="end"/>
      </w:r>
      <w:r w:rsidR="0001383E">
        <w:br w:type="page"/>
      </w:r>
    </w:p>
    <w:p w14:paraId="283BED76" w14:textId="4B97E35F" w:rsidR="000444BD" w:rsidRPr="00546A36" w:rsidRDefault="000444BD" w:rsidP="0001383E">
      <w:pPr>
        <w:pStyle w:val="berschrift3"/>
      </w:pPr>
      <w:bookmarkStart w:id="332" w:name="_Toc22133172"/>
      <w:bookmarkStart w:id="333" w:name="Fall9"/>
      <w:r w:rsidRPr="00546A36">
        <w:t>Lösung</w:t>
      </w:r>
      <w:r w:rsidR="0001383E">
        <w:t>svorschlag</w:t>
      </w:r>
      <w:bookmarkEnd w:id="332"/>
    </w:p>
    <w:p w14:paraId="46377624" w14:textId="77777777" w:rsidR="000671E9" w:rsidRPr="000671E9" w:rsidRDefault="000671E9" w:rsidP="000671E9">
      <w:pPr>
        <w:pStyle w:val="Randnummer"/>
        <w:framePr w:wrap="around"/>
      </w:pPr>
    </w:p>
    <w:p w14:paraId="1E119CEA" w14:textId="77777777" w:rsidR="000444BD" w:rsidRPr="000444BD" w:rsidRDefault="000444BD" w:rsidP="000444BD">
      <w:r w:rsidRPr="000444BD">
        <w:t>Eine Klage hätte Aussicht auf Erfolg, soweit sie zulässig und begründet ist.</w:t>
      </w:r>
    </w:p>
    <w:p w14:paraId="24BD76B4" w14:textId="77777777" w:rsidR="000444BD" w:rsidRPr="009A2A84" w:rsidRDefault="000444BD" w:rsidP="000434BF">
      <w:pPr>
        <w:pStyle w:val="berschrift4"/>
      </w:pPr>
      <w:bookmarkStart w:id="334" w:name="_Toc22133173"/>
      <w:r w:rsidRPr="009A2A84">
        <w:t>A. Zulässigkeit</w:t>
      </w:r>
      <w:bookmarkEnd w:id="334"/>
    </w:p>
    <w:p w14:paraId="137FABFD" w14:textId="77777777" w:rsidR="000444BD" w:rsidRPr="009A2A84" w:rsidRDefault="000444BD" w:rsidP="000434BF">
      <w:pPr>
        <w:pStyle w:val="berschrift5"/>
      </w:pPr>
      <w:bookmarkStart w:id="335" w:name="_Toc22133174"/>
      <w:r w:rsidRPr="009A2A84">
        <w:t>I. Eröffnung des Verwaltungsrechtswegs</w:t>
      </w:r>
      <w:bookmarkEnd w:id="335"/>
    </w:p>
    <w:p w14:paraId="58BC2A1A" w14:textId="77777777" w:rsidR="000671E9" w:rsidRPr="000671E9" w:rsidRDefault="000671E9" w:rsidP="000671E9">
      <w:pPr>
        <w:pStyle w:val="Randnummer"/>
        <w:framePr w:wrap="around"/>
      </w:pPr>
    </w:p>
    <w:p w14:paraId="23F5BF29" w14:textId="30D0B7D1" w:rsidR="000444BD" w:rsidRPr="000444BD" w:rsidRDefault="000444BD" w:rsidP="000444BD">
      <w:r w:rsidRPr="000444BD">
        <w:t>Eine aufdrängende Sonderzuweisung ist nicht ersichtlich. Damit der Verwaltungsrechtsweg gem. § 40 I 1 VwGO eröffnet ist, müsste der Klagegegenstand daher eine öffentlich-rechtliche Streitigkeit sein. Dies könnte hier zweifelhaft sein, weil eine Klage auf Geldzahlung zunächst rechtlich neutral einzuordnen wäre. Die Frage, ob ein Rückerstattungsanspruch öffentlich-rechtlicher oder zivilrechtlicher Natur ist, bemisst sich danach, ob es sich um eine Rückabwicklung einer Vermögensverschiebung auf Grund des öffentlichen Rechts oder des Privatrechts handelt. Die Rechtsnatur des Erstattungsanspruchs richtet sich als actus contrarius nach der Rechtsnatur der Vermögensgewährung</w:t>
      </w:r>
      <w:r w:rsidRPr="000444BD">
        <w:rPr>
          <w:bCs/>
        </w:rPr>
        <w:t xml:space="preserve"> (Kehrseitentheorie).</w:t>
      </w:r>
      <w:r w:rsidR="0094074E">
        <w:rPr>
          <w:rStyle w:val="Funotenzeichen"/>
          <w:bCs/>
        </w:rPr>
        <w:footnoteReference w:id="247"/>
      </w:r>
      <w:r w:rsidRPr="000444BD">
        <w:rPr>
          <w:bCs/>
        </w:rPr>
        <w:t xml:space="preserve"> Hier erfolgt die Abgrenzung wiederum nach dem Gegenstand des Vertrags. Wenn nach Gegenstand und Zweck ein vom öffentlichen Recht geordneter Sachbereich betroffen ist, handelt es sich um einen öffentlich-rechtlichen Vertrag. Hier verpflichtet sich J zu einer Zahlung von Geldbeträgen. Die Verwaltung hingegen verpflichtet sich, die Bauleitplanung einzuleiten. Dabei besteht ein enger Zusammenhang zwischen den Zahlungsansprüchen und der Einleitung eines Planänderungsverfahrens, das stark von öffentlich-rechtlichen Vorgaben des Baugesetzbuches geprägt ist.</w:t>
      </w:r>
      <w:r w:rsidRPr="000444BD">
        <w:rPr>
          <w:bCs/>
          <w:vertAlign w:val="superscript"/>
        </w:rPr>
        <w:footnoteReference w:id="248"/>
      </w:r>
      <w:r w:rsidRPr="000444BD">
        <w:rPr>
          <w:bCs/>
        </w:rPr>
        <w:t xml:space="preserve"> </w:t>
      </w:r>
      <w:r w:rsidRPr="000444BD">
        <w:t>Der Vertrag ist also insgesamt öffentlich-rechtlicher Natur, womit auch der Erstattungsanspruch öffentlich-rechtlich einzuordnen ist.</w:t>
      </w:r>
    </w:p>
    <w:p w14:paraId="25B34EDB" w14:textId="77777777" w:rsidR="000444BD" w:rsidRPr="000444BD" w:rsidRDefault="000444BD" w:rsidP="000444BD">
      <w:pPr>
        <w:rPr>
          <w:b/>
        </w:rPr>
      </w:pPr>
      <w:r w:rsidRPr="000444BD">
        <w:t>Da die Streitigkeit auch nichtverfassungsrechtlicher Art ist und keine abdrängende Zuweisung vorliegt, ist der Verwaltungsrechtsweg gem. § 40 I 1 VwGO eröffnet.</w:t>
      </w:r>
      <w:r w:rsidRPr="000444BD">
        <w:rPr>
          <w:b/>
        </w:rPr>
        <w:t xml:space="preserve"> </w:t>
      </w:r>
    </w:p>
    <w:p w14:paraId="68C7D909" w14:textId="3D550A86" w:rsidR="000444BD" w:rsidRPr="009A2A84" w:rsidRDefault="000434BF" w:rsidP="000434BF">
      <w:pPr>
        <w:pStyle w:val="berschrift5"/>
      </w:pPr>
      <w:bookmarkStart w:id="336" w:name="_Toc22133175"/>
      <w:r>
        <w:t>II. Stat</w:t>
      </w:r>
      <w:r w:rsidR="000444BD" w:rsidRPr="009A2A84">
        <w:t>thafte Klageart</w:t>
      </w:r>
      <w:bookmarkEnd w:id="336"/>
    </w:p>
    <w:p w14:paraId="45A81E48" w14:textId="77777777" w:rsidR="000671E9" w:rsidRPr="000671E9" w:rsidRDefault="000671E9" w:rsidP="000671E9">
      <w:pPr>
        <w:pStyle w:val="Randnummer"/>
        <w:framePr w:wrap="around"/>
      </w:pPr>
    </w:p>
    <w:p w14:paraId="55DE1140" w14:textId="77777777" w:rsidR="000444BD" w:rsidRPr="000444BD" w:rsidRDefault="000444BD" w:rsidP="000444BD">
      <w:r w:rsidRPr="000444BD">
        <w:t>Da J die Zahlung von Geld begehrt, ist statthafte Klageart die allgemeine Leistungsklage (§ 43 II VwGO). Eines vorgeschalteten zu prüfenden Verwaltungsakts bedarf es vor der Geldauszahlung nicht. Der Anspruch besteht oder er besteht nicht.</w:t>
      </w:r>
    </w:p>
    <w:p w14:paraId="53980D85" w14:textId="77777777" w:rsidR="000444BD" w:rsidRPr="009A2A84" w:rsidRDefault="000444BD" w:rsidP="000434BF">
      <w:pPr>
        <w:pStyle w:val="berschrift5"/>
      </w:pPr>
      <w:bookmarkStart w:id="337" w:name="_Toc22133176"/>
      <w:r w:rsidRPr="009A2A84">
        <w:t>III. Klagebefugnis</w:t>
      </w:r>
      <w:bookmarkEnd w:id="337"/>
    </w:p>
    <w:p w14:paraId="5D9E8D24" w14:textId="77777777" w:rsidR="000671E9" w:rsidRPr="000671E9" w:rsidRDefault="000671E9" w:rsidP="000671E9">
      <w:pPr>
        <w:pStyle w:val="Randnummer"/>
        <w:framePr w:wrap="around"/>
      </w:pPr>
    </w:p>
    <w:p w14:paraId="0B4B7CE3" w14:textId="77777777" w:rsidR="000444BD" w:rsidRPr="000444BD" w:rsidRDefault="000444BD" w:rsidP="000444BD">
      <w:r w:rsidRPr="000444BD">
        <w:t xml:space="preserve">Die nach § 42 II VwGO analog nach h.M. für die allgemeine Leistungsklage erforderliche Klagebefugnis ergibt sich daraus, dass ein allgemeiner öffentlich-rechtlicher Erstattungsanspruch zumindest nicht von vorneherein ausgeschlossen ist. </w:t>
      </w:r>
    </w:p>
    <w:p w14:paraId="6A02D493" w14:textId="77777777" w:rsidR="000444BD" w:rsidRPr="009A2A84" w:rsidRDefault="000444BD" w:rsidP="000434BF">
      <w:pPr>
        <w:pStyle w:val="berschrift5"/>
      </w:pPr>
      <w:bookmarkStart w:id="338" w:name="_Toc22133177"/>
      <w:r w:rsidRPr="009A2A84">
        <w:t>IV. Rechtsschutzbedürfnis</w:t>
      </w:r>
      <w:bookmarkEnd w:id="338"/>
    </w:p>
    <w:p w14:paraId="269987E1" w14:textId="77777777" w:rsidR="000671E9" w:rsidRPr="000671E9" w:rsidRDefault="000671E9" w:rsidP="000671E9">
      <w:pPr>
        <w:pStyle w:val="Randnummer"/>
        <w:framePr w:wrap="around"/>
      </w:pPr>
    </w:p>
    <w:p w14:paraId="09A1E984" w14:textId="77777777" w:rsidR="000444BD" w:rsidRDefault="000444BD" w:rsidP="000444BD">
      <w:r w:rsidRPr="000444BD">
        <w:t xml:space="preserve">Das allgemeine Rechtsschutzbedürfnis ist gegeben. Insbesondere hat J vor Erhebung der Klage bei PBrück die Rückzahlung gefordert, die allerdings ernsthaft verweigert wurde. </w:t>
      </w:r>
    </w:p>
    <w:p w14:paraId="79139D03" w14:textId="77777777" w:rsidR="00772351" w:rsidRPr="000444BD" w:rsidRDefault="00772351" w:rsidP="000444BD"/>
    <w:p w14:paraId="238825D3" w14:textId="77777777" w:rsidR="000444BD" w:rsidRPr="009A2A84" w:rsidRDefault="000444BD" w:rsidP="000434BF">
      <w:pPr>
        <w:pStyle w:val="berschrift5"/>
      </w:pPr>
      <w:bookmarkStart w:id="339" w:name="_Toc22133178"/>
      <w:r w:rsidRPr="009A2A84">
        <w:t>V. Vorverfahren</w:t>
      </w:r>
      <w:bookmarkEnd w:id="339"/>
    </w:p>
    <w:p w14:paraId="6AFE887F" w14:textId="77777777" w:rsidR="000671E9" w:rsidRPr="000671E9" w:rsidRDefault="000671E9" w:rsidP="000671E9">
      <w:pPr>
        <w:pStyle w:val="Randnummer"/>
        <w:framePr w:wrap="around"/>
      </w:pPr>
    </w:p>
    <w:p w14:paraId="391FE452" w14:textId="77777777" w:rsidR="000444BD" w:rsidRPr="000444BD" w:rsidRDefault="000444BD" w:rsidP="000444BD">
      <w:r w:rsidRPr="000444BD">
        <w:t>Vor Erhebung der allgemeinen Leistungsklage ist grds. kein Vorverfahren erforderlich.</w:t>
      </w:r>
      <w:r w:rsidRPr="000444BD">
        <w:rPr>
          <w:vertAlign w:val="superscript"/>
        </w:rPr>
        <w:footnoteReference w:id="249"/>
      </w:r>
      <w:r w:rsidRPr="000444BD">
        <w:t xml:space="preserve"> </w:t>
      </w:r>
    </w:p>
    <w:p w14:paraId="1787015F" w14:textId="77777777" w:rsidR="000444BD" w:rsidRPr="009A2A84" w:rsidRDefault="000444BD" w:rsidP="000434BF">
      <w:pPr>
        <w:pStyle w:val="berschrift5"/>
      </w:pPr>
      <w:bookmarkStart w:id="340" w:name="_Toc22133179"/>
      <w:r w:rsidRPr="009A2A84">
        <w:t>VI. Klagefrist</w:t>
      </w:r>
      <w:bookmarkEnd w:id="340"/>
    </w:p>
    <w:p w14:paraId="41C74E19" w14:textId="77777777" w:rsidR="000671E9" w:rsidRPr="000671E9" w:rsidRDefault="000671E9" w:rsidP="000671E9">
      <w:pPr>
        <w:pStyle w:val="Randnummer"/>
        <w:framePr w:wrap="around"/>
      </w:pPr>
    </w:p>
    <w:p w14:paraId="314C5C59" w14:textId="77777777" w:rsidR="000444BD" w:rsidRPr="000444BD" w:rsidRDefault="000444BD" w:rsidP="000444BD">
      <w:r w:rsidRPr="000444BD">
        <w:t xml:space="preserve">Für die allgemeine Leistungsklage gilt grds. auch keine Frist. </w:t>
      </w:r>
    </w:p>
    <w:p w14:paraId="597F9D12" w14:textId="77777777" w:rsidR="000444BD" w:rsidRPr="009A2A84" w:rsidRDefault="000444BD" w:rsidP="000434BF">
      <w:pPr>
        <w:pStyle w:val="berschrift5"/>
      </w:pPr>
      <w:bookmarkStart w:id="341" w:name="_Toc22133180"/>
      <w:r w:rsidRPr="009A2A84">
        <w:t>VII. Klagegegner</w:t>
      </w:r>
      <w:bookmarkEnd w:id="341"/>
    </w:p>
    <w:p w14:paraId="160BE688" w14:textId="77777777" w:rsidR="000671E9" w:rsidRPr="000671E9" w:rsidRDefault="000671E9" w:rsidP="000671E9">
      <w:pPr>
        <w:pStyle w:val="Randnummer"/>
        <w:framePr w:wrap="around"/>
      </w:pPr>
    </w:p>
    <w:p w14:paraId="0FB9941C" w14:textId="77777777" w:rsidR="000444BD" w:rsidRPr="000444BD" w:rsidRDefault="000444BD" w:rsidP="000444BD">
      <w:r w:rsidRPr="000444BD">
        <w:t xml:space="preserve">Der Klagegegner bei der allgemeinen Leistungsklage bestimmt sich nach dem Rechtsträgerprinzip (nicht § 78 VwGO oder § 78 VwGO analog und nicht § 8 II BbgVwGG!). Die Klage ist hier daher gegen PBrück zu richten. </w:t>
      </w:r>
    </w:p>
    <w:p w14:paraId="5D739E1B" w14:textId="77777777" w:rsidR="000444BD" w:rsidRPr="009A2A84" w:rsidRDefault="000444BD" w:rsidP="000434BF">
      <w:pPr>
        <w:pStyle w:val="berschrift5"/>
      </w:pPr>
      <w:bookmarkStart w:id="342" w:name="_Toc22133181"/>
      <w:r w:rsidRPr="009A2A84">
        <w:t>VIII. Beteiligtenfähigkeit</w:t>
      </w:r>
      <w:bookmarkEnd w:id="342"/>
    </w:p>
    <w:p w14:paraId="22322F80" w14:textId="77777777" w:rsidR="000671E9" w:rsidRPr="000671E9" w:rsidRDefault="000671E9" w:rsidP="000671E9">
      <w:pPr>
        <w:pStyle w:val="Randnummer"/>
        <w:framePr w:wrap="around"/>
      </w:pPr>
    </w:p>
    <w:p w14:paraId="37856AE5" w14:textId="77777777" w:rsidR="000444BD" w:rsidRDefault="000444BD" w:rsidP="000444BD">
      <w:r w:rsidRPr="000444BD">
        <w:t xml:space="preserve">Die Beteiligtenfähigkeit des J ergibt sich aus §§ 61 Nr. 1, 63 Nr. 1 VwGO, die von PBrück folgt aus §§ 61 Nr. 1, 63 Nr. 2 VwGO. </w:t>
      </w:r>
    </w:p>
    <w:p w14:paraId="028182BC" w14:textId="77777777" w:rsidR="000434BF" w:rsidRPr="000444BD" w:rsidRDefault="000434BF" w:rsidP="000444BD"/>
    <w:p w14:paraId="14629B0D" w14:textId="77777777" w:rsidR="000444BD" w:rsidRPr="009A2A84" w:rsidRDefault="000444BD" w:rsidP="000434BF">
      <w:pPr>
        <w:pStyle w:val="berschrift4"/>
      </w:pPr>
      <w:bookmarkStart w:id="343" w:name="_Toc22133182"/>
      <w:r w:rsidRPr="009A2A84">
        <w:t>B. Begründetheit der Klage</w:t>
      </w:r>
      <w:bookmarkEnd w:id="343"/>
    </w:p>
    <w:p w14:paraId="5CA50C24" w14:textId="77777777" w:rsidR="000671E9" w:rsidRPr="000671E9" w:rsidRDefault="000671E9" w:rsidP="000671E9">
      <w:pPr>
        <w:pStyle w:val="Randnummer"/>
        <w:framePr w:wrap="around"/>
      </w:pPr>
    </w:p>
    <w:p w14:paraId="25E2FC9E" w14:textId="77777777" w:rsidR="000444BD" w:rsidRPr="000444BD" w:rsidRDefault="000444BD" w:rsidP="000444BD">
      <w:r w:rsidRPr="000444BD">
        <w:t>Die Leistungsklage ist begründet, soweit J gegen PBrück ein Rückzahlungsanspruch zusteht.</w:t>
      </w:r>
    </w:p>
    <w:p w14:paraId="10020A66" w14:textId="77777777" w:rsidR="000444BD" w:rsidRPr="000444BD" w:rsidRDefault="000444BD" w:rsidP="000444BD">
      <w:r w:rsidRPr="000444BD">
        <w:t xml:space="preserve">Als </w:t>
      </w:r>
      <w:r w:rsidRPr="000444BD">
        <w:rPr>
          <w:bCs/>
        </w:rPr>
        <w:t xml:space="preserve">Anspruchsgrundlage </w:t>
      </w:r>
      <w:r w:rsidRPr="000444BD">
        <w:t>kommen hier allein öffentlich-rechtliche Erstattungsansprüche in Frage.</w:t>
      </w:r>
      <w:r w:rsidRPr="000444BD">
        <w:rPr>
          <w:bCs/>
          <w:vertAlign w:val="superscript"/>
        </w:rPr>
        <w:footnoteReference w:id="250"/>
      </w:r>
      <w:r w:rsidRPr="000444BD">
        <w:t xml:space="preserve"> </w:t>
      </w:r>
    </w:p>
    <w:p w14:paraId="3955AC18" w14:textId="77777777" w:rsidR="000444BD" w:rsidRPr="000444BD" w:rsidRDefault="000444BD" w:rsidP="000444BD">
      <w:r w:rsidRPr="000444BD">
        <w:t>Zunächst muss allerdings der Frage nachgegangen werden, ob es sich bei den Vereinbarungen zwischen J und der Gemeinde um ein oder zwei Verträge handelt. Für einen einheitlichen Vertrag spricht, dass J insgesamt nur das Ziel verfolgt, eine Baugenehmigung zu erhalten und dafür bereit ist, insgesamt 15.000 € zu zahlen, die – nach dieser Sichtweise – zu unterschiedlichen Zeitpunkten fällig werden. Außerdem sind die Vereinbarungen in einem Dokument zusammen gefasst. Dafür, dass es sich um zwei getrennt zu betrachtende Verträge handelt, spricht allerdings, dass die Vereinbarungen getrennt unterschrieben wurden. Es ist daher nicht nur angebracht, sondern auch zweckmäßig, zwischen den zwei Vereinbarungen zu differenzieren, da sowohl die Zahlungspflicht des J jeweils unterschiedliche Voraussetzungen hat, als auch die Verwendungszwecke der Beträge sich stark unterscheiden und sie jeweils eine konkrete Zweckbestimmung enthalten. Insofern ist es auch möglich, davon auszugehen, dass sich die Rechtmäßigkeit bzw. die Nichtigkeit der Vereinbarungen an unterschiedlichen Maßstäben messen lassen muss (s.u.). Demnach sprechen die besseren Gründe für getrennt zu beurteilende Verträge.</w:t>
      </w:r>
      <w:r w:rsidRPr="000444BD">
        <w:rPr>
          <w:vertAlign w:val="superscript"/>
        </w:rPr>
        <w:footnoteReference w:id="251"/>
      </w:r>
    </w:p>
    <w:p w14:paraId="26B7E1AC" w14:textId="639A8095" w:rsidR="000444BD" w:rsidRPr="000444BD" w:rsidRDefault="000444BD" w:rsidP="000444BD">
      <w:r w:rsidRPr="000444BD">
        <w:t>Vereinbarung 1: J verpflichtet sich, 5.000 € für den Beginn der Planungen zur Einbeziehung des Grundstücks des J in den Bebauungsplan zu zahlen.</w:t>
      </w:r>
    </w:p>
    <w:p w14:paraId="77594BDD" w14:textId="40F7C4FC" w:rsidR="000444BD" w:rsidRPr="000444BD" w:rsidRDefault="000444BD" w:rsidP="000444BD">
      <w:pPr>
        <w:rPr>
          <w:b/>
          <w:bCs/>
        </w:rPr>
      </w:pPr>
      <w:r w:rsidRPr="000444BD">
        <w:t>Vereinbarung 2: Die Gemeinde beginnt mit den betroffenen Planungen, J verpflichtet sich zusätzlich, im Falle der Erteilung der Baugenehmigung seinen fiktiven Anteil an den Erschließungskosten zu zahlen.</w:t>
      </w:r>
    </w:p>
    <w:p w14:paraId="37C048F5" w14:textId="77777777" w:rsidR="000444BD" w:rsidRPr="000444BD" w:rsidRDefault="000444BD" w:rsidP="000444BD">
      <w:r w:rsidRPr="000444BD">
        <w:t>Hier hat J zwei Verträge mit der Stadt geschlossen, denen zwei getrennt zu prüfende Rückzahlungsansprüche gegenüber stehen.</w:t>
      </w:r>
    </w:p>
    <w:p w14:paraId="4ACBC6D9" w14:textId="77777777" w:rsidR="000444BD" w:rsidRPr="009A2A84" w:rsidRDefault="000444BD" w:rsidP="000434BF">
      <w:pPr>
        <w:pStyle w:val="berschrift5"/>
      </w:pPr>
      <w:bookmarkStart w:id="344" w:name="_Toc22133183"/>
      <w:r w:rsidRPr="009A2A84">
        <w:t>I. Öffentlich-rechtlicher Erstattungsanspruch auf Rückzahlung von 5.000 € (aus Vertrag 1)</w:t>
      </w:r>
      <w:bookmarkEnd w:id="344"/>
    </w:p>
    <w:p w14:paraId="42CFB31E" w14:textId="77777777" w:rsidR="000671E9" w:rsidRPr="000671E9" w:rsidRDefault="000671E9" w:rsidP="000671E9">
      <w:pPr>
        <w:pStyle w:val="Randnummer"/>
        <w:framePr w:wrap="around"/>
      </w:pPr>
    </w:p>
    <w:p w14:paraId="103D88BC" w14:textId="50F3FFD2" w:rsidR="000444BD" w:rsidRPr="000444BD" w:rsidRDefault="000444BD" w:rsidP="000444BD">
      <w:pPr>
        <w:rPr>
          <w:bCs/>
        </w:rPr>
      </w:pPr>
      <w:r w:rsidRPr="000444BD">
        <w:rPr>
          <w:bCs/>
        </w:rPr>
        <w:t>Dieser Anspruch ist auf die Rückabwicklung rechtsgrundloser Vermögensverschiebungen gerichtet. Seine dogmatische Herleitung ist umstritten. Einerseits wird seine Begründung direkt aus dem Rechtsstaatsgebot vertreten.</w:t>
      </w:r>
      <w:r w:rsidRPr="000444BD">
        <w:rPr>
          <w:bCs/>
          <w:vertAlign w:val="superscript"/>
        </w:rPr>
        <w:footnoteReference w:id="252"/>
      </w:r>
      <w:r w:rsidRPr="000444BD">
        <w:rPr>
          <w:bCs/>
        </w:rPr>
        <w:t xml:space="preserve"> Hoheitsträger dürfen danach nicht von rechtsgrundlosen Vermögensverschiebungen zu Lasten der Bürger profitieren. Allerdings ist es problematisch, aus dem Rechtsstaatsprinzip die genauen Voraussetzungen und den konkreten Umfang des Erstattungsanspruchs abzuleiten. Insofern wird auch eine analoge Anwendung von §§ 812 ff. BGB vertreten, die allerdings für eine Analogie eine problematische Detailliertheit aufweisen. Die überwiegende Meinung und auch die Rechtsprechung</w:t>
      </w:r>
      <w:r w:rsidRPr="000444BD">
        <w:rPr>
          <w:bCs/>
          <w:vertAlign w:val="superscript"/>
        </w:rPr>
        <w:footnoteReference w:id="253"/>
      </w:r>
      <w:r w:rsidRPr="000444BD">
        <w:rPr>
          <w:bCs/>
        </w:rPr>
        <w:t xml:space="preserve"> vertreten daher eine gewohnheitsrechtliche Begründung.</w:t>
      </w:r>
      <w:r w:rsidRPr="000444BD">
        <w:rPr>
          <w:bCs/>
          <w:vertAlign w:val="superscript"/>
        </w:rPr>
        <w:footnoteReference w:id="254"/>
      </w:r>
      <w:r w:rsidRPr="000444BD">
        <w:rPr>
          <w:bCs/>
        </w:rPr>
        <w:t xml:space="preserve"> Da die Voraussetzungen des Erstattungsanspruchs sich nach den unterschiedlichen Theorien seiner Herleitung nicht unterscheiden, muss der Streit hier nicht entschieden werden.</w:t>
      </w:r>
      <w:r w:rsidR="0094074E">
        <w:rPr>
          <w:rStyle w:val="Funotenzeichen"/>
          <w:bCs/>
        </w:rPr>
        <w:footnoteReference w:id="255"/>
      </w:r>
    </w:p>
    <w:p w14:paraId="315F16E3" w14:textId="01E0B1E0" w:rsidR="000444BD" w:rsidRPr="00E75A8D" w:rsidRDefault="000444BD" w:rsidP="000444BD">
      <w:pPr>
        <w:rPr>
          <w:bCs/>
        </w:rPr>
      </w:pPr>
      <w:r w:rsidRPr="000444BD">
        <w:rPr>
          <w:bCs/>
        </w:rPr>
        <w:t>Die Voraussetzungen des öffentlich-rechtlichen Erstattungsanspruchs sind die Zuordnung des Sachverhalts zum öffentlichen Recht und eine Vermögensverschiebung ohne Rechtsgrund. Darüber hinaus dürften keine Gründe vorliegen, wegen denen ein Anspruch au</w:t>
      </w:r>
      <w:r w:rsidR="00E75A8D">
        <w:rPr>
          <w:bCs/>
        </w:rPr>
        <w:t>snahmsweise ausgeschlossen ist.</w:t>
      </w:r>
    </w:p>
    <w:p w14:paraId="27FDC05B" w14:textId="77777777" w:rsidR="000444BD" w:rsidRPr="009A2A84" w:rsidRDefault="000444BD" w:rsidP="000434BF">
      <w:pPr>
        <w:pStyle w:val="berschrift6"/>
      </w:pPr>
      <w:bookmarkStart w:id="345" w:name="_Toc22133184"/>
      <w:r w:rsidRPr="009A2A84">
        <w:t>1. Öffentlich-rechtlicher Charakter des Erstattungsanspruchs</w:t>
      </w:r>
      <w:bookmarkEnd w:id="345"/>
    </w:p>
    <w:p w14:paraId="323D0BAF" w14:textId="77777777" w:rsidR="000671E9" w:rsidRPr="000671E9" w:rsidRDefault="000671E9" w:rsidP="000671E9">
      <w:pPr>
        <w:pStyle w:val="Randnummer"/>
        <w:framePr w:wrap="around"/>
      </w:pPr>
    </w:p>
    <w:p w14:paraId="4CC93E3F" w14:textId="24F5003F" w:rsidR="000444BD" w:rsidRPr="000444BD" w:rsidRDefault="000444BD" w:rsidP="000444BD">
      <w:pPr>
        <w:rPr>
          <w:bCs/>
        </w:rPr>
      </w:pPr>
      <w:r w:rsidRPr="000444BD">
        <w:rPr>
          <w:bCs/>
        </w:rPr>
        <w:t>Wie oben bereits erläutert</w:t>
      </w:r>
      <w:r w:rsidR="008D4994">
        <w:rPr>
          <w:bCs/>
        </w:rPr>
        <w:t xml:space="preserve">, </w:t>
      </w:r>
      <w:r w:rsidRPr="000444BD">
        <w:rPr>
          <w:bCs/>
        </w:rPr>
        <w:t>ist der Erstattungsanspruch öffentlich</w:t>
      </w:r>
      <w:r w:rsidR="008D4994">
        <w:rPr>
          <w:bCs/>
        </w:rPr>
        <w:t>-</w:t>
      </w:r>
      <w:r w:rsidRPr="000444BD">
        <w:rPr>
          <w:bCs/>
        </w:rPr>
        <w:t>rechtlicher Natur.</w:t>
      </w:r>
    </w:p>
    <w:p w14:paraId="5F65D2E6" w14:textId="77777777" w:rsidR="000444BD" w:rsidRPr="009A2A84" w:rsidRDefault="000444BD" w:rsidP="000434BF">
      <w:pPr>
        <w:pStyle w:val="berschrift6"/>
      </w:pPr>
      <w:bookmarkStart w:id="346" w:name="_Toc22133185"/>
      <w:r w:rsidRPr="009A2A84">
        <w:t>2. Vermögensverschiebung</w:t>
      </w:r>
      <w:bookmarkEnd w:id="346"/>
    </w:p>
    <w:p w14:paraId="6B3D8B28" w14:textId="77777777" w:rsidR="000671E9" w:rsidRPr="000671E9" w:rsidRDefault="000671E9" w:rsidP="000671E9">
      <w:pPr>
        <w:pStyle w:val="Randnummer"/>
        <w:framePr w:wrap="around"/>
      </w:pPr>
    </w:p>
    <w:p w14:paraId="60589D7D" w14:textId="77777777" w:rsidR="000444BD" w:rsidRPr="000444BD" w:rsidRDefault="000444BD" w:rsidP="000444BD">
      <w:r w:rsidRPr="000444BD">
        <w:t>Eine Vermögensverschiebung liegt vor, wenn der Anspruchsgegner etwas erlangt hat, sei es durch Leistung des Anspruchsstellers, sei es auf sonstige Art und Weise. J zahlte 5.000 € an die Gemeinde, damit diese die Planungen einleitet. Eine Vermögensverschiebung liegt also vor.</w:t>
      </w:r>
    </w:p>
    <w:p w14:paraId="429EBFBE" w14:textId="77777777" w:rsidR="000444BD" w:rsidRPr="009A2A84" w:rsidRDefault="000444BD" w:rsidP="000434BF">
      <w:pPr>
        <w:pStyle w:val="berschrift6"/>
      </w:pPr>
      <w:bookmarkStart w:id="347" w:name="_Toc22133186"/>
      <w:r w:rsidRPr="009A2A84">
        <w:t>3. Rechtsgrundlosigkeit der Vermögensverschiebung</w:t>
      </w:r>
      <w:bookmarkEnd w:id="347"/>
    </w:p>
    <w:p w14:paraId="6CBA18F1" w14:textId="77777777" w:rsidR="000671E9" w:rsidRPr="000671E9" w:rsidRDefault="000671E9" w:rsidP="000671E9">
      <w:pPr>
        <w:pStyle w:val="Randnummer"/>
        <w:framePr w:wrap="around"/>
      </w:pPr>
    </w:p>
    <w:p w14:paraId="5F2EB51D" w14:textId="3D83BC2A" w:rsidR="000444BD" w:rsidRPr="000444BD" w:rsidRDefault="000444BD" w:rsidP="000444BD">
      <w:r w:rsidRPr="000444BD">
        <w:t>Die Zahlung leistete J allerdings wegen der Vereinbarung mit der Gemeinde PBrück, die Planungen einzuleiten. Da der Vertrag insgesamt einen öffentlich-rechtlichen Charakter aufweist (s.o.), richtet sich die Beurteilung nach den §§ 54 ff. VwVfG.</w:t>
      </w:r>
      <w:r w:rsidRPr="000444BD">
        <w:rPr>
          <w:bCs/>
        </w:rPr>
        <w:t xml:space="preserve"> </w:t>
      </w:r>
      <w:r w:rsidRPr="000444BD">
        <w:t xml:space="preserve">Zunächst ist daher zu prüfen, ob eine Willenseinigung zwischen J und der Gemeinde vorliegt und welchen Charakter dieser Vertrag hat, weil an die Charakterisierung spezielle Nichtigkeitsgründe anknüpfen. Insbesondere gilt § 59 II VwVfG nur für subordinationsrechtliche Verträge nach § 54 S. 2 VwVfG und § 59 II Nr. 4 VwVfG nur für Austauschverträge im Sinne des § 56 VwVfG. </w:t>
      </w:r>
      <w:r w:rsidRPr="000444BD">
        <w:rPr>
          <w:bCs/>
        </w:rPr>
        <w:t xml:space="preserve">Während das Gesetz beim Verwaltungsakt nach §§ 35 ff. VwVfG zwischen der (bloßen) Rechtswidrigkeit und der Nichtigkeit eines </w:t>
      </w:r>
      <w:r w:rsidR="006D7E4D">
        <w:rPr>
          <w:bCs/>
        </w:rPr>
        <w:t>Verwaltungsakts</w:t>
      </w:r>
      <w:r w:rsidRPr="000444BD">
        <w:rPr>
          <w:bCs/>
        </w:rPr>
        <w:t xml:space="preserve"> differenziert, kennt § 59 VwVfG als Fehlerfolge allein die Nichtigkeit. Allerdings führt keineswegs jeder (formelle oder materielle) Fehler zur Nichtigkeit des Vertrags, sondern nur die in § 59 VwVfG ausdrücklich genannten. Dementsprechend gilt, dass alle anderen Fehler nichts an der Wirksamkeit des Vertrags ändern, weil § 59 VwVfG einen angemessenen Ausgleich zwischen den Grundsätzen pacta sunt servanda (strikte Vertragsbindung) und dem Gesetzmäßigkeitsprinzip (Art. 20 III GG) schaffen soll</w:t>
      </w:r>
      <w:r w:rsidRPr="000444BD">
        <w:rPr>
          <w:bCs/>
          <w:vertAlign w:val="superscript"/>
        </w:rPr>
        <w:footnoteReference w:id="256"/>
      </w:r>
      <w:r w:rsidRPr="000444BD">
        <w:rPr>
          <w:bCs/>
        </w:rPr>
        <w:t xml:space="preserve">. </w:t>
      </w:r>
    </w:p>
    <w:p w14:paraId="3FE85D7D" w14:textId="77777777" w:rsidR="000444BD" w:rsidRPr="009A2A84" w:rsidRDefault="000444BD" w:rsidP="000434BF">
      <w:pPr>
        <w:pStyle w:val="berschrift7"/>
      </w:pPr>
      <w:bookmarkStart w:id="348" w:name="_Toc22133187"/>
      <w:r w:rsidRPr="009A2A84">
        <w:rPr>
          <w:bCs/>
        </w:rPr>
        <w:t xml:space="preserve">a) </w:t>
      </w:r>
      <w:r w:rsidRPr="009A2A84">
        <w:t>Vertragsschluss</w:t>
      </w:r>
      <w:bookmarkEnd w:id="348"/>
      <w:r w:rsidRPr="009A2A84">
        <w:t xml:space="preserve"> </w:t>
      </w:r>
    </w:p>
    <w:p w14:paraId="3A5BC4AC" w14:textId="77777777" w:rsidR="000671E9" w:rsidRPr="000671E9" w:rsidRDefault="000671E9" w:rsidP="000671E9">
      <w:pPr>
        <w:pStyle w:val="Randnummer"/>
        <w:framePr w:wrap="around"/>
      </w:pPr>
    </w:p>
    <w:p w14:paraId="50574EE3" w14:textId="1686C2BE" w:rsidR="000444BD" w:rsidRPr="000444BD" w:rsidRDefault="000444BD" w:rsidP="000444BD">
      <w:r w:rsidRPr="000444BD">
        <w:t>Für einen wirksamen Vertragsschluss sind nach §§ 62 S. 2 VwVfG i.V.m. 145 ff. BGB zwei übereinstimmende Willenserklärungen notwendig. Hier sind sich J und die Gemeinde einig gewesen, dass die Gemeinde gegen die Zahlung der durch die Planung entstehenden Kosten ein Planänderungsverfahren mit dem Ziel beginnen soll, das Grundstück des J in das allgemeine Wohngebiet einzubeziehen. Zuständigkeit und formelle Anforderungen an das Verfahren sind nach den Angaben im Sachverhalt gegeben, insbesondere ist danach das Schriftformerfordernis gewahrt (§ 57 VwVfG, § 11 BauGB).</w:t>
      </w:r>
    </w:p>
    <w:p w14:paraId="2E60018A" w14:textId="101379F0" w:rsidR="000444BD" w:rsidRPr="009A2A84" w:rsidRDefault="000444BD" w:rsidP="000434BF">
      <w:pPr>
        <w:pStyle w:val="berschrift7"/>
      </w:pPr>
      <w:bookmarkStart w:id="349" w:name="_Toc22133188"/>
      <w:r w:rsidRPr="009A2A84">
        <w:t xml:space="preserve">b) Vertragsformverbot (§ 54 </w:t>
      </w:r>
      <w:r w:rsidR="00E91AF0">
        <w:t>1</w:t>
      </w:r>
      <w:r w:rsidRPr="009A2A84">
        <w:t xml:space="preserve"> VwVfG)</w:t>
      </w:r>
      <w:bookmarkEnd w:id="349"/>
    </w:p>
    <w:p w14:paraId="71592C2D" w14:textId="77777777" w:rsidR="000671E9" w:rsidRPr="000671E9" w:rsidRDefault="000671E9" w:rsidP="000671E9">
      <w:pPr>
        <w:pStyle w:val="Randnummer"/>
        <w:framePr w:wrap="around"/>
      </w:pPr>
    </w:p>
    <w:p w14:paraId="3427D949" w14:textId="2E1A31CF" w:rsidR="000444BD" w:rsidRPr="000444BD" w:rsidRDefault="000444BD" w:rsidP="000444BD">
      <w:pPr>
        <w:rPr>
          <w:iCs/>
        </w:rPr>
      </w:pPr>
      <w:r w:rsidRPr="000444BD">
        <w:t xml:space="preserve">Der Vertragsschluss würde aber als Rechtsgrund für die Vermögensverschiebung ausscheiden, wenn er als nichtig einzustufen ist, weil er gegen ein Vertragsformverbot nach § 54 </w:t>
      </w:r>
      <w:r w:rsidR="00E91AF0">
        <w:t>1</w:t>
      </w:r>
      <w:r w:rsidRPr="000444BD">
        <w:t xml:space="preserve"> VwVfG verstößt. Es wäre denkbar, dass die Vereinbarung gegen das Vertragsformverbot des § 1 III BauGB verstößt, nachdem auf die Aufstellung von Bauleitplänen und städtebaulichen Satzungen kein Anspruch durch Vertrag begründet werden kann. Dies ist aber nicht der Fall. Es ist nämlich möglich, den Abschluss städtebaulicher Verträge nach § 11 BauGB so zu gestalten, dass sie vor der Aufstellung des Bebauungsplans und vor seinem Satzungsbeschluss gewissermaßen als dessen Voraussetzung abgeschlossen werden, ohne dass dabei i.S.d. § 1 III 2 BauGB unzulässige Vorwegbindungen vorgenommen werden würden.</w:t>
      </w:r>
      <w:r w:rsidRPr="000444BD">
        <w:rPr>
          <w:vertAlign w:val="superscript"/>
        </w:rPr>
        <w:footnoteReference w:id="257"/>
      </w:r>
      <w:r w:rsidRPr="000444BD">
        <w:t xml:space="preserve"> </w:t>
      </w:r>
      <w:r w:rsidR="0094074E" w:rsidRPr="000444BD">
        <w:t xml:space="preserve">Der Änderungsbeschluss des Bebauungsplans war nicht Teil der vertraglichen Abmachung, sondern lediglich dessen Geschäftsgrundlage, </w:t>
      </w:r>
      <w:r w:rsidR="0094074E">
        <w:t>insofern auch</w:t>
      </w:r>
      <w:r w:rsidR="0094074E" w:rsidRPr="000444BD">
        <w:t xml:space="preserve"> kein </w:t>
      </w:r>
      <w:r w:rsidR="0094074E">
        <w:t xml:space="preserve">Verstoß gegen </w:t>
      </w:r>
      <w:r w:rsidR="0094074E" w:rsidRPr="000444BD">
        <w:t xml:space="preserve">§ 1 III 2 BauGB. Es kann daher dahingestellt bleiben, </w:t>
      </w:r>
      <w:r w:rsidR="0094074E">
        <w:t xml:space="preserve">ob § 1 III BauGB ein Vertragsformverbot i.S.d. </w:t>
      </w:r>
      <w:r w:rsidR="0094074E" w:rsidRPr="000444BD">
        <w:t xml:space="preserve">§ 54 </w:t>
      </w:r>
      <w:r w:rsidR="0094074E">
        <w:t>1</w:t>
      </w:r>
      <w:r w:rsidR="0094074E" w:rsidRPr="000444BD">
        <w:t xml:space="preserve"> VwVfG</w:t>
      </w:r>
      <w:r w:rsidR="00A566D1">
        <w:t xml:space="preserve"> </w:t>
      </w:r>
      <w:r w:rsidR="0094074E">
        <w:t>ist und welche Rechtsfolge</w:t>
      </w:r>
      <w:r w:rsidR="0094074E">
        <w:rPr>
          <w:iCs/>
        </w:rPr>
        <w:t xml:space="preserve"> ein </w:t>
      </w:r>
      <w:r w:rsidR="00A8236D">
        <w:rPr>
          <w:iCs/>
        </w:rPr>
        <w:t>Verstoß</w:t>
      </w:r>
      <w:r w:rsidR="0094074E" w:rsidRPr="000444BD">
        <w:rPr>
          <w:iCs/>
        </w:rPr>
        <w:t xml:space="preserve"> hätte</w:t>
      </w:r>
      <w:r w:rsidRPr="000444BD">
        <w:rPr>
          <w:iCs/>
        </w:rPr>
        <w:t>.</w:t>
      </w:r>
    </w:p>
    <w:p w14:paraId="3D11A26F" w14:textId="7A101CBD" w:rsidR="000444BD" w:rsidRPr="009A2A84" w:rsidRDefault="000444BD" w:rsidP="000434BF">
      <w:pPr>
        <w:pStyle w:val="berschrift7"/>
      </w:pPr>
      <w:bookmarkStart w:id="350" w:name="_Toc22133189"/>
      <w:r w:rsidRPr="009A2A84">
        <w:t>c) Charakter des Vertrags – subordinationsrechtlicher Vertrag i.S.d. §§ 59 II,</w:t>
      </w:r>
      <w:r w:rsidR="00A566D1">
        <w:t xml:space="preserve"> </w:t>
      </w:r>
      <w:r w:rsidRPr="009A2A84">
        <w:t>54 S. 2 VwVfG</w:t>
      </w:r>
      <w:bookmarkEnd w:id="350"/>
    </w:p>
    <w:p w14:paraId="7489C1F3" w14:textId="77777777" w:rsidR="000671E9" w:rsidRPr="000671E9" w:rsidRDefault="000671E9" w:rsidP="000671E9">
      <w:pPr>
        <w:pStyle w:val="Randnummer"/>
        <w:framePr w:wrap="around"/>
      </w:pPr>
    </w:p>
    <w:p w14:paraId="68915CE8" w14:textId="37E07930" w:rsidR="000444BD" w:rsidRPr="006D7E4D" w:rsidRDefault="000444BD" w:rsidP="000444BD">
      <w:pPr>
        <w:rPr>
          <w:bCs/>
        </w:rPr>
      </w:pPr>
      <w:r w:rsidRPr="000444BD">
        <w:rPr>
          <w:bCs/>
        </w:rPr>
        <w:t xml:space="preserve">Falls es sich bei dem Vertrag um einen subordinationsrechtlichen Vertrag handelt, so ist § 59 II VwVfG als lex specialis vorrangig zu prüfen. </w:t>
      </w:r>
      <w:r w:rsidRPr="000444BD">
        <w:t xml:space="preserve">Allerdings ist fraglich, ob die Vereinbarung als </w:t>
      </w:r>
      <w:r w:rsidRPr="000444BD">
        <w:rPr>
          <w:bCs/>
        </w:rPr>
        <w:t xml:space="preserve">subordinationsrechtlicher Vertrag </w:t>
      </w:r>
      <w:r w:rsidRPr="000444BD">
        <w:t>im Sinne des</w:t>
      </w:r>
      <w:r w:rsidRPr="000444BD">
        <w:rPr>
          <w:bCs/>
        </w:rPr>
        <w:t xml:space="preserve"> § 54 S. 2 VwVfG einzuordnen ist</w:t>
      </w:r>
      <w:r w:rsidRPr="000444BD">
        <w:t xml:space="preserve">, da die Zusage der Planänderung an A nicht „sonst“ durch </w:t>
      </w:r>
      <w:r w:rsidR="006D7E4D">
        <w:t>Verwaltungsakt</w:t>
      </w:r>
      <w:r w:rsidRPr="000444BD">
        <w:t xml:space="preserve"> ergehen könnte. § 54 S. 2 VwVfG gilt allerdings entgegen des engen Wortlauts für alle Verträge zwischen Privatpersonen und Trägern der öffentlichen Verwaltung auf den Gebieten, auf denen </w:t>
      </w:r>
      <w:r w:rsidRPr="000444BD">
        <w:rPr>
          <w:bCs/>
        </w:rPr>
        <w:t>typischerweise</w:t>
      </w:r>
      <w:r w:rsidRPr="000444BD">
        <w:t xml:space="preserve"> ein hoheitliches Verhältnis der </w:t>
      </w:r>
      <w:r w:rsidRPr="000444BD">
        <w:rPr>
          <w:bCs/>
        </w:rPr>
        <w:t>Über- und Unterordnung</w:t>
      </w:r>
      <w:r w:rsidRPr="000444BD">
        <w:t xml:space="preserve"> besteht. Es ist hier also nicht maßgeblich, ob der konkrete Gegenstand, die Leistung des Bürgers oder das von der Verwaltung eingeleitete Verfahren „sonst“ durch Verwaltungsakt geregelt werden könnte. Die </w:t>
      </w:r>
      <w:r w:rsidRPr="000444BD">
        <w:rPr>
          <w:bCs/>
        </w:rPr>
        <w:t xml:space="preserve">konkrete </w:t>
      </w:r>
      <w:r w:rsidR="006D7E4D">
        <w:rPr>
          <w:bCs/>
        </w:rPr>
        <w:t>Verwaltungsakt</w:t>
      </w:r>
      <w:r w:rsidRPr="000444BD">
        <w:rPr>
          <w:bCs/>
        </w:rPr>
        <w:t>-Befugnis ist also irrelevant.</w:t>
      </w:r>
      <w:r w:rsidRPr="000444BD">
        <w:rPr>
          <w:bCs/>
          <w:vertAlign w:val="superscript"/>
        </w:rPr>
        <w:footnoteReference w:id="258"/>
      </w:r>
      <w:r w:rsidRPr="000444BD">
        <w:t xml:space="preserve"> Hier steht die vertragliche Leistungspflicht des J aber auch in engem Zusammenhang mit einem durch </w:t>
      </w:r>
      <w:r w:rsidR="006D7E4D">
        <w:t>Verwaltungsakt</w:t>
      </w:r>
      <w:r w:rsidRPr="000444BD">
        <w:t xml:space="preserve"> festsetzbaren Erschließungsbeitrag (vgl. § 131 BauGB). Es handelt sich also zumindest teilweise um die </w:t>
      </w:r>
      <w:r w:rsidRPr="000444BD">
        <w:rPr>
          <w:bCs/>
        </w:rPr>
        <w:t xml:space="preserve">Substitution eines </w:t>
      </w:r>
      <w:r w:rsidR="006D7E4D">
        <w:rPr>
          <w:bCs/>
        </w:rPr>
        <w:t>Verwaltungsakts</w:t>
      </w:r>
      <w:r w:rsidRPr="000444BD">
        <w:rPr>
          <w:bCs/>
        </w:rPr>
        <w:t xml:space="preserve"> und nicht etwa um</w:t>
      </w:r>
      <w:r w:rsidRPr="000444BD">
        <w:t xml:space="preserve"> Koordination und Kooperation. Die Vereinbarung ist daher an den Erfordernissen für subordinationsrechtliche Verträge (</w:t>
      </w:r>
      <w:r w:rsidR="00014626">
        <w:t>insbesondere</w:t>
      </w:r>
      <w:r w:rsidRPr="000444BD">
        <w:t xml:space="preserve"> § 59 II VwVfG) zu messen.</w:t>
      </w:r>
    </w:p>
    <w:p w14:paraId="1CA57003" w14:textId="77777777" w:rsidR="000444BD" w:rsidRPr="009A2A84" w:rsidRDefault="000444BD" w:rsidP="000434BF">
      <w:pPr>
        <w:pStyle w:val="berschrift7"/>
      </w:pPr>
      <w:bookmarkStart w:id="351" w:name="_Toc22133190"/>
      <w:r w:rsidRPr="009A2A84">
        <w:t>d) Austauschvertrag nach §§ 59 II Nr. 4, 56 VwVfG</w:t>
      </w:r>
      <w:bookmarkEnd w:id="351"/>
    </w:p>
    <w:p w14:paraId="1AB98FC7" w14:textId="77777777" w:rsidR="000671E9" w:rsidRPr="000671E9" w:rsidRDefault="000671E9" w:rsidP="000671E9">
      <w:pPr>
        <w:pStyle w:val="Randnummer"/>
        <w:framePr w:wrap="around"/>
      </w:pPr>
    </w:p>
    <w:p w14:paraId="11C6ECAC" w14:textId="7BCD38F0" w:rsidR="000444BD" w:rsidRPr="000444BD" w:rsidRDefault="000444BD" w:rsidP="000444BD">
      <w:r w:rsidRPr="000444BD">
        <w:t xml:space="preserve">Außerdem müsste es sich, damit der Vertrag nach § 59 II Nr. 4 VwVfG nichtig sein könnte, um einen Austauschvertrag gem. </w:t>
      </w:r>
      <w:r w:rsidR="008D4994">
        <w:t xml:space="preserve">§ </w:t>
      </w:r>
      <w:r w:rsidRPr="000444BD">
        <w:t xml:space="preserve">56 VwVfG handeln. Das ist zunächst fraglich, weil sich PBrück nicht zu einer Leistung verpflichtet hat. Jedenfalls besteht kein dem Zivilrecht vergleichbares synallagmatisches Verhältnis der Leitungspflichten, bei dem die Leistung des einen Vertragspartners auf der anderen beruht und mit der Erzielung eines bestimmten Erfolgs auch die andere Pflicht "steht und fällt". Allerdings ist § 56 I VwVfG nicht nur auf Austauschverträge im engeren Sinne anwendbar, sondern (zumindest entsprechend) auch auf einen unvollständigen </w:t>
      </w:r>
      <w:r w:rsidRPr="000444BD">
        <w:rPr>
          <w:bCs/>
        </w:rPr>
        <w:t>(„hinkenden“) Austauschvertrag</w:t>
      </w:r>
      <w:r w:rsidRPr="000444BD">
        <w:t xml:space="preserve">, in dem Leistung der Gemeinde </w:t>
      </w:r>
      <w:r w:rsidRPr="000444BD">
        <w:rPr>
          <w:bCs/>
        </w:rPr>
        <w:t>Bedingung bzw. Geschäftsgrundlage</w:t>
      </w:r>
      <w:r w:rsidRPr="000444BD">
        <w:t xml:space="preserve"> für vertraglich vereinbarte Gegenleistung des Bürgers ist.</w:t>
      </w:r>
      <w:r w:rsidRPr="000444BD">
        <w:rPr>
          <w:vertAlign w:val="superscript"/>
        </w:rPr>
        <w:footnoteReference w:id="259"/>
      </w:r>
      <w:r w:rsidRPr="000444BD">
        <w:t xml:space="preserve"> Ein wesentlicher Grund dafür ist, dass es für das rechtsstaatliche Gebot der </w:t>
      </w:r>
      <w:r w:rsidRPr="000444BD">
        <w:rPr>
          <w:bCs/>
        </w:rPr>
        <w:t>Angemessenheit</w:t>
      </w:r>
      <w:r w:rsidRPr="000444BD">
        <w:t xml:space="preserve"> der Gegenleistung des Bürgers und ihres sachlichen Zusammenhangs mit der Leistung der Behörde keinen Unterschied machen kann, ob der Bürger einen vertraglichen Anspruch auf die Leistung erhält oder diese nur zur Bedingung seiner Handlung oder der Geschäftsgrundlage erklärt wird. </w:t>
      </w:r>
    </w:p>
    <w:p w14:paraId="15AF1778" w14:textId="77777777" w:rsidR="000444BD" w:rsidRPr="009A2A84" w:rsidRDefault="000444BD" w:rsidP="000434BF">
      <w:pPr>
        <w:pStyle w:val="berschrift7"/>
      </w:pPr>
      <w:bookmarkStart w:id="352" w:name="_Toc22133191"/>
      <w:r w:rsidRPr="009A2A84">
        <w:t>e) Verstoß gegen Koppelungsverbot § 56 VwVfG</w:t>
      </w:r>
      <w:bookmarkEnd w:id="352"/>
      <w:r w:rsidRPr="009A2A84">
        <w:t xml:space="preserve"> </w:t>
      </w:r>
    </w:p>
    <w:p w14:paraId="6727C107" w14:textId="77777777" w:rsidR="000671E9" w:rsidRPr="000671E9" w:rsidRDefault="000671E9" w:rsidP="000671E9">
      <w:pPr>
        <w:pStyle w:val="Randnummer"/>
        <w:framePr w:wrap="around"/>
      </w:pPr>
    </w:p>
    <w:p w14:paraId="7924203F" w14:textId="77A071FD" w:rsidR="000444BD" w:rsidRPr="000444BD" w:rsidRDefault="000444BD" w:rsidP="000444BD">
      <w:r w:rsidRPr="000444BD">
        <w:rPr>
          <w:bCs/>
        </w:rPr>
        <w:t>Die Vereinbarung könnte daher aufgrund eines Verstoßes gegen das in § 59 II Nr. 4 VwVfG i.V.m. § 56 VwVfG aufgeführte Koppelungsgebot nichtig sein. § 56 VwGO greift das im verfassungsrechtlichen Rechtsstaatsprinzip verankerte Koppelungsverbot auf und verdeutlicht, dass eine Behörde die Erfüllung hoheitlicher Aufgaben grundsätzlich nicht von nicht unmittelbar zugehörigen, also lediglich „verkoppelten“ wirtschaftlichen Gegenleistungen abhängig machen darf. Dieser Gedanke wird durch § 11 II 2 BauGB verkörpert. Es gehört zum Wesen der rechtsstaatlichen Verwaltung, dass die ihr zukommenden hoheitlichen Befugnisse nicht dazu ausgenutzt werden dürfen, durch Verknüpfung hoheitlicher Maßnahmen mit Gegenleistungen privater Rechtssubjekte das allgemeine Wohl oder Einzelinteressen in unzulässiger Weise zu beeinträchtigen. In der Rechtsprechung ist zugleich anerkannt, dass das Koppelungsverbot nur eine sachwidrige Motivation des Verwaltungshandelns verhindern soll. Deshalb darf nichts durch Austauschvertrag miteinander verknüpft werden, was nicht ohnehin in innerem Zusammenhang steht. Folgekostenverträge sind danach allerdings grundsätzlich zulässig, wenn sie sich auf Kosten beziehen, die unvermeidlich im Zuge der städtebaulichen Entwicklung entstehen, die Vertragsgegenstand ist. Hier ist d</w:t>
      </w:r>
      <w:r w:rsidRPr="000444BD">
        <w:t xml:space="preserve">er Betrag genau derjenige, der durch die Planungskosten entstanden ist und wird auch in diesem Sinne eingesetzt. Der Sachzusammenhang ist damit gegeben. § 11 </w:t>
      </w:r>
      <w:r w:rsidR="00E91AF0">
        <w:t>I</w:t>
      </w:r>
      <w:r w:rsidRPr="000444BD">
        <w:t xml:space="preserve"> </w:t>
      </w:r>
      <w:r w:rsidR="00E91AF0">
        <w:t>1</w:t>
      </w:r>
      <w:r w:rsidRPr="000444BD">
        <w:t xml:space="preserve"> BauGB beschreibt allgemein die Zulässigkeit städtebaulicher Verträge im Städtebaurecht des Bundes. § 11 I</w:t>
      </w:r>
      <w:r w:rsidR="008D4994">
        <w:t xml:space="preserve"> </w:t>
      </w:r>
      <w:r w:rsidRPr="000444BD">
        <w:t>Nr. 1 BauGB benennt als Gegenstand eines städtebaulichen Vertrages konkret die „Ausarbeitung der erforderlichen städtebaulichen Planungen“. Der Vertrag verstößt also nicht gegen das Koppelungsverbot.</w:t>
      </w:r>
    </w:p>
    <w:p w14:paraId="6D682ECA" w14:textId="613CE017" w:rsidR="000444BD" w:rsidRPr="009A2A84" w:rsidRDefault="000444BD" w:rsidP="000434BF">
      <w:pPr>
        <w:pStyle w:val="berschrift6"/>
      </w:pPr>
      <w:bookmarkStart w:id="353" w:name="_Toc22133192"/>
      <w:r w:rsidRPr="009A2A84">
        <w:t>4. Zwischenergebnis</w:t>
      </w:r>
      <w:bookmarkEnd w:id="353"/>
    </w:p>
    <w:p w14:paraId="5C483D3E" w14:textId="77777777" w:rsidR="000671E9" w:rsidRPr="000671E9" w:rsidRDefault="000671E9" w:rsidP="000671E9">
      <w:pPr>
        <w:pStyle w:val="Randnummer"/>
        <w:framePr w:wrap="around"/>
      </w:pPr>
    </w:p>
    <w:p w14:paraId="50D7F9C9" w14:textId="3C1BC5AF" w:rsidR="000444BD" w:rsidRPr="000444BD" w:rsidRDefault="000444BD" w:rsidP="000444BD">
      <w:r w:rsidRPr="000444BD">
        <w:t>Da auch sonst keine Nichtigkeitsgründe ersichtlich sind und demnach der Vertrag des J mit der Gemeinde PBrück wirksam ist, war die</w:t>
      </w:r>
      <w:r w:rsidR="00A566D1">
        <w:t xml:space="preserve"> </w:t>
      </w:r>
      <w:r w:rsidRPr="000444BD">
        <w:t>Vermögensverschiebung i.H.v. 5.000 € nicht rechtsgrundlos. Die Voraussetzungen des öffentlich-rechtlichen Bereicherungsanspruchs sind nicht gegeben. Jedenfalls insoweit kann J sein Geld nicht zurück erlangen.</w:t>
      </w:r>
      <w:r w:rsidRPr="000444BD">
        <w:rPr>
          <w:vertAlign w:val="superscript"/>
        </w:rPr>
        <w:footnoteReference w:id="260"/>
      </w:r>
    </w:p>
    <w:p w14:paraId="1079C625" w14:textId="77777777" w:rsidR="000444BD" w:rsidRPr="009A2A84" w:rsidRDefault="000444BD" w:rsidP="000434BF">
      <w:pPr>
        <w:pStyle w:val="berschrift5"/>
      </w:pPr>
      <w:bookmarkStart w:id="354" w:name="_Toc22133193"/>
      <w:r w:rsidRPr="009A2A84">
        <w:t>II. Öffentlich-rechtlicher Erstattungsanspruch auf Rückzahlung von 10.000 € (aus Vereinbarung 2)</w:t>
      </w:r>
      <w:bookmarkEnd w:id="354"/>
    </w:p>
    <w:p w14:paraId="4F741EE3" w14:textId="77777777" w:rsidR="000671E9" w:rsidRPr="000671E9" w:rsidRDefault="000671E9" w:rsidP="000671E9">
      <w:pPr>
        <w:pStyle w:val="Randnummer"/>
        <w:framePr w:wrap="around"/>
      </w:pPr>
    </w:p>
    <w:p w14:paraId="2AB33A8E" w14:textId="77777777" w:rsidR="000444BD" w:rsidRDefault="000444BD" w:rsidP="000444BD">
      <w:pPr>
        <w:rPr>
          <w:bCs/>
        </w:rPr>
      </w:pPr>
      <w:r w:rsidRPr="000444BD">
        <w:rPr>
          <w:bCs/>
        </w:rPr>
        <w:t>Im Hinblick auf Herleitung und Voraussetzungen des öffentlich-rechtlichen Erstattungsanspruchs kann nach oben verwiesen werden.</w:t>
      </w:r>
    </w:p>
    <w:p w14:paraId="007B7614" w14:textId="77777777" w:rsidR="00772351" w:rsidRDefault="00772351" w:rsidP="000444BD">
      <w:pPr>
        <w:rPr>
          <w:bCs/>
        </w:rPr>
      </w:pPr>
    </w:p>
    <w:p w14:paraId="469A5D7D" w14:textId="77777777" w:rsidR="00772351" w:rsidRDefault="00772351" w:rsidP="005B6EF7">
      <w:pPr>
        <w:pStyle w:val="berschrift6"/>
      </w:pPr>
    </w:p>
    <w:p w14:paraId="2510987D" w14:textId="77777777" w:rsidR="000444BD" w:rsidRPr="009A2A84" w:rsidRDefault="000444BD" w:rsidP="005B6EF7">
      <w:pPr>
        <w:pStyle w:val="berschrift6"/>
      </w:pPr>
      <w:bookmarkStart w:id="355" w:name="_Toc22133194"/>
      <w:r w:rsidRPr="009A2A84">
        <w:t>1. Öffentlich-rechtlicher Charakter des Rechtsverhältnisses und Vermögensverschiebung</w:t>
      </w:r>
      <w:bookmarkEnd w:id="355"/>
    </w:p>
    <w:p w14:paraId="480E6DFE" w14:textId="77777777" w:rsidR="000671E9" w:rsidRPr="000671E9" w:rsidRDefault="000671E9" w:rsidP="000671E9">
      <w:pPr>
        <w:pStyle w:val="Randnummer"/>
        <w:framePr w:wrap="around"/>
      </w:pPr>
    </w:p>
    <w:p w14:paraId="08B6B919" w14:textId="77777777" w:rsidR="000444BD" w:rsidRPr="000444BD" w:rsidRDefault="000444BD" w:rsidP="000444BD">
      <w:pPr>
        <w:rPr>
          <w:bCs/>
        </w:rPr>
      </w:pPr>
      <w:r w:rsidRPr="000444BD">
        <w:rPr>
          <w:bCs/>
        </w:rPr>
        <w:t>Der öffentlich-rechtliche Charakter der hier betroffenen Vereinbarung ergibt sich wie bereits oben aus der starken baugesetzlichen Regulierung des Streitgegenstandes. Die Vermögensverschiebung liegt auch hier in einer Zahlung des J an PBrück, hier in Höhe von 10.000 €.</w:t>
      </w:r>
    </w:p>
    <w:p w14:paraId="25A6AF8A" w14:textId="77777777" w:rsidR="000444BD" w:rsidRPr="009A2A84" w:rsidRDefault="000444BD" w:rsidP="005B6EF7">
      <w:pPr>
        <w:pStyle w:val="berschrift6"/>
      </w:pPr>
      <w:bookmarkStart w:id="356" w:name="_Toc22133195"/>
      <w:r w:rsidRPr="009A2A84">
        <w:t>2. Ohne Rechtsgrund</w:t>
      </w:r>
      <w:bookmarkEnd w:id="356"/>
    </w:p>
    <w:p w14:paraId="4F6105DE" w14:textId="77777777" w:rsidR="000671E9" w:rsidRPr="000671E9" w:rsidRDefault="000671E9" w:rsidP="000671E9">
      <w:pPr>
        <w:pStyle w:val="Randnummer"/>
        <w:framePr w:wrap="around"/>
      </w:pPr>
    </w:p>
    <w:p w14:paraId="06A8F74F" w14:textId="1B8A879D" w:rsidR="000444BD" w:rsidRPr="000444BD" w:rsidRDefault="000444BD" w:rsidP="000444BD">
      <w:pPr>
        <w:rPr>
          <w:bCs/>
        </w:rPr>
      </w:pPr>
      <w:r w:rsidRPr="000444BD">
        <w:rPr>
          <w:bCs/>
        </w:rPr>
        <w:t xml:space="preserve">Wiederum kommt die Vereinbarung als Rechtsgrund für die Vermögensverschiebung in Frage, wenn der Vertrag nicht nach § 54 </w:t>
      </w:r>
      <w:r w:rsidR="00E91AF0">
        <w:rPr>
          <w:bCs/>
        </w:rPr>
        <w:t>1</w:t>
      </w:r>
      <w:r w:rsidRPr="000444BD">
        <w:rPr>
          <w:bCs/>
        </w:rPr>
        <w:t>, bzw. § 59 VwVfG nichtig ist. Insofern kommt es zur Feststellung der Nichtigkeitsgründe wiederum auch auf den Charakter des Vertrages an (s.o.).</w:t>
      </w:r>
    </w:p>
    <w:p w14:paraId="5B5EAB6C" w14:textId="77777777" w:rsidR="000444BD" w:rsidRPr="009A2A84" w:rsidRDefault="000444BD" w:rsidP="005B6EF7">
      <w:pPr>
        <w:pStyle w:val="berschrift7"/>
      </w:pPr>
      <w:bookmarkStart w:id="357" w:name="_Toc22133196"/>
      <w:r w:rsidRPr="009A2A84">
        <w:rPr>
          <w:bCs/>
        </w:rPr>
        <w:t xml:space="preserve">a) </w:t>
      </w:r>
      <w:r w:rsidRPr="009A2A84">
        <w:t>Vertragsschluss</w:t>
      </w:r>
      <w:bookmarkEnd w:id="357"/>
      <w:r w:rsidRPr="009A2A84">
        <w:t xml:space="preserve"> </w:t>
      </w:r>
    </w:p>
    <w:p w14:paraId="716F9110" w14:textId="77777777" w:rsidR="000671E9" w:rsidRPr="000671E9" w:rsidRDefault="000671E9" w:rsidP="000671E9">
      <w:pPr>
        <w:pStyle w:val="Randnummer"/>
        <w:framePr w:wrap="around"/>
      </w:pPr>
    </w:p>
    <w:p w14:paraId="59E329F2" w14:textId="77777777" w:rsidR="000444BD" w:rsidRPr="000444BD" w:rsidRDefault="000444BD" w:rsidP="000444BD">
      <w:r w:rsidRPr="000444BD">
        <w:t>Auch bei dieser Abmachung bestehen keine Bedenken wegen Zuständigkeits- und Verfahrensproblemen. Der Inhalt des Vertrags unterscheidet sich allerdings erheblich von der Vereinbarung 1. J und PBrück haben sich hier darauf geeinigt, dass die Zahlungspflicht erst bei der Erteilung der Baugenehmigung entsteht, die Gemeinde PBrück beabsichtigt auch, die Beträge ganz anders zu verwenden. In Höhe des Betrages von 7.000 € sollen die von den damaligen Erschließungskosten betroffenen Bürger entschädigt werden, die die Erschließungskosten ohne Beteiligung Js tragen mussten. In Höhe von 3.000 € soll die Instandhaltung des Rathauses finanziert werden. Das ändert wegen dem baurechtlichen Gepräge des Sachverhalts jedoch nichts an seinem öffentlich-rechtlichen Charakter (s.o.).</w:t>
      </w:r>
    </w:p>
    <w:p w14:paraId="27D2620F" w14:textId="77777777" w:rsidR="000444BD" w:rsidRPr="009A2A84" w:rsidRDefault="000444BD" w:rsidP="005B6EF7">
      <w:pPr>
        <w:pStyle w:val="berschrift7"/>
      </w:pPr>
      <w:bookmarkStart w:id="358" w:name="_Toc22133197"/>
      <w:r w:rsidRPr="009A2A84">
        <w:t>b) Vertragsformverbot</w:t>
      </w:r>
      <w:bookmarkEnd w:id="358"/>
    </w:p>
    <w:p w14:paraId="159C447D" w14:textId="77777777" w:rsidR="000671E9" w:rsidRPr="000671E9" w:rsidRDefault="000671E9" w:rsidP="000671E9">
      <w:pPr>
        <w:pStyle w:val="Randnummer"/>
        <w:framePr w:wrap="around"/>
      </w:pPr>
    </w:p>
    <w:p w14:paraId="4D08B131" w14:textId="0B2A7DF3" w:rsidR="000444BD" w:rsidRPr="000444BD" w:rsidRDefault="000444BD" w:rsidP="000444BD">
      <w:r w:rsidRPr="000444BD">
        <w:t>Der Vertragsschluss würde wiederum als Rechtsgrund für die Vermögensverschiebung ausscheiden, wenn er als nichtig einzustufen ist. Im Hinblick auf das Vertragsformverbot nach § 1 III 2 BauGB gilt aber erneut, dass der Änderungsbeschluss des Bebauungsplans nicht Vertragsgegenstand ist, sondern lediglich Geschäftsgrundlage und daher nicht dem Verbot aus § 1 III 2 BauGB widerspricht.</w:t>
      </w:r>
    </w:p>
    <w:p w14:paraId="64895F09" w14:textId="77777777" w:rsidR="000444BD" w:rsidRPr="009A2A84" w:rsidRDefault="000444BD" w:rsidP="005B6EF7">
      <w:pPr>
        <w:pStyle w:val="berschrift7"/>
      </w:pPr>
      <w:bookmarkStart w:id="359" w:name="_Toc22133198"/>
      <w:r w:rsidRPr="009A2A84">
        <w:t>c) Nichtigkeit gem. §§ 59 II VwVfG, § 54 S. 2 VwVfG</w:t>
      </w:r>
      <w:bookmarkEnd w:id="359"/>
    </w:p>
    <w:p w14:paraId="4441BE4C" w14:textId="77777777" w:rsidR="000671E9" w:rsidRPr="000671E9" w:rsidRDefault="000671E9" w:rsidP="000671E9">
      <w:pPr>
        <w:pStyle w:val="Randnummer"/>
        <w:framePr w:wrap="around"/>
      </w:pPr>
    </w:p>
    <w:p w14:paraId="050FC65F" w14:textId="72B825FD" w:rsidR="000444BD" w:rsidRPr="000444BD" w:rsidRDefault="000444BD" w:rsidP="000444BD">
      <w:r w:rsidRPr="000444BD">
        <w:t xml:space="preserve">Zunächst muss erneut geklärt werden, ob es sich um einen subordinationsrechtlichen Vertrag im Sinne des § 54 S. 2 VwVfG handelt. Dies könnte wiederum zweifelhaft sein, weil der Vertrag nicht die Baugenehmigung erteilt, sondern die Erteilung nur die Bedingung für die Zahlungsverpflichtung darstellt. Insofern kann allerdings auf die obigen Ausführungen verwiesen werden. § 54 S. 2 VwVfG gilt trotz des engen Wortlauts für alle Verträge zwischen Privatpersonen und Trägern der öffentlichen Verwaltung in Bereichen, in denen </w:t>
      </w:r>
      <w:r w:rsidRPr="000444BD">
        <w:rPr>
          <w:bCs/>
        </w:rPr>
        <w:t>typischerweise</w:t>
      </w:r>
      <w:r w:rsidRPr="000444BD">
        <w:t xml:space="preserve"> ein hoheitliches Verhältnis der </w:t>
      </w:r>
      <w:r w:rsidRPr="000444BD">
        <w:rPr>
          <w:bCs/>
        </w:rPr>
        <w:t>Über- und Unterordnung</w:t>
      </w:r>
      <w:r w:rsidRPr="000444BD">
        <w:t xml:space="preserve"> besteht. Hier soll die vertragliche Leistungspflicht des J zumindest teilweise an Stelle eines durch </w:t>
      </w:r>
      <w:r w:rsidR="006D7E4D">
        <w:t>Verwaltungsakt</w:t>
      </w:r>
      <w:r w:rsidRPr="000444BD">
        <w:t xml:space="preserve"> nicht mehr festsetzbaren Erschließungsbeitrags treten (vgl. § 131 BauGB), das Ziel ist daher als </w:t>
      </w:r>
      <w:r w:rsidRPr="000444BD">
        <w:rPr>
          <w:bCs/>
        </w:rPr>
        <w:t xml:space="preserve">Substitution eines </w:t>
      </w:r>
      <w:r w:rsidR="006D7E4D">
        <w:rPr>
          <w:bCs/>
        </w:rPr>
        <w:t>Verwaltungsakts</w:t>
      </w:r>
      <w:r w:rsidRPr="000444BD">
        <w:rPr>
          <w:bCs/>
        </w:rPr>
        <w:t xml:space="preserve"> zu verstehen und </w:t>
      </w:r>
      <w:r w:rsidRPr="000444BD">
        <w:t xml:space="preserve">nicht als Koordination oder Kooperation einzuordnen. Es handelt sich somit auch bei der Vereinbarung </w:t>
      </w:r>
      <w:r w:rsidR="008D4994">
        <w:t>2</w:t>
      </w:r>
      <w:r w:rsidRPr="000444BD">
        <w:t xml:space="preserve"> um einen subordinationsrechtlichen Vertrag nach § 54 I 2 VwVfG, so dass die Nichtigkeitsgründe des § 59 II VwVfG </w:t>
      </w:r>
      <w:r w:rsidR="008D4994" w:rsidRPr="000444BD">
        <w:t>potenziell</w:t>
      </w:r>
      <w:r w:rsidRPr="000444BD">
        <w:t xml:space="preserve"> anwendbar sind.</w:t>
      </w:r>
    </w:p>
    <w:p w14:paraId="4D30F722" w14:textId="77777777" w:rsidR="000444BD" w:rsidRPr="009A2A84" w:rsidRDefault="000444BD" w:rsidP="005B6EF7">
      <w:pPr>
        <w:pStyle w:val="berschrift7"/>
      </w:pPr>
      <w:bookmarkStart w:id="360" w:name="_Toc22133199"/>
      <w:r w:rsidRPr="009A2A84">
        <w:t>d) Nichtigkeit nach § 59 II Nr. 4 VwVfG bei einem Austauschvertrag nach § 56 I oder II VwVfG</w:t>
      </w:r>
      <w:bookmarkEnd w:id="360"/>
    </w:p>
    <w:p w14:paraId="7860E356" w14:textId="77777777" w:rsidR="000671E9" w:rsidRPr="000671E9" w:rsidRDefault="000671E9" w:rsidP="000671E9">
      <w:pPr>
        <w:pStyle w:val="Randnummer"/>
        <w:framePr w:wrap="around"/>
      </w:pPr>
    </w:p>
    <w:p w14:paraId="6A85A625" w14:textId="77777777" w:rsidR="000444BD" w:rsidRPr="000444BD" w:rsidRDefault="000444BD" w:rsidP="000444BD">
      <w:r w:rsidRPr="000444BD">
        <w:t>Damit ein Verstoß gegen § 59 II Nr. 4 VwVfG möglich ist, müsste es sich wiederum um einen Austauschvertrag im Sinne des § 56 I VwVfG handeln.</w:t>
      </w:r>
    </w:p>
    <w:p w14:paraId="585AD39F" w14:textId="77777777" w:rsidR="000444BD" w:rsidRPr="009A2A84" w:rsidRDefault="000444BD" w:rsidP="005B6EF7">
      <w:pPr>
        <w:pStyle w:val="berschrift8"/>
      </w:pPr>
      <w:bookmarkStart w:id="361" w:name="_Toc22133200"/>
      <w:r w:rsidRPr="009A2A84">
        <w:t>aa) Vorliegen eines Austauschvertrages</w:t>
      </w:r>
      <w:bookmarkEnd w:id="361"/>
    </w:p>
    <w:p w14:paraId="67E0E010" w14:textId="77777777" w:rsidR="000671E9" w:rsidRPr="000671E9" w:rsidRDefault="000671E9" w:rsidP="000671E9">
      <w:pPr>
        <w:pStyle w:val="Randnummer"/>
        <w:framePr w:wrap="around"/>
      </w:pPr>
    </w:p>
    <w:p w14:paraId="2F757280" w14:textId="56CAFF96" w:rsidR="000444BD" w:rsidRPr="000444BD" w:rsidRDefault="000444BD" w:rsidP="000444BD">
      <w:r w:rsidRPr="000444BD">
        <w:t xml:space="preserve">Auch könnte wiederum fraglich sein, ob es sich um einen Austauschvertrag handelt, da sich die Gemeinde nicht direkt zu einer Gegenleistung verpflichtet hat. Hier gilt allerdings erneut, dass § 56 I VwVfG nicht nur auf </w:t>
      </w:r>
      <w:r w:rsidR="00063CE4">
        <w:t xml:space="preserve">einen </w:t>
      </w:r>
      <w:r w:rsidRPr="000444BD">
        <w:t xml:space="preserve">Austauschvertrag im engeren Sinne anwendbar ist, sondern (zumindest entsprechend) auch auf unvollständige </w:t>
      </w:r>
      <w:r w:rsidRPr="000444BD">
        <w:rPr>
          <w:bCs/>
        </w:rPr>
        <w:t>(„hinkende“) Austauschverträge</w:t>
      </w:r>
      <w:r w:rsidRPr="000444BD">
        <w:t xml:space="preserve">, in denen die Leistung der Gemeinde </w:t>
      </w:r>
      <w:r w:rsidRPr="000444BD">
        <w:rPr>
          <w:bCs/>
        </w:rPr>
        <w:t>Bedingung bzw. Geschäftsgrundlage</w:t>
      </w:r>
      <w:r w:rsidRPr="000444BD">
        <w:t xml:space="preserve"> für die vertraglich vereinbarte Gegenleistung des Bürgers darstellt, weil es für die Anforderungen des Rechtsstaatgebots keinen Unterschied machen kann, wie die im Zusammenhang stehenden Leistungen mit den der Vertragsgestaltung zur Verfügung stehenden Mechanismen verknüpft werden.</w:t>
      </w:r>
      <w:r w:rsidRPr="000444BD">
        <w:rPr>
          <w:vertAlign w:val="superscript"/>
        </w:rPr>
        <w:footnoteReference w:id="261"/>
      </w:r>
    </w:p>
    <w:p w14:paraId="390EB62A" w14:textId="4307E93F" w:rsidR="000444BD" w:rsidRPr="009A2A84" w:rsidRDefault="000444BD" w:rsidP="005B6EF7">
      <w:pPr>
        <w:pStyle w:val="berschrift8"/>
      </w:pPr>
      <w:bookmarkStart w:id="362" w:name="_Toc22133201"/>
      <w:r w:rsidRPr="009A2A84">
        <w:t>bb) Ver</w:t>
      </w:r>
      <w:r w:rsidR="000671E9" w:rsidRPr="009A2A84">
        <w:t>stoß gegen das Koppelungsverbot</w:t>
      </w:r>
      <w:bookmarkEnd w:id="362"/>
    </w:p>
    <w:p w14:paraId="0865C374" w14:textId="77777777" w:rsidR="000671E9" w:rsidRPr="000671E9" w:rsidRDefault="000671E9" w:rsidP="000671E9">
      <w:pPr>
        <w:pStyle w:val="Randnummer"/>
        <w:framePr w:wrap="around"/>
      </w:pPr>
    </w:p>
    <w:p w14:paraId="046F3384" w14:textId="77777777" w:rsidR="000444BD" w:rsidRPr="000444BD" w:rsidRDefault="000444BD" w:rsidP="000444BD">
      <w:r w:rsidRPr="000444BD">
        <w:rPr>
          <w:bCs/>
        </w:rPr>
        <w:t>Austauschverträge verstoßen nur dann nicht gegen das Koppelungsverbot, wenn die Gegenleistung für einen bestimmten Zweck im Vertrag vereinbart worden ist, den gesamten Umständen nach angemessen ist und im sachlichen Zusammenhang mit der vertraglichen Leistung der Behörde steht. Indem die Gemeinde die Verwendungszwecke klar und erkennbar angegeben hat, hat sie die Zweckbestimmung hinreichend bestimmt. Problematisch ist aber der sachliche Zusammenhang</w:t>
      </w:r>
      <w:r w:rsidRPr="000444BD">
        <w:t xml:space="preserve"> zwischen Leistung und Gegenleistung. Es darf keine inhaltliche Verknüpfung von Gegenständen vollzogen werden, die nicht ohnedies schon in innerem Zusammenhang stehen und keine Abhängigkeit hoheitlicher Entscheidungen von wirtschaftlichen Gegenleistungen stattfinden, falls dadurch nicht die Beseitigung rechtlicher Hindernisses für behördliche Leistungen erreicht wird (</w:t>
      </w:r>
      <w:r w:rsidRPr="000444BD">
        <w:rPr>
          <w:bCs/>
        </w:rPr>
        <w:t>kein „Verkauf von Hoheitsakten“, s.o.</w:t>
      </w:r>
      <w:r w:rsidRPr="000444BD">
        <w:t>). Da unterschiedliche Zwecke vereinbart wurden, ist es sinnvoll, die Prüfung des Sachzusammenhangs getrennt nach den unterschiedlichen Beträgen vorzunehmen.</w:t>
      </w:r>
    </w:p>
    <w:p w14:paraId="692AA73E" w14:textId="30003190" w:rsidR="000444BD" w:rsidRPr="009A2A84" w:rsidRDefault="000444BD" w:rsidP="005B6EF7">
      <w:pPr>
        <w:pStyle w:val="berschrift9"/>
      </w:pPr>
      <w:bookmarkStart w:id="363" w:name="_Toc22133202"/>
      <w:r w:rsidRPr="009A2A84">
        <w:t>(1) 7.000 € als Entschädigung für die vom damaligen Erschließu</w:t>
      </w:r>
      <w:r w:rsidR="000671E9" w:rsidRPr="009A2A84">
        <w:t>ngsbeitrag belasteten Nachbarn</w:t>
      </w:r>
      <w:bookmarkEnd w:id="363"/>
    </w:p>
    <w:p w14:paraId="0E3F5DDA" w14:textId="77777777" w:rsidR="000671E9" w:rsidRPr="000671E9" w:rsidRDefault="000671E9" w:rsidP="000671E9">
      <w:pPr>
        <w:pStyle w:val="Randnummer"/>
        <w:framePr w:wrap="around"/>
      </w:pPr>
    </w:p>
    <w:p w14:paraId="245EE8EA" w14:textId="77777777" w:rsidR="000444BD" w:rsidRPr="000444BD" w:rsidRDefault="000444BD" w:rsidP="000444BD">
      <w:pPr>
        <w:rPr>
          <w:bCs/>
        </w:rPr>
      </w:pPr>
      <w:r w:rsidRPr="000444BD">
        <w:rPr>
          <w:bCs/>
        </w:rPr>
        <w:t xml:space="preserve">Der wesentliche Anteil der Gegenleistung soll an die von den Erschließungskosten belasteten Anwohner ausgeschüttet werden. Die Gemeinde plant aus </w:t>
      </w:r>
      <w:r w:rsidRPr="000444BD">
        <w:t>Gleichbehandlungsgründen die Abschöpfung des kostenlosen Erschließungsvorteils und die Schließung einer „Gerechtigkeitslücke“, da J sonst ohne wesentliche Kostenbeteiligung die Vorteile der Erschließung seines Grundstücks abschöpfen könnte.</w:t>
      </w:r>
      <w:r w:rsidRPr="000444BD">
        <w:rPr>
          <w:vertAlign w:val="superscript"/>
        </w:rPr>
        <w:footnoteReference w:id="262"/>
      </w:r>
      <w:r w:rsidRPr="000444BD">
        <w:t xml:space="preserve"> </w:t>
      </w:r>
      <w:r w:rsidRPr="000444BD">
        <w:rPr>
          <w:bCs/>
        </w:rPr>
        <w:t>Nach der Auffassung des VGH München besteht in derartigen Konstellationen ein s</w:t>
      </w:r>
      <w:r w:rsidRPr="000444BD">
        <w:t xml:space="preserve">achlicher Zusammenhang und es findet kein „Verkauf von Hoheitsakten“ statt. PBrück befolgte immerhin bei der Planaufstellung den Gleichbehandlungsgrundsatz und suchte insgesamt eine vergleichbare Situation wie bei ursprünglicher Einbeziehung (d.h. Heranziehung zu Erschließungskosten) herbeizuführen. </w:t>
      </w:r>
      <w:r w:rsidRPr="000444BD">
        <w:rPr>
          <w:bCs/>
        </w:rPr>
        <w:t>Der sachliche Zusammenhang bestünde hier also darin, dass die Gemeinde alle vom Bebauungsplan betroffenen Grundstückseigentümer gleich behandeln will. Gegen einen sachlichen Zusammenhang spricht allerdings, dass die Erschließungsbeitragspflicht mit der endgültigen Herstellung der Erschließungsanlagen (§ 133 II 1 BauGB) entsteht. Ein Grundstück, das wie hier das Grundstück des J im Zeitpunkt des Entstehens der sachlichen (abstrakten) Beitragspflichten im Außenbereich liegt, gehört nicht zu den i.S. von § 131 I BauGB durch eine beitragsfähige Erschließungsanlage erschlossenen Grundstücken und scheidet deshalb als Gegenstand der Erhebung eines Erschließungsbeitrags für diese Anlage aus.</w:t>
      </w:r>
      <w:r w:rsidRPr="000444BD">
        <w:rPr>
          <w:bCs/>
          <w:vertAlign w:val="superscript"/>
        </w:rPr>
        <w:footnoteReference w:id="263"/>
      </w:r>
      <w:r w:rsidRPr="000444BD">
        <w:rPr>
          <w:bCs/>
        </w:rPr>
        <w:t xml:space="preserve"> Als Nicht-Bauland gehörte das Grundstück des J somit nicht zu den im Gebiet des Bebauungsplans gelegenen Grundstücken, auf die der beitragsfähige Erschließungsaufwand für die Erschließungsanlagen im Neubaugebiet zu verteilen war. Der Anteil am beitragsfähigen Erschließungsaufwand, der auf die Grundstückseigentümer im Plangebiet umgelegt werden konnte, fiel daher höher aus als bei Einbeziehung des Grundstücks des J.</w:t>
      </w:r>
    </w:p>
    <w:p w14:paraId="681A285B" w14:textId="77777777" w:rsidR="000444BD" w:rsidRPr="000444BD" w:rsidRDefault="000444BD" w:rsidP="000444BD">
      <w:pPr>
        <w:rPr>
          <w:bCs/>
        </w:rPr>
      </w:pPr>
      <w:r w:rsidRPr="000444BD">
        <w:rPr>
          <w:bCs/>
        </w:rPr>
        <w:t>Nichtsdestotrotz kann aus Gründen einer fortwirkenden Abgabengerechtigkeit ein sachlicher Zusammenhang dadurch bestehen, dass die Gemeinde bei der Einbeziehung eines Grundstücks in das Plangebiet im Nachhinein alle Beteiligten wirtschaftlich so zu stellen beabsichtigt, als sei ihr Grundstück im maßgeblichen Zeitpunkt erschließungsbeitragspflichtig gewesen. Insofern genügt diese Vereinbarung, die vorsieht, dass die von J zu erbringende Geldleistung unmittelbar oder mittelbar den Grundstückseigentümern zu Gute kommen soll, dessen Kostenanteil sich im Fall einer Beitragspflicht des J seinerzeit vermindert hätte, diesen Anforderungen. Es ist also noch ein Zusammenhang im Sinne der Regelung gegeben, weil die Zweckbestimmung der vom Vertragspartner der Behörde zu erbringenden Gegenleistung demselben öffentlichen Interesse im weiteren Sinne dient wie die Rechtsvorschriften und/oder allgemeinen Rechtsgrundsätze, welche die Behörde zu der von ihr zu erbringenden Leistung ermächtigen (a.A. vertretbar</w:t>
      </w:r>
      <w:r w:rsidRPr="000444BD">
        <w:rPr>
          <w:bCs/>
          <w:vertAlign w:val="superscript"/>
        </w:rPr>
        <w:footnoteReference w:id="264"/>
      </w:r>
      <w:r w:rsidRPr="000444BD">
        <w:rPr>
          <w:bCs/>
        </w:rPr>
        <w:t>).</w:t>
      </w:r>
    </w:p>
    <w:p w14:paraId="4855C58F" w14:textId="77777777" w:rsidR="000444BD" w:rsidRPr="009A2A84" w:rsidRDefault="000444BD" w:rsidP="005B6EF7">
      <w:pPr>
        <w:pStyle w:val="berschrift9"/>
      </w:pPr>
      <w:bookmarkStart w:id="364" w:name="_Toc22133203"/>
      <w:r w:rsidRPr="009A2A84">
        <w:t>(2) 3.000 € für die Restauration des Rathauses</w:t>
      </w:r>
      <w:bookmarkEnd w:id="364"/>
      <w:r w:rsidRPr="009A2A84">
        <w:t xml:space="preserve"> </w:t>
      </w:r>
    </w:p>
    <w:p w14:paraId="5B49BCB9" w14:textId="77777777" w:rsidR="000671E9" w:rsidRPr="000671E9" w:rsidRDefault="000671E9" w:rsidP="000671E9">
      <w:pPr>
        <w:pStyle w:val="Randnummer"/>
        <w:framePr w:wrap="around"/>
      </w:pPr>
    </w:p>
    <w:p w14:paraId="1D88E574" w14:textId="77777777" w:rsidR="000444BD" w:rsidRPr="000444BD" w:rsidRDefault="000444BD" w:rsidP="000444BD">
      <w:r w:rsidRPr="000444BD">
        <w:rPr>
          <w:bCs/>
        </w:rPr>
        <w:t>Dieses Ergebnis kann jedoch nicht ohne weiteres auch für die 3.000 € angenommen werden, die die Gemeinde für die Restauration des Rathauses verwenden will. Ein sachlicher Zusammenhang zwischen Leistung und Gegenleistung kann nämlich immer dann entfallen, wenn die vom Bürger zu erbringende Leistung einem anderen öffentlichen Interesse zu dienen bestimmt ist als die von der Behörde zu erbringende oder von ihr in Aussicht gestellte Leistung. Der s</w:t>
      </w:r>
      <w:r w:rsidRPr="000444BD">
        <w:t xml:space="preserve">achliche Zusammenhang kann auch fehlen, wenn die Leistung des Bürgers einem </w:t>
      </w:r>
      <w:r w:rsidRPr="000444BD">
        <w:rPr>
          <w:bCs/>
        </w:rPr>
        <w:t>anderen öffentlichen Interesse</w:t>
      </w:r>
      <w:r w:rsidRPr="000444BD">
        <w:t xml:space="preserve"> dienen soll als die Leistung der Behörde.</w:t>
      </w:r>
      <w:r w:rsidRPr="000444BD">
        <w:rPr>
          <w:vertAlign w:val="superscript"/>
        </w:rPr>
        <w:footnoteReference w:id="265"/>
      </w:r>
      <w:r w:rsidRPr="000444BD">
        <w:t xml:space="preserve"> </w:t>
      </w:r>
    </w:p>
    <w:p w14:paraId="27D75933" w14:textId="77777777" w:rsidR="000444BD" w:rsidRPr="000444BD" w:rsidRDefault="000444BD" w:rsidP="000444BD">
      <w:r w:rsidRPr="000444BD">
        <w:t xml:space="preserve">Hier besteht kein Zusammenhang dieser Form. Zwar übersteigt der von J verlangte Betrag nicht denjenigen, den die Anwohner damals bezahlt haben, die Instandsetzung des Rathauses ist allerdings keine bauplanerische Aufgabe und auch in keiner Weise Voraussetzung oder Folgelast des Bauvorhabens des </w:t>
      </w:r>
      <w:r w:rsidRPr="000444BD">
        <w:rPr>
          <w:bCs/>
        </w:rPr>
        <w:t>J</w:t>
      </w:r>
      <w:r w:rsidRPr="000444BD">
        <w:t xml:space="preserve">. Es handelt sich hier auch nicht um einen Zusammenhang, da ein Ausgleich zwischen </w:t>
      </w:r>
      <w:r w:rsidRPr="000444BD">
        <w:rPr>
          <w:bCs/>
        </w:rPr>
        <w:t>J</w:t>
      </w:r>
      <w:r w:rsidRPr="000444BD">
        <w:t xml:space="preserve"> und PBrück aus Billigkeitsgründen stattfinden würde. Denn auch wenn das Herausfallen des Grundstücks des </w:t>
      </w:r>
      <w:r w:rsidRPr="000444BD">
        <w:rPr>
          <w:bCs/>
        </w:rPr>
        <w:t>J</w:t>
      </w:r>
      <w:r w:rsidRPr="000444BD">
        <w:t xml:space="preserve"> aus der Beitragspflicht (§ 131 I BauGB) höhere Beiträge für die anderen Plangrundstücke zur Folge hatte, blieb der Eigenanteil Gemeinde dadurch unverändert (vgl. § 129 I 3 BauGB: 10%). </w:t>
      </w:r>
    </w:p>
    <w:p w14:paraId="271639D1" w14:textId="77777777" w:rsidR="000444BD" w:rsidRPr="009A2A84" w:rsidRDefault="000444BD" w:rsidP="005B6EF7">
      <w:pPr>
        <w:pStyle w:val="berschrift9"/>
      </w:pPr>
      <w:bookmarkStart w:id="365" w:name="_Toc22133204"/>
      <w:r w:rsidRPr="009A2A84">
        <w:t>(3) Zwischenergebnis</w:t>
      </w:r>
      <w:bookmarkEnd w:id="365"/>
    </w:p>
    <w:p w14:paraId="1F21BC6F" w14:textId="77777777" w:rsidR="000671E9" w:rsidRPr="000671E9" w:rsidRDefault="000671E9" w:rsidP="000671E9">
      <w:pPr>
        <w:pStyle w:val="Randnummer"/>
        <w:framePr w:wrap="around"/>
      </w:pPr>
    </w:p>
    <w:p w14:paraId="1AB4BEFA" w14:textId="77777777" w:rsidR="000444BD" w:rsidRPr="000444BD" w:rsidRDefault="000444BD" w:rsidP="000444BD">
      <w:r w:rsidRPr="000444BD">
        <w:rPr>
          <w:bCs/>
        </w:rPr>
        <w:t>In der Höhe von 3.000 € liegt daher ein V</w:t>
      </w:r>
      <w:r w:rsidRPr="000444BD">
        <w:t>erstoß gegen das Koppelungsverbot aus § 56 VwVfG vor.</w:t>
      </w:r>
      <w:r w:rsidRPr="000444BD">
        <w:rPr>
          <w:vertAlign w:val="superscript"/>
        </w:rPr>
        <w:footnoteReference w:id="266"/>
      </w:r>
    </w:p>
    <w:p w14:paraId="17F92E14" w14:textId="4545CDE8" w:rsidR="000444BD" w:rsidRPr="009A2A84" w:rsidRDefault="000444BD" w:rsidP="005B6EF7">
      <w:pPr>
        <w:pStyle w:val="berschrift7"/>
      </w:pPr>
      <w:bookmarkStart w:id="366" w:name="_Toc22133205"/>
      <w:r w:rsidRPr="009A2A84">
        <w:t>e) Folge der zumindest teilweisen Nichtigkeit</w:t>
      </w:r>
      <w:bookmarkEnd w:id="366"/>
    </w:p>
    <w:p w14:paraId="7479427D" w14:textId="77777777" w:rsidR="000671E9" w:rsidRPr="000671E9" w:rsidRDefault="000671E9" w:rsidP="000671E9">
      <w:pPr>
        <w:pStyle w:val="Randnummer"/>
        <w:framePr w:wrap="around"/>
      </w:pPr>
    </w:p>
    <w:p w14:paraId="4D6973FB" w14:textId="77777777" w:rsidR="000444BD" w:rsidRPr="000444BD" w:rsidRDefault="000444BD" w:rsidP="000444BD">
      <w:r w:rsidRPr="000444BD">
        <w:rPr>
          <w:bCs/>
        </w:rPr>
        <w:t>Zwar ist ein öffentlich-rechtlicher Vertrag nach §§ 54 VwVfG grundsätzlich auch trotz Rechtswidrigkeit gültig, im Falle des hier vorliegenden einschlägigen speziellen Nichtigkeitsgrundes</w:t>
      </w:r>
      <w:r w:rsidRPr="000444BD">
        <w:t xml:space="preserve"> nach § 59 II Nr. 4 i. V. m. § 56 VwVfG folgt allerdings aus dem Verstoß gegen das Koppelungsverbot grundsätzlich die Nichtigkeit.</w:t>
      </w:r>
    </w:p>
    <w:p w14:paraId="61933F4B" w14:textId="509207D4" w:rsidR="000444BD" w:rsidRPr="000444BD" w:rsidRDefault="000444BD" w:rsidP="000444BD">
      <w:r w:rsidRPr="000444BD">
        <w:t xml:space="preserve">Fraglich ist allerdings wie der nur teilweise Verstoß gegen das Koppelungsverbot auch vor dem Hintergrund von § 59 III VwVfG einzuordnen ist, der besagt, dass die Nichtigkeit nur eines Teil des Vertrags zur Gesamtnichtigkeit führt, wenn nicht anzunehmen ist, dass er auch ohne den nichtigen Teil geschlossen worden wäre. Bei der Bewertung ist wie bei § 139 BGB auf den mutmaßlichen Willen der Vertragsparteien abzustellen. Für diesen kommt es darauf an, ob eine Bewertung aus der Sicht einer verständigen Vertragspartei ergibt, dass sie den Vertrag auch ohne den nichtigen Teil vernünftigerweise abgeschlossen hätte. Aus der Formulierung „wenn nicht anzunehmen ist“ folgt allerdings, dass die Gesamtnichtigkeit den Regelfall bildet und für sie zugleich eine (allerdings widerlegliche) Vermutung streitet. Allerdings bleiben die nicht von der Nichtigkeit erfassten Vertragsteile wirksam, wenn sie nach dem mutmaßlichen Willen der Parteien selbständig sinnvolle Regelungen enthalten. Der Wille der Parteien ist hier nach den allgemeinen Regeln über die Auslegung und in entsprechender Anwendung der §§ 133, 157 BGB i.V.m. § 62 </w:t>
      </w:r>
      <w:r w:rsidR="0057061A">
        <w:t>VwVfG</w:t>
      </w:r>
      <w:r w:rsidRPr="000444BD">
        <w:t xml:space="preserve"> zu ermitteln. Hier kommt man insbesondere über die Auslegung der salvatorischen Klausel zu dem Ergebnis, dass die Parteien eine weitestgehende Gültigkeit der Regelungen erreichen wollen. Da die Zahlungspflichten getrennt nach den Verwendungszwecken ausgewiesen sind, die Vereinbarungen auch getrennt sinnvoll bleiben und nur im Hinblick auf einen Verwendungszweck nichtig sind, ist davon auszugehen, dass die Regelung bezüglich der Zahlungspflicht von 7.000 € gültig bleibt.</w:t>
      </w:r>
    </w:p>
    <w:p w14:paraId="5E61B5B9" w14:textId="6A4F6512" w:rsidR="000444BD" w:rsidRPr="009A2A84" w:rsidRDefault="000444BD" w:rsidP="005B6EF7">
      <w:pPr>
        <w:pStyle w:val="berschrift7"/>
      </w:pPr>
      <w:bookmarkStart w:id="367" w:name="_Toc22133206"/>
      <w:r w:rsidRPr="009A2A84">
        <w:t>f) Ergebnis</w:t>
      </w:r>
      <w:bookmarkEnd w:id="367"/>
    </w:p>
    <w:p w14:paraId="51D0BFA3" w14:textId="77777777" w:rsidR="000671E9" w:rsidRPr="000671E9" w:rsidRDefault="000671E9" w:rsidP="000671E9">
      <w:pPr>
        <w:pStyle w:val="Randnummer"/>
        <w:framePr w:wrap="around"/>
      </w:pPr>
    </w:p>
    <w:p w14:paraId="6585752A" w14:textId="77777777" w:rsidR="000444BD" w:rsidRPr="000444BD" w:rsidRDefault="000444BD" w:rsidP="000444BD">
      <w:r w:rsidRPr="000444BD">
        <w:t>Der Vertrag ist nichtig in Bezug auf die Zahlungspflicht von 3.000 €, also soweit die Gegenleistung für die Restauration des Rathauses verwendet werden soll.</w:t>
      </w:r>
    </w:p>
    <w:p w14:paraId="511739F8" w14:textId="34898932" w:rsidR="000444BD" w:rsidRPr="009A2A84" w:rsidRDefault="000444BD" w:rsidP="005B6EF7">
      <w:pPr>
        <w:pStyle w:val="berschrift6"/>
      </w:pPr>
      <w:bookmarkStart w:id="368" w:name="_Toc22133207"/>
      <w:r w:rsidRPr="009A2A84">
        <w:t>3. Nichtvorliegen eines Ausschlussgrundes</w:t>
      </w:r>
      <w:bookmarkEnd w:id="368"/>
    </w:p>
    <w:p w14:paraId="6AD33A79" w14:textId="77777777" w:rsidR="000671E9" w:rsidRPr="000671E9" w:rsidRDefault="000671E9" w:rsidP="000671E9">
      <w:pPr>
        <w:pStyle w:val="Randnummer"/>
        <w:framePr w:wrap="around"/>
      </w:pPr>
    </w:p>
    <w:p w14:paraId="0317B976" w14:textId="77777777" w:rsidR="000444BD" w:rsidRPr="000444BD" w:rsidRDefault="000444BD" w:rsidP="000444BD">
      <w:r w:rsidRPr="000444BD">
        <w:rPr>
          <w:bCs/>
        </w:rPr>
        <w:t>Hier kommt vor allem der Grundsatz von Treu und Glauben in Frage, der zu den allgemeinen Grundsätzen des Verwaltungsrechts gehört. Gegen eine Rückzahlungspflicht der Gemeinde PBrück könnte sprechen, dass J</w:t>
      </w:r>
      <w:r w:rsidRPr="000444BD">
        <w:t xml:space="preserve"> mit Rückforderung bis zur Errichtung des Hauses abgewartet hat, also bereits in den vollen Vorzug der Leistung der Gemeinde gekommen ist. Allerdings hätte eine Anwendung des Grundsatzes auf öffentlich-rechtliche Bereicherungsansprüche zur Folge, dass die gesetzlich angeordnete Nichtigkeitssanktion vielfach wirkungslos bliebe, wenn der Erstattungsanspruch des Bürgers infolge irreversibler Leistungserbringung seitens Behörde ausgeschlossen wäre.</w:t>
      </w:r>
    </w:p>
    <w:p w14:paraId="703B18C3" w14:textId="77777777" w:rsidR="000444BD" w:rsidRDefault="000444BD" w:rsidP="000444BD">
      <w:r w:rsidRPr="000444BD">
        <w:t>Insofern kann sich die Gemeinde nicht auf einen Ausschluss der Rückforderung infolge von Treuwidrigkeit berufen.</w:t>
      </w:r>
      <w:r w:rsidRPr="000444BD">
        <w:rPr>
          <w:vertAlign w:val="superscript"/>
        </w:rPr>
        <w:footnoteReference w:id="267"/>
      </w:r>
    </w:p>
    <w:p w14:paraId="2B01575B" w14:textId="77777777" w:rsidR="00772351" w:rsidRPr="000444BD" w:rsidRDefault="00772351" w:rsidP="000444BD"/>
    <w:p w14:paraId="6152CED9" w14:textId="78E4898D" w:rsidR="000444BD" w:rsidRPr="009A2A84" w:rsidRDefault="000444BD" w:rsidP="005B6EF7">
      <w:pPr>
        <w:pStyle w:val="berschrift5"/>
      </w:pPr>
      <w:bookmarkStart w:id="369" w:name="_Toc22133208"/>
      <w:r w:rsidRPr="009A2A84">
        <w:t>III. Zwischenergebnis</w:t>
      </w:r>
      <w:bookmarkEnd w:id="369"/>
      <w:r w:rsidRPr="009A2A84">
        <w:t xml:space="preserve"> </w:t>
      </w:r>
    </w:p>
    <w:p w14:paraId="5088A5EF" w14:textId="77777777" w:rsidR="000671E9" w:rsidRPr="000671E9" w:rsidRDefault="000671E9" w:rsidP="000671E9">
      <w:pPr>
        <w:pStyle w:val="Randnummer"/>
        <w:framePr w:wrap="around"/>
      </w:pPr>
    </w:p>
    <w:p w14:paraId="40D63EC9" w14:textId="77777777" w:rsidR="000444BD" w:rsidRDefault="000444BD" w:rsidP="000444BD">
      <w:r w:rsidRPr="000444BD">
        <w:rPr>
          <w:bCs/>
        </w:rPr>
        <w:t>J</w:t>
      </w:r>
      <w:r w:rsidRPr="000444BD">
        <w:t xml:space="preserve"> hat gegenüber der Stadt einen öffentlich-rechtlichen Erstattungsanspruch in Höhe von 3.000 €.</w:t>
      </w:r>
    </w:p>
    <w:p w14:paraId="58BFD890" w14:textId="77777777" w:rsidR="005B6EF7" w:rsidRPr="000444BD" w:rsidRDefault="005B6EF7" w:rsidP="000444BD"/>
    <w:p w14:paraId="325CBB29" w14:textId="77777777" w:rsidR="000444BD" w:rsidRPr="009A2A84" w:rsidRDefault="000444BD" w:rsidP="005B6EF7">
      <w:pPr>
        <w:pStyle w:val="berschrift4"/>
      </w:pPr>
      <w:bookmarkStart w:id="370" w:name="_Toc22133209"/>
      <w:r w:rsidRPr="009A2A84">
        <w:t>C. Ergebnis</w:t>
      </w:r>
      <w:bookmarkEnd w:id="370"/>
    </w:p>
    <w:p w14:paraId="2D843255" w14:textId="77777777" w:rsidR="000671E9" w:rsidRPr="000671E9" w:rsidRDefault="000671E9" w:rsidP="000671E9">
      <w:pPr>
        <w:pStyle w:val="Randnummer"/>
        <w:framePr w:wrap="around"/>
      </w:pPr>
    </w:p>
    <w:p w14:paraId="2A84EE56" w14:textId="0FE356F1" w:rsidR="005B6EF7" w:rsidRDefault="000444BD" w:rsidP="000444BD">
      <w:r w:rsidRPr="000444BD">
        <w:t>Die Klage wäre zulässig, allerdings nur in Höhe von 3.000 € begründet.</w:t>
      </w:r>
      <w:bookmarkEnd w:id="333"/>
      <w:r w:rsidRPr="000444BD">
        <w:t xml:space="preserve"> </w:t>
      </w:r>
    </w:p>
    <w:p w14:paraId="1F8B0B82" w14:textId="77777777" w:rsidR="005B6EF7" w:rsidRDefault="005B6EF7">
      <w:pPr>
        <w:jc w:val="left"/>
      </w:pPr>
      <w:r>
        <w:br w:type="page"/>
      </w:r>
    </w:p>
    <w:p w14:paraId="6162A7C3" w14:textId="32B40D8A" w:rsidR="000444BD" w:rsidRDefault="000444BD" w:rsidP="008779DD">
      <w:pPr>
        <w:pStyle w:val="berschrift2"/>
      </w:pPr>
      <w:bookmarkStart w:id="371" w:name="_Toc10464166"/>
      <w:bookmarkStart w:id="372" w:name="_Toc13833581"/>
      <w:bookmarkStart w:id="373" w:name="_Toc22132782"/>
      <w:r>
        <w:t xml:space="preserve">Fall </w:t>
      </w:r>
      <w:r w:rsidR="00F1012B">
        <w:t>10</w:t>
      </w:r>
      <w:r>
        <w:t xml:space="preserve">: </w:t>
      </w:r>
      <w:r w:rsidR="00471C23">
        <w:t>Vorbeugende Unterlassungsklage bei staatlichem Informationshandeln (Stefan Michel)</w:t>
      </w:r>
      <w:bookmarkEnd w:id="371"/>
      <w:bookmarkEnd w:id="372"/>
      <w:bookmarkEnd w:id="373"/>
    </w:p>
    <w:p w14:paraId="4B4A570D" w14:textId="7DFA60D1" w:rsidR="0017745A" w:rsidRPr="0017745A" w:rsidRDefault="0017745A" w:rsidP="0017745A">
      <w:pPr>
        <w:pStyle w:val="Autorin"/>
      </w:pPr>
      <w:r>
        <w:t>Stefan Michel</w:t>
      </w:r>
    </w:p>
    <w:p w14:paraId="09DF3E80" w14:textId="77777777" w:rsidR="000671E9" w:rsidRPr="000671E9" w:rsidRDefault="000671E9" w:rsidP="000671E9">
      <w:pPr>
        <w:pStyle w:val="Randnummer"/>
        <w:framePr w:wrap="around"/>
      </w:pPr>
    </w:p>
    <w:p w14:paraId="7DD78FE4" w14:textId="58166809" w:rsidR="00471C23" w:rsidRDefault="009E471F" w:rsidP="00471C23">
      <w:r>
        <w:t>Der Fall ist a</w:t>
      </w:r>
      <w:r w:rsidR="000671E9">
        <w:t>n</w:t>
      </w:r>
      <w:r w:rsidR="00471C23" w:rsidRPr="00471C23">
        <w:t xml:space="preserve">gelehnt an </w:t>
      </w:r>
      <w:hyperlink r:id="rId54" w:history="1">
        <w:r w:rsidR="00471C23" w:rsidRPr="009E471F">
          <w:rPr>
            <w:rStyle w:val="Hyperlink"/>
          </w:rPr>
          <w:t>BVerfG, Beschl. vom 21.3.2018, Az.</w:t>
        </w:r>
        <w:r w:rsidR="0057061A">
          <w:rPr>
            <w:rStyle w:val="Hyperlink"/>
          </w:rPr>
          <w:t>:</w:t>
        </w:r>
        <w:r w:rsidR="00471C23" w:rsidRPr="009E471F">
          <w:rPr>
            <w:rStyle w:val="Hyperlink"/>
          </w:rPr>
          <w:t xml:space="preserve"> 1 BvF 1/13</w:t>
        </w:r>
      </w:hyperlink>
      <w:r w:rsidR="00471C23" w:rsidRPr="00471C23">
        <w:t xml:space="preserve"> = NJW 2018, 2109</w:t>
      </w:r>
    </w:p>
    <w:p w14:paraId="4DFA42B7" w14:textId="77777777" w:rsidR="009E471F" w:rsidRPr="00471C23" w:rsidRDefault="009E471F" w:rsidP="009E471F">
      <w:pPr>
        <w:pStyle w:val="Randnummer"/>
        <w:framePr w:wrap="around"/>
      </w:pPr>
    </w:p>
    <w:p w14:paraId="51B80CF2" w14:textId="77777777" w:rsidR="00471C23" w:rsidRDefault="00471C23" w:rsidP="00471C23">
      <w:r w:rsidRPr="00471C23">
        <w:t>Lernziele/Schwerpunkte: Präventiver Rechtsschutz, Leistungsklage, Vorbeugende Unterlassungsklage, Staatliches Informationshandeln, Öffentlich-rechtlicher Unterlassungsanspruch, Berufsfreiheit</w:t>
      </w:r>
    </w:p>
    <w:p w14:paraId="3E294045" w14:textId="77777777" w:rsidR="00772351" w:rsidRPr="00471C23" w:rsidRDefault="00772351" w:rsidP="00471C23"/>
    <w:p w14:paraId="1CD58824" w14:textId="77777777" w:rsidR="00471C23" w:rsidRPr="009A2A84" w:rsidRDefault="00471C23" w:rsidP="0001383E">
      <w:pPr>
        <w:pStyle w:val="berschrift3"/>
      </w:pPr>
      <w:r w:rsidRPr="009A2A84">
        <w:t>Sachverhalt</w:t>
      </w:r>
    </w:p>
    <w:p w14:paraId="0A50DDBE" w14:textId="77777777" w:rsidR="00471C23" w:rsidRPr="00471C23" w:rsidRDefault="00471C23" w:rsidP="00471C23">
      <w:pPr>
        <w:pStyle w:val="Randnummer"/>
        <w:framePr w:wrap="around"/>
      </w:pPr>
    </w:p>
    <w:p w14:paraId="46D499F4" w14:textId="77777777" w:rsidR="00471C23" w:rsidRPr="00471C23" w:rsidRDefault="00471C23" w:rsidP="00471C23">
      <w:r w:rsidRPr="00471C23">
        <w:t>Die in Mainz ansässige A-GmbH ist ein Startup, welches sich der Entwicklung gesunder Softdrinks verschrieben hat. Sie beabsichtigt mit der Herstellung eines zuckerarmen, gleichwohl besonders wirksamen Energydrinks eine Marktlücke zu schließen. Die Geschäftsführerin der A-GmbH will bei einem Pitch Geldgeber davon überzeugen, in ihre Firma zu investieren. Sie verkündet stolz, dass es ihrem Team gelungen sei, ein Getränk (vermarktet unter dem Namen „V-Boost“) zu produzieren, welches sich ausschließlich aus natürlichen Inhaltsstoffen zusammensetzt, dabei aber zugleich doppelt so potent sei wie herkömmliche Konkurrenzprodukte. Bislang wird das Getränk in ausgewählten Gastronomiebetrieben und Kiosken in Mainz vertrieben. Geplant ist jedoch mithilfe neuer Investitionen einen bundesweiten Vertrieb aufzuziehen. Auf der Veranstaltung ist auch der bei der Stadtverwaltung Mainz beschäftigte B anwesend, der sich einen Überblick über die lokalen Jungunternehmen verschaffen möchte. Nachdem er sich bei einer Kostprobe von der Wirkung des Getränks überzeugt hat, ist er begeistert und erzählt tags darauf seinen Kolleginnen und Kollegen beim Mittagessen vom neuen Energydrink.</w:t>
      </w:r>
    </w:p>
    <w:p w14:paraId="65230D6A" w14:textId="77777777" w:rsidR="00471C23" w:rsidRPr="00471C23" w:rsidRDefault="00471C23" w:rsidP="00471C23">
      <w:r w:rsidRPr="00471C23">
        <w:t xml:space="preserve">C, die im Ordnungsamt der Stadt Mainz für die Lebensmittelkontrolle zuständig ist, kann Bs Begeisterung nicht teilen. Sie befürchtet, dass das Getränk sich nicht nur anregend auf den Kreislauf, sondern auch schädlich auf die Gesundheit seiner Konsumentinnen und Konsumenten auswirken könnte. Sie ist überzeugt, dass ein derart starker Energydrink Personen mit Herz- und Kreislaufkrankheiten über Gebühr zusetzen könnte und möchte überprüfen, ob das Produkt gegen die einschlägigen lebensmittelrechtlichen Vorschriften verstößt. Sie besorgt sich einige Dosen und lässt sie im Labor auf ihre Inhaltsstoffe untersuchen. Ihr Verdacht bestätigt sich: Die Messergebnisse weisen einen Koffeingehalt von 400 mg/l auf. Weiterhin wurde festgestellt, dass der V-Boost 150 mg/l Inosit, einen Zuckeralkohol, der die Signalübertragung in Zellen verbessern soll, enthält. Sie teilt der A-GmbH mit, dass ihr Produkt gegen die zulässigen Koffeingrenzwerte verstößt und kündigt an, alsbald öffentlich vor dem Produkt zu warnen zu wollen. Bei der A-GmbH solle man sich – so C – lieber nochmal Gedanken über die Rezeptur machen. Die Warnung soll als „Verbraucherinformation“ mit Nennung des Namens der A-GmbH und des Namens „V-Boost“ auf der Webseite der Stadt Mainz platziert werden. </w:t>
      </w:r>
    </w:p>
    <w:p w14:paraId="0CC68B4E" w14:textId="77777777" w:rsidR="00471C23" w:rsidRPr="00471C23" w:rsidRDefault="00471C23" w:rsidP="00471C23">
      <w:r w:rsidRPr="00471C23">
        <w:t>Die Geschäftsführerin der A-GmbH zeigt sich jedoch uneinsichtig. Der hohe Koffeingehalt mache ihren Energydrink erst attraktiv und hebe ihn von der Masse ab. Da das Unternehmen nunmehr unmittelbar vor einer bundesweiten Expansion stehe, sei schlechte Presse das Letzte, was die A-GmbH gebrauchen könne. Nach einem erfolglosen Ersuchen der Behörde beantragt sie beim Verwaltungsgericht Mainz den Erlass einer einstweiligen Anordnung, dass die Stadtverwaltung die Warnung vor dem Energydrink zu unterlassen habe. Die Richterinnen und Richter der zuständigen Kammer lassen verlauten, dass sie dem Antrag stattgeben wollen, da sie fürchten, ihrem Arbeitspensum ohne ihren geliebten Energydrink nicht mehr nachkommen zu können. Die Stadtverwaltung will sich mit dieser „Blindheit der Justiz“ nicht zufriedengeben und die Sache ein für alle Mal im Hauptsacheverfahren geklärt wissen. Sie beantragt daher, dass das Gericht die Klageerhebung durch die A-GmbH anordnet. Die Kammer beschließt, dass die Stadtverwaltung ihre Warnung vorerst zu unterlassen, die A-GmbH aber bis zum 01.08.2019 Klage zu erheben habe. Dieser Anordnung kommt die A-GmbH am 29.07.2019 nach, indem sie Klage beim zuständigen Verwaltungsgericht erhebt, und die dauerhafte Unterlassung behördlicher Warnungen beantragt.</w:t>
      </w:r>
    </w:p>
    <w:p w14:paraId="37DAE31D" w14:textId="5CC494AC" w:rsidR="00471C23" w:rsidRPr="009A2A84" w:rsidRDefault="00471C23" w:rsidP="00471C23">
      <w:pPr>
        <w:rPr>
          <w:b/>
        </w:rPr>
      </w:pPr>
      <w:r w:rsidRPr="009A2A84">
        <w:rPr>
          <w:b/>
        </w:rPr>
        <w:t>Prüfen Sie gutachterlich die Erfolgs</w:t>
      </w:r>
      <w:r w:rsidR="009A2A84">
        <w:rPr>
          <w:b/>
        </w:rPr>
        <w:t>aussichten der Klage</w:t>
      </w:r>
      <w:r w:rsidR="0063273F">
        <w:rPr>
          <w:b/>
        </w:rPr>
        <w:t>!</w:t>
      </w:r>
    </w:p>
    <w:p w14:paraId="634796B7" w14:textId="4A246B76" w:rsidR="00471C23" w:rsidRPr="00471C23" w:rsidRDefault="00471C23" w:rsidP="00471C23">
      <w:r w:rsidRPr="009A2A84">
        <w:rPr>
          <w:b/>
        </w:rPr>
        <w:t>Bearbeiter</w:t>
      </w:r>
      <w:r w:rsidR="009A2A84" w:rsidRPr="009A2A84">
        <w:rPr>
          <w:b/>
        </w:rPr>
        <w:t>*innen</w:t>
      </w:r>
      <w:r w:rsidRPr="009A2A84">
        <w:rPr>
          <w:b/>
        </w:rPr>
        <w:t xml:space="preserve">vermerk: </w:t>
      </w:r>
      <w:r w:rsidRPr="00471C23">
        <w:t xml:space="preserve">Von der Verfassungsmäßigkeit der abgedruckten Normen ist auszugehen. Unionsrechtliche Vorschriften, Vorschriften des VIG und § 40 </w:t>
      </w:r>
      <w:r w:rsidR="00E91AF0">
        <w:t>I</w:t>
      </w:r>
      <w:r w:rsidRPr="00471C23">
        <w:t>a LFGB sind nicht zu prüfen. Es ist davon auszugehen, dass es sich bei den Bestimmungen der FrSaftErfrischGetrV um Vorschriften im Anwendungsbereich des LFGB handelt.</w:t>
      </w:r>
    </w:p>
    <w:p w14:paraId="4C6DD9C0" w14:textId="77777777" w:rsidR="00471C23" w:rsidRPr="00471C23" w:rsidRDefault="00471C23" w:rsidP="00471C23"/>
    <w:p w14:paraId="2D476A7A" w14:textId="77777777" w:rsidR="00471C23" w:rsidRPr="00471C23" w:rsidRDefault="00471C23" w:rsidP="00471C23">
      <w:pPr>
        <w:rPr>
          <w:b/>
        </w:rPr>
      </w:pPr>
      <w:r w:rsidRPr="00471C23">
        <w:rPr>
          <w:b/>
        </w:rPr>
        <w:t>Lebensmittel- und Futtergesetzbuch (LFGB)</w:t>
      </w:r>
    </w:p>
    <w:p w14:paraId="27CC87FD" w14:textId="77777777" w:rsidR="00471C23" w:rsidRPr="00095F85" w:rsidRDefault="00471C23" w:rsidP="00471C23">
      <w:pPr>
        <w:rPr>
          <w:b/>
        </w:rPr>
      </w:pPr>
      <w:r w:rsidRPr="00095F85">
        <w:rPr>
          <w:b/>
        </w:rPr>
        <w:t>§ 40 Information der Öffentlichkeit</w:t>
      </w:r>
    </w:p>
    <w:p w14:paraId="6C89BB31" w14:textId="11724849" w:rsidR="00471C23" w:rsidRPr="00471C23" w:rsidRDefault="00471C23" w:rsidP="00471C23">
      <w:r w:rsidRPr="00471C23">
        <w:t xml:space="preserve">(1) </w:t>
      </w:r>
      <w:r w:rsidRPr="00471C23">
        <w:rPr>
          <w:vertAlign w:val="superscript"/>
        </w:rPr>
        <w:t>1</w:t>
      </w:r>
      <w:r w:rsidRPr="00471C23">
        <w:t>Die zuständige Behörde soll die Öffentlichkeit unter Nennung der Bezeichnung des Lebensmittels oder Futtermittels und des Lebensmittel- oder Futtermittelunternehmens, unter dessen Namen oder Firma das Lebensmittel oder Futtermittel hergestellt oder behandelt wurde oder in den Verkehr gelangt ist, und, wenn dies zur Gefahrenabwehr geeigneter ist, auch unter Nennung des Inverkehrbringers, nach Maßgabe des Artikels 10 der Verordnung (EG) Nr. 178/2002 informieren.</w:t>
      </w:r>
      <w:r w:rsidR="0057061A" w:rsidRPr="0057061A">
        <w:rPr>
          <w:vertAlign w:val="superscript"/>
        </w:rPr>
        <w:t>2</w:t>
      </w:r>
      <w:r w:rsidR="0057061A">
        <w:t xml:space="preserve"> </w:t>
      </w:r>
      <w:r w:rsidRPr="00471C23">
        <w:t>Eine Information der Öffentlichkeit in der in Satz 1 genannten Art und Weise soll vorbehaltlich des Absatzes 1a auch erfolgen, wenn</w:t>
      </w:r>
    </w:p>
    <w:p w14:paraId="7ADF2F2C" w14:textId="77777777" w:rsidR="00471C23" w:rsidRPr="00471C23" w:rsidRDefault="00471C23" w:rsidP="00471C23">
      <w:r w:rsidRPr="00471C23">
        <w:t>1. der der hinreichende Verdacht besteht, dass ein kosmetisches Mittel oder ein Bedarfsgegenstand ein Risiko für die menschliche Gesundheit mit sich bringen kann,</w:t>
      </w:r>
    </w:p>
    <w:p w14:paraId="5F21AC3C" w14:textId="77777777" w:rsidR="00471C23" w:rsidRPr="00471C23" w:rsidRDefault="00471C23" w:rsidP="00471C23">
      <w:r w:rsidRPr="00471C23">
        <w:t>2. der hinreichende Verdacht besteht, dass gegen Vorschriften im Anwendungsbereich dieses Gesetzes, die dem Schutz der Verbraucherinnen und Verbraucher vor Gesundheitsgefährdungen dienen, verstoßen wurde, […]</w:t>
      </w:r>
    </w:p>
    <w:p w14:paraId="29D96060" w14:textId="77777777" w:rsidR="00471C23" w:rsidRPr="00471C23" w:rsidRDefault="00471C23" w:rsidP="00471C23">
      <w:r w:rsidRPr="00471C23">
        <w:t xml:space="preserve">(2) </w:t>
      </w:r>
      <w:r w:rsidRPr="00471C23">
        <w:rPr>
          <w:vertAlign w:val="superscript"/>
        </w:rPr>
        <w:t>1</w:t>
      </w:r>
      <w:r w:rsidRPr="00471C23">
        <w:t xml:space="preserve">Eine Information der Öffentlichkeit nach Absatz 1 durch die Behörde ist nur zulässig, wenn andere ebenso wirksame Maßnahmen, insbesondere eine Information der Öffentlichkeit durch den Lebensmittel- oder Futtermittelunternehmer oder den Wirtschaftsbeteiligten, nicht oder nicht rechtzeitig getroffen werden oder die Verbraucherinnen und Verbraucher nicht erreichen. </w:t>
      </w:r>
      <w:r w:rsidRPr="00471C23">
        <w:rPr>
          <w:vertAlign w:val="superscript"/>
        </w:rPr>
        <w:t>2</w:t>
      </w:r>
      <w:r w:rsidRPr="00471C23">
        <w:t>Unbeschadet des Satzes 1 kann die Behörde ihrerseits die Öffentlichkeit auf</w:t>
      </w:r>
    </w:p>
    <w:p w14:paraId="13530FE8" w14:textId="77777777" w:rsidR="00471C23" w:rsidRPr="00471C23" w:rsidRDefault="00471C23" w:rsidP="00471C23">
      <w:r w:rsidRPr="00471C23">
        <w:t>1. eine Information der Öffentlichkeit oder</w:t>
      </w:r>
    </w:p>
    <w:p w14:paraId="7495E044" w14:textId="77777777" w:rsidR="00471C23" w:rsidRPr="00471C23" w:rsidRDefault="00471C23" w:rsidP="00471C23">
      <w:r w:rsidRPr="00471C23">
        <w:t>2. eine Rücknahme- oder Rückrufaktion</w:t>
      </w:r>
    </w:p>
    <w:p w14:paraId="34C97841" w14:textId="77777777" w:rsidR="00471C23" w:rsidRDefault="00471C23" w:rsidP="00471C23">
      <w:r w:rsidRPr="00471C23">
        <w:t xml:space="preserve">durch den Lebensmittel- oder Futtermittelunternehmer oder den sonstigen Wirtschaftsbeteiligten hinweisen. </w:t>
      </w:r>
      <w:r w:rsidRPr="00471C23">
        <w:rPr>
          <w:vertAlign w:val="superscript"/>
        </w:rPr>
        <w:t>3</w:t>
      </w:r>
      <w:r w:rsidRPr="00471C23">
        <w:t>Die Behörde kann unter den Voraussetzungen des Satzes 1 auch auf eine Information der Öffentlichkeit einer anderen Behörde hinweisen, soweit berechtigte Interessen der Verbraucherinnen und Verbraucher in ihrem eigenen Zuständigkeitsbereich berührt sind.</w:t>
      </w:r>
    </w:p>
    <w:p w14:paraId="4671C1A1" w14:textId="77777777" w:rsidR="00095F85" w:rsidRPr="00471C23" w:rsidRDefault="00095F85" w:rsidP="00471C23"/>
    <w:p w14:paraId="301730A7" w14:textId="77777777" w:rsidR="00471C23" w:rsidRPr="00471C23" w:rsidRDefault="00471C23" w:rsidP="00471C23">
      <w:pPr>
        <w:rPr>
          <w:b/>
        </w:rPr>
      </w:pPr>
      <w:r w:rsidRPr="00471C23">
        <w:rPr>
          <w:b/>
        </w:rPr>
        <w:t>Fruchtsaft- und Erfrischungsgetränkeverordnung (FrSaftErfrischGetrV) </w:t>
      </w:r>
    </w:p>
    <w:p w14:paraId="04B244BF" w14:textId="77777777" w:rsidR="00471C23" w:rsidRPr="00095F85" w:rsidRDefault="00471C23" w:rsidP="00471C23">
      <w:pPr>
        <w:rPr>
          <w:b/>
        </w:rPr>
      </w:pPr>
      <w:r w:rsidRPr="00095F85">
        <w:rPr>
          <w:b/>
        </w:rPr>
        <w:t>§ 4 Begriffsbestimmungen</w:t>
      </w:r>
    </w:p>
    <w:p w14:paraId="46041134" w14:textId="77777777" w:rsidR="00471C23" w:rsidRPr="00471C23" w:rsidRDefault="00471C23" w:rsidP="00471C23">
      <w:r w:rsidRPr="00471C23">
        <w:t xml:space="preserve">(1) </w:t>
      </w:r>
      <w:r w:rsidRPr="00471C23">
        <w:rPr>
          <w:vertAlign w:val="superscript"/>
        </w:rPr>
        <w:t>1</w:t>
      </w:r>
      <w:r w:rsidRPr="00471C23">
        <w:t xml:space="preserve">Koffeinhaltige Erfrischungsgetränke im Sinne dieser Verordnung sind Getränke auf der Grundlage von Wasser, die geschmackgebende Zutaten oder Aromen enthalten und denen Koffein oder koffeinhaltige Zutaten zugesetzt worden sind. </w:t>
      </w:r>
      <w:r w:rsidRPr="00471C23">
        <w:rPr>
          <w:vertAlign w:val="superscript"/>
        </w:rPr>
        <w:t>2</w:t>
      </w:r>
      <w:r w:rsidRPr="00471C23">
        <w:t xml:space="preserve">Sie dürfen zudem weitere Zutaten enthalten. </w:t>
      </w:r>
      <w:r w:rsidRPr="00471C23">
        <w:rPr>
          <w:vertAlign w:val="superscript"/>
        </w:rPr>
        <w:t>3</w:t>
      </w:r>
      <w:r w:rsidRPr="00471C23">
        <w:t>Satz 2 gilt nicht für Alkohol, auch als Zutat oder sonstiger Bestandteil eines alkoholhaltigen Getränkes. Unberührt bleibt ein Alkoholgehalt bis zu einer Menge von 2 Gramm pro Liter, der</w:t>
      </w:r>
    </w:p>
    <w:p w14:paraId="2514CC1D" w14:textId="77777777" w:rsidR="00471C23" w:rsidRPr="00471C23" w:rsidRDefault="00471C23" w:rsidP="00471C23">
      <w:r w:rsidRPr="00471C23">
        <w:t>1. auf der Verwendung von Aromen beruht oder</w:t>
      </w:r>
    </w:p>
    <w:p w14:paraId="29E72E4E" w14:textId="77777777" w:rsidR="00471C23" w:rsidRPr="00471C23" w:rsidRDefault="00471C23" w:rsidP="00471C23">
      <w:r w:rsidRPr="00471C23">
        <w:t>2. auf Grund natürlicher und unvermeidbarer Gärungsprozesse in anderen verwendeten Zutaten enthalten ist.</w:t>
      </w:r>
    </w:p>
    <w:p w14:paraId="24E841E6" w14:textId="77777777" w:rsidR="00471C23" w:rsidRPr="00471C23" w:rsidRDefault="00471C23" w:rsidP="00471C23">
      <w:r w:rsidRPr="00471C23">
        <w:t>(2) Energydrinks sind koffeinhaltige Erfrischungsgetränke, die zusätzlich einen oder mehrere der in Anlage 8 Teil B aufgeführten Stoffe enthalten.</w:t>
      </w:r>
    </w:p>
    <w:p w14:paraId="7D34ED0B" w14:textId="77777777" w:rsidR="00471C23" w:rsidRPr="00095F85" w:rsidRDefault="00471C23" w:rsidP="00471C23">
      <w:pPr>
        <w:rPr>
          <w:b/>
        </w:rPr>
      </w:pPr>
      <w:r w:rsidRPr="00095F85">
        <w:rPr>
          <w:b/>
        </w:rPr>
        <w:t>§ 5 Besondere Anforderungen an Herstellung und Inverkehrbringen</w:t>
      </w:r>
    </w:p>
    <w:p w14:paraId="7276ACB0" w14:textId="77777777" w:rsidR="00471C23" w:rsidRPr="00471C23" w:rsidRDefault="00471C23" w:rsidP="00471C23">
      <w:r w:rsidRPr="00471C23">
        <w:t>(1) Ein koffeinhaltiges Erfrischungsgetränk darf nur so hergestellt oder in den Verkehr gebracht werden, dass im Enderzeugnis Koffein mit einem Gesamtgehalt, einschließlich der aus anderen Zutaten stammenden Gehalte, nicht die in Anlage 8 Teil A festgelegte Höchstmenge übersteigt.</w:t>
      </w:r>
    </w:p>
    <w:p w14:paraId="4DCBD924" w14:textId="77777777" w:rsidR="00471C23" w:rsidRPr="00471C23" w:rsidRDefault="00471C23" w:rsidP="00471C23">
      <w:r w:rsidRPr="00471C23">
        <w:t>(2) Ein Energydrink darf nur so hergestellt oder in den Verkehr gebracht werden, dass im Enderzeugnis die in Anlage 8 Teil B genannten Stoffe nicht die dort jeweils festgesetzten Höchstmengen übersteigen.</w:t>
      </w:r>
    </w:p>
    <w:p w14:paraId="20562800" w14:textId="77777777" w:rsidR="00471C23" w:rsidRPr="00095F85" w:rsidRDefault="00471C23" w:rsidP="00471C23">
      <w:pPr>
        <w:rPr>
          <w:b/>
        </w:rPr>
      </w:pPr>
      <w:r w:rsidRPr="00095F85">
        <w:rPr>
          <w:b/>
        </w:rPr>
        <w:t>Anlage 8 (zu den §§ 4 und 5)</w:t>
      </w:r>
    </w:p>
    <w:p w14:paraId="24494D63" w14:textId="77777777" w:rsidR="00471C23" w:rsidRPr="00471C23" w:rsidRDefault="00471C23" w:rsidP="00471C23">
      <w:r w:rsidRPr="00471C23">
        <w:t>Höchstmengen für bestimmte Stoffe</w:t>
      </w:r>
      <w:r w:rsidRPr="00471C23">
        <w:br/>
        <w:t>in koffeinhaltigen Erfrischungsgetränken</w:t>
      </w:r>
    </w:p>
    <w:p w14:paraId="2B2A8A16" w14:textId="77777777" w:rsidR="00471C23" w:rsidRPr="00471C23" w:rsidRDefault="00471C23" w:rsidP="00471C23"/>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189"/>
        <w:gridCol w:w="6182"/>
      </w:tblGrid>
      <w:tr w:rsidR="00471C23" w:rsidRPr="00471C23" w14:paraId="13DF9572" w14:textId="77777777" w:rsidTr="000671E9">
        <w:trPr>
          <w:tblHeader/>
        </w:trPr>
        <w:tc>
          <w:tcPr>
            <w:tcW w:w="0" w:type="auto"/>
            <w:gridSpan w:val="2"/>
            <w:tcBorders>
              <w:top w:val="nil"/>
              <w:left w:val="nil"/>
              <w:bottom w:val="nil"/>
              <w:right w:val="nil"/>
            </w:tcBorders>
            <w:vAlign w:val="center"/>
            <w:hideMark/>
          </w:tcPr>
          <w:p w14:paraId="1A002D89" w14:textId="77777777" w:rsidR="00471C23" w:rsidRPr="00471C23" w:rsidRDefault="00471C23" w:rsidP="00471C23">
            <w:r w:rsidRPr="00471C23">
              <w:t>Teil A: Koffeinhaltige Erfrischungsgetränke</w:t>
            </w:r>
          </w:p>
        </w:tc>
      </w:tr>
      <w:tr w:rsidR="00471C23" w:rsidRPr="00471C23" w14:paraId="3E0E5C13" w14:textId="77777777" w:rsidTr="000671E9">
        <w:trPr>
          <w:tblHeader/>
        </w:trPr>
        <w:tc>
          <w:tcPr>
            <w:tcW w:w="0" w:type="auto"/>
            <w:tcBorders>
              <w:top w:val="single" w:sz="4" w:space="0" w:color="auto"/>
              <w:bottom w:val="single" w:sz="4" w:space="0" w:color="auto"/>
              <w:right w:val="single" w:sz="4" w:space="0" w:color="auto"/>
            </w:tcBorders>
            <w:vAlign w:val="center"/>
            <w:hideMark/>
          </w:tcPr>
          <w:p w14:paraId="0375047E" w14:textId="77777777" w:rsidR="00471C23" w:rsidRPr="00471C23" w:rsidRDefault="00471C23" w:rsidP="00471C23">
            <w:r w:rsidRPr="00471C23">
              <w:t>Stoff</w:t>
            </w:r>
          </w:p>
        </w:tc>
        <w:tc>
          <w:tcPr>
            <w:tcW w:w="0" w:type="auto"/>
            <w:tcBorders>
              <w:top w:val="single" w:sz="4" w:space="0" w:color="auto"/>
              <w:bottom w:val="single" w:sz="4" w:space="0" w:color="auto"/>
            </w:tcBorders>
            <w:vAlign w:val="center"/>
            <w:hideMark/>
          </w:tcPr>
          <w:p w14:paraId="3B3A1397" w14:textId="77777777" w:rsidR="00471C23" w:rsidRPr="00471C23" w:rsidRDefault="00471C23" w:rsidP="00471C23">
            <w:r w:rsidRPr="00471C23">
              <w:t>Höchstmenge</w:t>
            </w:r>
            <w:r w:rsidRPr="00471C23">
              <w:br/>
              <w:t>im verzehrfertigen Lebensmittel [mg/l]</w:t>
            </w:r>
          </w:p>
        </w:tc>
      </w:tr>
      <w:tr w:rsidR="00471C23" w:rsidRPr="00471C23" w14:paraId="2F22B4DF" w14:textId="77777777" w:rsidTr="000671E9">
        <w:tc>
          <w:tcPr>
            <w:tcW w:w="0" w:type="auto"/>
            <w:tcBorders>
              <w:right w:val="single" w:sz="4" w:space="0" w:color="auto"/>
            </w:tcBorders>
            <w:hideMark/>
          </w:tcPr>
          <w:p w14:paraId="47EF2509" w14:textId="77777777" w:rsidR="00471C23" w:rsidRPr="00471C23" w:rsidRDefault="00471C23" w:rsidP="00471C23">
            <w:r w:rsidRPr="00471C23">
              <w:t>Koffein</w:t>
            </w:r>
          </w:p>
        </w:tc>
        <w:tc>
          <w:tcPr>
            <w:tcW w:w="0" w:type="auto"/>
            <w:hideMark/>
          </w:tcPr>
          <w:p w14:paraId="3C6CA5D5" w14:textId="70B2FB72" w:rsidR="00471C23" w:rsidRPr="00471C23" w:rsidRDefault="00A566D1" w:rsidP="00471C23">
            <w:r>
              <w:t xml:space="preserve"> </w:t>
            </w:r>
            <w:r w:rsidR="00471C23" w:rsidRPr="00471C23">
              <w:t>320</w:t>
            </w:r>
          </w:p>
        </w:tc>
      </w:tr>
    </w:tbl>
    <w:p w14:paraId="61819657" w14:textId="77777777" w:rsidR="00471C23" w:rsidRPr="00471C23" w:rsidRDefault="00471C23" w:rsidP="00471C23">
      <w:pPr>
        <w:rPr>
          <w:vanish/>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237"/>
        <w:gridCol w:w="5134"/>
      </w:tblGrid>
      <w:tr w:rsidR="00471C23" w:rsidRPr="00471C23" w14:paraId="3EAC75C6" w14:textId="77777777" w:rsidTr="000671E9">
        <w:trPr>
          <w:tblHeader/>
        </w:trPr>
        <w:tc>
          <w:tcPr>
            <w:tcW w:w="0" w:type="auto"/>
            <w:gridSpan w:val="2"/>
            <w:tcBorders>
              <w:top w:val="nil"/>
              <w:left w:val="nil"/>
              <w:bottom w:val="nil"/>
              <w:right w:val="nil"/>
            </w:tcBorders>
            <w:vAlign w:val="center"/>
            <w:hideMark/>
          </w:tcPr>
          <w:p w14:paraId="7500E70B" w14:textId="77777777" w:rsidR="00471C23" w:rsidRPr="00471C23" w:rsidRDefault="00471C23" w:rsidP="00471C23">
            <w:r w:rsidRPr="00471C23">
              <w:t>Teil B: Energydrinks</w:t>
            </w:r>
          </w:p>
        </w:tc>
      </w:tr>
      <w:tr w:rsidR="00471C23" w:rsidRPr="00471C23" w14:paraId="2930A947" w14:textId="77777777" w:rsidTr="000671E9">
        <w:trPr>
          <w:tblHeader/>
        </w:trPr>
        <w:tc>
          <w:tcPr>
            <w:tcW w:w="0" w:type="auto"/>
            <w:tcBorders>
              <w:top w:val="single" w:sz="4" w:space="0" w:color="auto"/>
              <w:bottom w:val="single" w:sz="4" w:space="0" w:color="auto"/>
              <w:right w:val="single" w:sz="4" w:space="0" w:color="auto"/>
            </w:tcBorders>
            <w:vAlign w:val="center"/>
            <w:hideMark/>
          </w:tcPr>
          <w:p w14:paraId="792F129B" w14:textId="77777777" w:rsidR="00471C23" w:rsidRPr="00471C23" w:rsidRDefault="00471C23" w:rsidP="00471C23">
            <w:r w:rsidRPr="00471C23">
              <w:t>Stoff</w:t>
            </w:r>
          </w:p>
        </w:tc>
        <w:tc>
          <w:tcPr>
            <w:tcW w:w="0" w:type="auto"/>
            <w:tcBorders>
              <w:top w:val="single" w:sz="4" w:space="0" w:color="auto"/>
              <w:bottom w:val="single" w:sz="4" w:space="0" w:color="auto"/>
            </w:tcBorders>
            <w:vAlign w:val="center"/>
            <w:hideMark/>
          </w:tcPr>
          <w:p w14:paraId="1DE9B0CF" w14:textId="77777777" w:rsidR="00471C23" w:rsidRPr="00471C23" w:rsidRDefault="00471C23" w:rsidP="00471C23">
            <w:r w:rsidRPr="00471C23">
              <w:t xml:space="preserve">Höchstmenge </w:t>
            </w:r>
            <w:r w:rsidRPr="00471C23">
              <w:br/>
              <w:t>im verzehrfertigen Lebensmittel [mg/l]</w:t>
            </w:r>
          </w:p>
        </w:tc>
      </w:tr>
      <w:tr w:rsidR="00471C23" w:rsidRPr="00471C23" w14:paraId="64E13099" w14:textId="77777777" w:rsidTr="000671E9">
        <w:tc>
          <w:tcPr>
            <w:tcW w:w="0" w:type="auto"/>
            <w:tcBorders>
              <w:bottom w:val="single" w:sz="4" w:space="0" w:color="auto"/>
              <w:right w:val="single" w:sz="4" w:space="0" w:color="auto"/>
            </w:tcBorders>
            <w:hideMark/>
          </w:tcPr>
          <w:p w14:paraId="4ADAC57C" w14:textId="77777777" w:rsidR="00471C23" w:rsidRPr="00471C23" w:rsidRDefault="00471C23" w:rsidP="00471C23">
            <w:r w:rsidRPr="00471C23">
              <w:t>Taurin</w:t>
            </w:r>
          </w:p>
        </w:tc>
        <w:tc>
          <w:tcPr>
            <w:tcW w:w="0" w:type="auto"/>
            <w:tcBorders>
              <w:bottom w:val="single" w:sz="4" w:space="0" w:color="auto"/>
            </w:tcBorders>
            <w:hideMark/>
          </w:tcPr>
          <w:p w14:paraId="45D704D5" w14:textId="77777777" w:rsidR="00471C23" w:rsidRPr="00471C23" w:rsidRDefault="00471C23" w:rsidP="00471C23">
            <w:r w:rsidRPr="00471C23">
              <w:t>4 000</w:t>
            </w:r>
          </w:p>
        </w:tc>
      </w:tr>
      <w:tr w:rsidR="00471C23" w:rsidRPr="00471C23" w14:paraId="11271261" w14:textId="77777777" w:rsidTr="000671E9">
        <w:tc>
          <w:tcPr>
            <w:tcW w:w="0" w:type="auto"/>
            <w:tcBorders>
              <w:bottom w:val="single" w:sz="4" w:space="0" w:color="auto"/>
              <w:right w:val="single" w:sz="4" w:space="0" w:color="auto"/>
            </w:tcBorders>
            <w:hideMark/>
          </w:tcPr>
          <w:p w14:paraId="2E1259E4" w14:textId="77777777" w:rsidR="00471C23" w:rsidRPr="00471C23" w:rsidRDefault="00471C23" w:rsidP="00471C23">
            <w:r w:rsidRPr="00471C23">
              <w:t>Inosit</w:t>
            </w:r>
          </w:p>
        </w:tc>
        <w:tc>
          <w:tcPr>
            <w:tcW w:w="0" w:type="auto"/>
            <w:tcBorders>
              <w:bottom w:val="single" w:sz="4" w:space="0" w:color="auto"/>
            </w:tcBorders>
            <w:hideMark/>
          </w:tcPr>
          <w:p w14:paraId="110F406B" w14:textId="50FD9375" w:rsidR="00471C23" w:rsidRPr="00471C23" w:rsidRDefault="00A566D1" w:rsidP="00471C23">
            <w:r>
              <w:t xml:space="preserve"> </w:t>
            </w:r>
            <w:r w:rsidR="00471C23" w:rsidRPr="00471C23">
              <w:t>200</w:t>
            </w:r>
          </w:p>
        </w:tc>
      </w:tr>
      <w:tr w:rsidR="00471C23" w:rsidRPr="00471C23" w14:paraId="1414CCF4" w14:textId="77777777" w:rsidTr="000671E9">
        <w:tc>
          <w:tcPr>
            <w:tcW w:w="0" w:type="auto"/>
            <w:tcBorders>
              <w:right w:val="single" w:sz="4" w:space="0" w:color="auto"/>
            </w:tcBorders>
            <w:hideMark/>
          </w:tcPr>
          <w:p w14:paraId="22F8CDFC" w14:textId="77777777" w:rsidR="00471C23" w:rsidRPr="00471C23" w:rsidRDefault="00471C23" w:rsidP="00471C23">
            <w:r w:rsidRPr="00471C23">
              <w:t>Glucuronolacton</w:t>
            </w:r>
          </w:p>
        </w:tc>
        <w:tc>
          <w:tcPr>
            <w:tcW w:w="0" w:type="auto"/>
            <w:hideMark/>
          </w:tcPr>
          <w:p w14:paraId="3E02FF9C" w14:textId="77777777" w:rsidR="00471C23" w:rsidRPr="00471C23" w:rsidRDefault="00471C23" w:rsidP="00471C23">
            <w:r w:rsidRPr="00471C23">
              <w:t>2 400.</w:t>
            </w:r>
          </w:p>
        </w:tc>
      </w:tr>
    </w:tbl>
    <w:p w14:paraId="7D0778D7" w14:textId="77777777" w:rsidR="00471C23" w:rsidRDefault="00471C23" w:rsidP="00471C23"/>
    <w:p w14:paraId="195777B4" w14:textId="77777777" w:rsidR="0001383E" w:rsidRDefault="0001383E">
      <w:pPr>
        <w:jc w:val="left"/>
        <w:rPr>
          <w:rFonts w:ascii="Calibri" w:eastAsiaTheme="majorEastAsia" w:hAnsi="Calibri" w:cstheme="majorBidi"/>
          <w:sz w:val="26"/>
          <w:szCs w:val="26"/>
        </w:rPr>
      </w:pPr>
      <w:r>
        <w:br w:type="page"/>
      </w:r>
    </w:p>
    <w:p w14:paraId="1C667D45" w14:textId="15131D4B" w:rsidR="009A2A84" w:rsidRPr="009A2A84" w:rsidRDefault="009A2A84" w:rsidP="0001383E">
      <w:pPr>
        <w:pStyle w:val="berschrift3"/>
      </w:pPr>
      <w:r w:rsidRPr="009A2A84">
        <w:t>Löungsgliederung</w:t>
      </w:r>
    </w:p>
    <w:p w14:paraId="1ACE29DD" w14:textId="77777777" w:rsidR="009A2A84" w:rsidRDefault="009A2A84" w:rsidP="009A2A84">
      <w:pPr>
        <w:pStyle w:val="Randnummer"/>
        <w:framePr w:wrap="around"/>
      </w:pPr>
    </w:p>
    <w:p w14:paraId="3202BD41" w14:textId="58D6392D" w:rsidR="007537A8" w:rsidRDefault="000434BF">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"Fall10" </w:instrText>
      </w:r>
      <w:r>
        <w:rPr>
          <w:rFonts w:eastAsiaTheme="majorEastAsia"/>
        </w:rPr>
        <w:fldChar w:fldCharType="separate"/>
      </w:r>
      <w:hyperlink w:anchor="_Toc22133210" w:history="1">
        <w:r w:rsidR="007537A8" w:rsidRPr="00E31ED9">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_Toc22133210 \h </w:instrText>
        </w:r>
        <w:r w:rsidR="007537A8">
          <w:rPr>
            <w:noProof/>
            <w:webHidden/>
          </w:rPr>
        </w:r>
        <w:r w:rsidR="007537A8">
          <w:rPr>
            <w:noProof/>
            <w:webHidden/>
          </w:rPr>
          <w:fldChar w:fldCharType="separate"/>
        </w:r>
        <w:r w:rsidR="007537A8">
          <w:rPr>
            <w:noProof/>
            <w:webHidden/>
          </w:rPr>
          <w:t>147</w:t>
        </w:r>
        <w:r w:rsidR="007537A8">
          <w:rPr>
            <w:noProof/>
            <w:webHidden/>
          </w:rPr>
          <w:fldChar w:fldCharType="end"/>
        </w:r>
      </w:hyperlink>
    </w:p>
    <w:p w14:paraId="2E2333F1" w14:textId="6EED6F06" w:rsidR="007537A8" w:rsidRDefault="00091FED">
      <w:pPr>
        <w:pStyle w:val="Verzeichnis4"/>
        <w:tabs>
          <w:tab w:val="right" w:leader="dot" w:pos="7361"/>
        </w:tabs>
        <w:rPr>
          <w:rFonts w:eastAsiaTheme="minorEastAsia"/>
          <w:noProof/>
          <w:sz w:val="22"/>
          <w:szCs w:val="22"/>
          <w:lang w:eastAsia="de-DE"/>
        </w:rPr>
      </w:pPr>
      <w:hyperlink w:anchor="_Toc22133211" w:history="1">
        <w:r w:rsidR="007537A8" w:rsidRPr="00E31ED9">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_Toc22133211 \h </w:instrText>
        </w:r>
        <w:r w:rsidR="007537A8">
          <w:rPr>
            <w:noProof/>
            <w:webHidden/>
          </w:rPr>
        </w:r>
        <w:r w:rsidR="007537A8">
          <w:rPr>
            <w:noProof/>
            <w:webHidden/>
          </w:rPr>
          <w:fldChar w:fldCharType="separate"/>
        </w:r>
        <w:r w:rsidR="007537A8">
          <w:rPr>
            <w:noProof/>
            <w:webHidden/>
          </w:rPr>
          <w:t>147</w:t>
        </w:r>
        <w:r w:rsidR="007537A8">
          <w:rPr>
            <w:noProof/>
            <w:webHidden/>
          </w:rPr>
          <w:fldChar w:fldCharType="end"/>
        </w:r>
      </w:hyperlink>
    </w:p>
    <w:p w14:paraId="178C696A" w14:textId="23731EBF" w:rsidR="007537A8" w:rsidRDefault="00091FED">
      <w:pPr>
        <w:pStyle w:val="Verzeichnis5"/>
        <w:tabs>
          <w:tab w:val="right" w:leader="dot" w:pos="7361"/>
        </w:tabs>
        <w:rPr>
          <w:rFonts w:eastAsiaTheme="minorEastAsia"/>
          <w:noProof/>
          <w:sz w:val="22"/>
          <w:szCs w:val="22"/>
          <w:lang w:eastAsia="de-DE"/>
        </w:rPr>
      </w:pPr>
      <w:hyperlink w:anchor="_Toc22133212" w:history="1">
        <w:r w:rsidR="007537A8" w:rsidRPr="00E31ED9">
          <w:rPr>
            <w:rStyle w:val="Hyperlink"/>
            <w:noProof/>
          </w:rPr>
          <w:t>I. Eröffnung des Verwaltungsrechtswegs</w:t>
        </w:r>
        <w:r w:rsidR="007537A8">
          <w:rPr>
            <w:noProof/>
            <w:webHidden/>
          </w:rPr>
          <w:tab/>
        </w:r>
        <w:r w:rsidR="007537A8">
          <w:rPr>
            <w:noProof/>
            <w:webHidden/>
          </w:rPr>
          <w:fldChar w:fldCharType="begin"/>
        </w:r>
        <w:r w:rsidR="007537A8">
          <w:rPr>
            <w:noProof/>
            <w:webHidden/>
          </w:rPr>
          <w:instrText xml:space="preserve"> PAGEREF _Toc22133212 \h </w:instrText>
        </w:r>
        <w:r w:rsidR="007537A8">
          <w:rPr>
            <w:noProof/>
            <w:webHidden/>
          </w:rPr>
        </w:r>
        <w:r w:rsidR="007537A8">
          <w:rPr>
            <w:noProof/>
            <w:webHidden/>
          </w:rPr>
          <w:fldChar w:fldCharType="separate"/>
        </w:r>
        <w:r w:rsidR="007537A8">
          <w:rPr>
            <w:noProof/>
            <w:webHidden/>
          </w:rPr>
          <w:t>147</w:t>
        </w:r>
        <w:r w:rsidR="007537A8">
          <w:rPr>
            <w:noProof/>
            <w:webHidden/>
          </w:rPr>
          <w:fldChar w:fldCharType="end"/>
        </w:r>
      </w:hyperlink>
    </w:p>
    <w:p w14:paraId="00B4B837" w14:textId="1DC0EF69" w:rsidR="007537A8" w:rsidRDefault="00091FED">
      <w:pPr>
        <w:pStyle w:val="Verzeichnis5"/>
        <w:tabs>
          <w:tab w:val="right" w:leader="dot" w:pos="7361"/>
        </w:tabs>
        <w:rPr>
          <w:rFonts w:eastAsiaTheme="minorEastAsia"/>
          <w:noProof/>
          <w:sz w:val="22"/>
          <w:szCs w:val="22"/>
          <w:lang w:eastAsia="de-DE"/>
        </w:rPr>
      </w:pPr>
      <w:hyperlink w:anchor="_Toc22133213" w:history="1">
        <w:r w:rsidR="007537A8" w:rsidRPr="00E31ED9">
          <w:rPr>
            <w:rStyle w:val="Hyperlink"/>
            <w:noProof/>
          </w:rPr>
          <w:t>II. Statthafte Klageart</w:t>
        </w:r>
        <w:r w:rsidR="007537A8">
          <w:rPr>
            <w:noProof/>
            <w:webHidden/>
          </w:rPr>
          <w:tab/>
        </w:r>
        <w:r w:rsidR="007537A8">
          <w:rPr>
            <w:noProof/>
            <w:webHidden/>
          </w:rPr>
          <w:fldChar w:fldCharType="begin"/>
        </w:r>
        <w:r w:rsidR="007537A8">
          <w:rPr>
            <w:noProof/>
            <w:webHidden/>
          </w:rPr>
          <w:instrText xml:space="preserve"> PAGEREF _Toc22133213 \h </w:instrText>
        </w:r>
        <w:r w:rsidR="007537A8">
          <w:rPr>
            <w:noProof/>
            <w:webHidden/>
          </w:rPr>
        </w:r>
        <w:r w:rsidR="007537A8">
          <w:rPr>
            <w:noProof/>
            <w:webHidden/>
          </w:rPr>
          <w:fldChar w:fldCharType="separate"/>
        </w:r>
        <w:r w:rsidR="007537A8">
          <w:rPr>
            <w:noProof/>
            <w:webHidden/>
          </w:rPr>
          <w:t>147</w:t>
        </w:r>
        <w:r w:rsidR="007537A8">
          <w:rPr>
            <w:noProof/>
            <w:webHidden/>
          </w:rPr>
          <w:fldChar w:fldCharType="end"/>
        </w:r>
      </w:hyperlink>
    </w:p>
    <w:p w14:paraId="300BCC01" w14:textId="0F5811B4" w:rsidR="007537A8" w:rsidRDefault="00091FED">
      <w:pPr>
        <w:pStyle w:val="Verzeichnis6"/>
        <w:tabs>
          <w:tab w:val="right" w:leader="dot" w:pos="7361"/>
        </w:tabs>
        <w:rPr>
          <w:noProof/>
          <w:sz w:val="22"/>
          <w:szCs w:val="22"/>
          <w:lang w:eastAsia="de-DE"/>
        </w:rPr>
      </w:pPr>
      <w:hyperlink w:anchor="_Toc22133214" w:history="1">
        <w:r w:rsidR="007537A8" w:rsidRPr="00E31ED9">
          <w:rPr>
            <w:rStyle w:val="Hyperlink"/>
            <w:noProof/>
          </w:rPr>
          <w:t>1. Feststellungsklage</w:t>
        </w:r>
        <w:r w:rsidR="007537A8">
          <w:rPr>
            <w:noProof/>
            <w:webHidden/>
          </w:rPr>
          <w:tab/>
        </w:r>
        <w:r w:rsidR="007537A8">
          <w:rPr>
            <w:noProof/>
            <w:webHidden/>
          </w:rPr>
          <w:fldChar w:fldCharType="begin"/>
        </w:r>
        <w:r w:rsidR="007537A8">
          <w:rPr>
            <w:noProof/>
            <w:webHidden/>
          </w:rPr>
          <w:instrText xml:space="preserve"> PAGEREF _Toc22133214 \h </w:instrText>
        </w:r>
        <w:r w:rsidR="007537A8">
          <w:rPr>
            <w:noProof/>
            <w:webHidden/>
          </w:rPr>
        </w:r>
        <w:r w:rsidR="007537A8">
          <w:rPr>
            <w:noProof/>
            <w:webHidden/>
          </w:rPr>
          <w:fldChar w:fldCharType="separate"/>
        </w:r>
        <w:r w:rsidR="007537A8">
          <w:rPr>
            <w:noProof/>
            <w:webHidden/>
          </w:rPr>
          <w:t>148</w:t>
        </w:r>
        <w:r w:rsidR="007537A8">
          <w:rPr>
            <w:noProof/>
            <w:webHidden/>
          </w:rPr>
          <w:fldChar w:fldCharType="end"/>
        </w:r>
      </w:hyperlink>
    </w:p>
    <w:p w14:paraId="4F9E1AC7" w14:textId="2C701201" w:rsidR="007537A8" w:rsidRDefault="00091FED">
      <w:pPr>
        <w:pStyle w:val="Verzeichnis6"/>
        <w:tabs>
          <w:tab w:val="right" w:leader="dot" w:pos="7361"/>
        </w:tabs>
        <w:rPr>
          <w:noProof/>
          <w:sz w:val="22"/>
          <w:szCs w:val="22"/>
          <w:lang w:eastAsia="de-DE"/>
        </w:rPr>
      </w:pPr>
      <w:hyperlink w:anchor="_Toc22133215" w:history="1">
        <w:r w:rsidR="007537A8" w:rsidRPr="00E31ED9">
          <w:rPr>
            <w:rStyle w:val="Hyperlink"/>
            <w:noProof/>
          </w:rPr>
          <w:t>2. Leistungsklage</w:t>
        </w:r>
        <w:r w:rsidR="007537A8">
          <w:rPr>
            <w:noProof/>
            <w:webHidden/>
          </w:rPr>
          <w:tab/>
        </w:r>
        <w:r w:rsidR="007537A8">
          <w:rPr>
            <w:noProof/>
            <w:webHidden/>
          </w:rPr>
          <w:fldChar w:fldCharType="begin"/>
        </w:r>
        <w:r w:rsidR="007537A8">
          <w:rPr>
            <w:noProof/>
            <w:webHidden/>
          </w:rPr>
          <w:instrText xml:space="preserve"> PAGEREF _Toc22133215 \h </w:instrText>
        </w:r>
        <w:r w:rsidR="007537A8">
          <w:rPr>
            <w:noProof/>
            <w:webHidden/>
          </w:rPr>
        </w:r>
        <w:r w:rsidR="007537A8">
          <w:rPr>
            <w:noProof/>
            <w:webHidden/>
          </w:rPr>
          <w:fldChar w:fldCharType="separate"/>
        </w:r>
        <w:r w:rsidR="007537A8">
          <w:rPr>
            <w:noProof/>
            <w:webHidden/>
          </w:rPr>
          <w:t>148</w:t>
        </w:r>
        <w:r w:rsidR="007537A8">
          <w:rPr>
            <w:noProof/>
            <w:webHidden/>
          </w:rPr>
          <w:fldChar w:fldCharType="end"/>
        </w:r>
      </w:hyperlink>
    </w:p>
    <w:p w14:paraId="7F763685" w14:textId="386DAC35" w:rsidR="007537A8" w:rsidRDefault="00091FED">
      <w:pPr>
        <w:pStyle w:val="Verzeichnis6"/>
        <w:tabs>
          <w:tab w:val="right" w:leader="dot" w:pos="7361"/>
        </w:tabs>
        <w:rPr>
          <w:noProof/>
          <w:sz w:val="22"/>
          <w:szCs w:val="22"/>
          <w:lang w:eastAsia="de-DE"/>
        </w:rPr>
      </w:pPr>
      <w:hyperlink w:anchor="_Toc22133216" w:history="1">
        <w:r w:rsidR="007537A8" w:rsidRPr="00E31ED9">
          <w:rPr>
            <w:rStyle w:val="Hyperlink"/>
            <w:noProof/>
          </w:rPr>
          <w:t>3. Streitentscheid</w:t>
        </w:r>
        <w:r w:rsidR="007537A8">
          <w:rPr>
            <w:noProof/>
            <w:webHidden/>
          </w:rPr>
          <w:tab/>
        </w:r>
        <w:r w:rsidR="007537A8">
          <w:rPr>
            <w:noProof/>
            <w:webHidden/>
          </w:rPr>
          <w:fldChar w:fldCharType="begin"/>
        </w:r>
        <w:r w:rsidR="007537A8">
          <w:rPr>
            <w:noProof/>
            <w:webHidden/>
          </w:rPr>
          <w:instrText xml:space="preserve"> PAGEREF _Toc22133216 \h </w:instrText>
        </w:r>
        <w:r w:rsidR="007537A8">
          <w:rPr>
            <w:noProof/>
            <w:webHidden/>
          </w:rPr>
        </w:r>
        <w:r w:rsidR="007537A8">
          <w:rPr>
            <w:noProof/>
            <w:webHidden/>
          </w:rPr>
          <w:fldChar w:fldCharType="separate"/>
        </w:r>
        <w:r w:rsidR="007537A8">
          <w:rPr>
            <w:noProof/>
            <w:webHidden/>
          </w:rPr>
          <w:t>149</w:t>
        </w:r>
        <w:r w:rsidR="007537A8">
          <w:rPr>
            <w:noProof/>
            <w:webHidden/>
          </w:rPr>
          <w:fldChar w:fldCharType="end"/>
        </w:r>
      </w:hyperlink>
    </w:p>
    <w:p w14:paraId="751675F6" w14:textId="4B34BF7E" w:rsidR="007537A8" w:rsidRDefault="00091FED">
      <w:pPr>
        <w:pStyle w:val="Verzeichnis5"/>
        <w:tabs>
          <w:tab w:val="right" w:leader="dot" w:pos="7361"/>
        </w:tabs>
        <w:rPr>
          <w:rFonts w:eastAsiaTheme="minorEastAsia"/>
          <w:noProof/>
          <w:sz w:val="22"/>
          <w:szCs w:val="22"/>
          <w:lang w:eastAsia="de-DE"/>
        </w:rPr>
      </w:pPr>
      <w:hyperlink w:anchor="_Toc22133217" w:history="1">
        <w:r w:rsidR="007537A8" w:rsidRPr="00E31ED9">
          <w:rPr>
            <w:rStyle w:val="Hyperlink"/>
            <w:noProof/>
          </w:rPr>
          <w:t>III. Klagebefugnis, § 42 II VwGO analog</w:t>
        </w:r>
        <w:r w:rsidR="007537A8">
          <w:rPr>
            <w:noProof/>
            <w:webHidden/>
          </w:rPr>
          <w:tab/>
        </w:r>
        <w:r w:rsidR="007537A8">
          <w:rPr>
            <w:noProof/>
            <w:webHidden/>
          </w:rPr>
          <w:fldChar w:fldCharType="begin"/>
        </w:r>
        <w:r w:rsidR="007537A8">
          <w:rPr>
            <w:noProof/>
            <w:webHidden/>
          </w:rPr>
          <w:instrText xml:space="preserve"> PAGEREF _Toc22133217 \h </w:instrText>
        </w:r>
        <w:r w:rsidR="007537A8">
          <w:rPr>
            <w:noProof/>
            <w:webHidden/>
          </w:rPr>
        </w:r>
        <w:r w:rsidR="007537A8">
          <w:rPr>
            <w:noProof/>
            <w:webHidden/>
          </w:rPr>
          <w:fldChar w:fldCharType="separate"/>
        </w:r>
        <w:r w:rsidR="007537A8">
          <w:rPr>
            <w:noProof/>
            <w:webHidden/>
          </w:rPr>
          <w:t>149</w:t>
        </w:r>
        <w:r w:rsidR="007537A8">
          <w:rPr>
            <w:noProof/>
            <w:webHidden/>
          </w:rPr>
          <w:fldChar w:fldCharType="end"/>
        </w:r>
      </w:hyperlink>
    </w:p>
    <w:p w14:paraId="79B86310" w14:textId="7F6B8C4F" w:rsidR="007537A8" w:rsidRDefault="00091FED">
      <w:pPr>
        <w:pStyle w:val="Verzeichnis5"/>
        <w:tabs>
          <w:tab w:val="right" w:leader="dot" w:pos="7361"/>
        </w:tabs>
        <w:rPr>
          <w:rFonts w:eastAsiaTheme="minorEastAsia"/>
          <w:noProof/>
          <w:sz w:val="22"/>
          <w:szCs w:val="22"/>
          <w:lang w:eastAsia="de-DE"/>
        </w:rPr>
      </w:pPr>
      <w:hyperlink w:anchor="_Toc22133218" w:history="1">
        <w:r w:rsidR="007537A8" w:rsidRPr="00E31ED9">
          <w:rPr>
            <w:rStyle w:val="Hyperlink"/>
            <w:noProof/>
          </w:rPr>
          <w:t>IV. Vorverfahren</w:t>
        </w:r>
        <w:r w:rsidR="007537A8">
          <w:rPr>
            <w:noProof/>
            <w:webHidden/>
          </w:rPr>
          <w:tab/>
        </w:r>
        <w:r w:rsidR="007537A8">
          <w:rPr>
            <w:noProof/>
            <w:webHidden/>
          </w:rPr>
          <w:fldChar w:fldCharType="begin"/>
        </w:r>
        <w:r w:rsidR="007537A8">
          <w:rPr>
            <w:noProof/>
            <w:webHidden/>
          </w:rPr>
          <w:instrText xml:space="preserve"> PAGEREF _Toc22133218 \h </w:instrText>
        </w:r>
        <w:r w:rsidR="007537A8">
          <w:rPr>
            <w:noProof/>
            <w:webHidden/>
          </w:rPr>
        </w:r>
        <w:r w:rsidR="007537A8">
          <w:rPr>
            <w:noProof/>
            <w:webHidden/>
          </w:rPr>
          <w:fldChar w:fldCharType="separate"/>
        </w:r>
        <w:r w:rsidR="007537A8">
          <w:rPr>
            <w:noProof/>
            <w:webHidden/>
          </w:rPr>
          <w:t>150</w:t>
        </w:r>
        <w:r w:rsidR="007537A8">
          <w:rPr>
            <w:noProof/>
            <w:webHidden/>
          </w:rPr>
          <w:fldChar w:fldCharType="end"/>
        </w:r>
      </w:hyperlink>
    </w:p>
    <w:p w14:paraId="31BD5107" w14:textId="2B5A9247" w:rsidR="007537A8" w:rsidRDefault="00091FED">
      <w:pPr>
        <w:pStyle w:val="Verzeichnis5"/>
        <w:tabs>
          <w:tab w:val="right" w:leader="dot" w:pos="7361"/>
        </w:tabs>
        <w:rPr>
          <w:rFonts w:eastAsiaTheme="minorEastAsia"/>
          <w:noProof/>
          <w:sz w:val="22"/>
          <w:szCs w:val="22"/>
          <w:lang w:eastAsia="de-DE"/>
        </w:rPr>
      </w:pPr>
      <w:hyperlink w:anchor="_Toc22133219" w:history="1">
        <w:r w:rsidR="007537A8" w:rsidRPr="00E31ED9">
          <w:rPr>
            <w:rStyle w:val="Hyperlink"/>
            <w:noProof/>
          </w:rPr>
          <w:t>V. Klagegegner</w:t>
        </w:r>
        <w:r w:rsidR="007537A8">
          <w:rPr>
            <w:noProof/>
            <w:webHidden/>
          </w:rPr>
          <w:tab/>
        </w:r>
        <w:r w:rsidR="007537A8">
          <w:rPr>
            <w:noProof/>
            <w:webHidden/>
          </w:rPr>
          <w:fldChar w:fldCharType="begin"/>
        </w:r>
        <w:r w:rsidR="007537A8">
          <w:rPr>
            <w:noProof/>
            <w:webHidden/>
          </w:rPr>
          <w:instrText xml:space="preserve"> PAGEREF _Toc22133219 \h </w:instrText>
        </w:r>
        <w:r w:rsidR="007537A8">
          <w:rPr>
            <w:noProof/>
            <w:webHidden/>
          </w:rPr>
        </w:r>
        <w:r w:rsidR="007537A8">
          <w:rPr>
            <w:noProof/>
            <w:webHidden/>
          </w:rPr>
          <w:fldChar w:fldCharType="separate"/>
        </w:r>
        <w:r w:rsidR="007537A8">
          <w:rPr>
            <w:noProof/>
            <w:webHidden/>
          </w:rPr>
          <w:t>150</w:t>
        </w:r>
        <w:r w:rsidR="007537A8">
          <w:rPr>
            <w:noProof/>
            <w:webHidden/>
          </w:rPr>
          <w:fldChar w:fldCharType="end"/>
        </w:r>
      </w:hyperlink>
    </w:p>
    <w:p w14:paraId="46DA48E4" w14:textId="3B3BF291" w:rsidR="007537A8" w:rsidRDefault="00091FED">
      <w:pPr>
        <w:pStyle w:val="Verzeichnis5"/>
        <w:tabs>
          <w:tab w:val="right" w:leader="dot" w:pos="7361"/>
        </w:tabs>
        <w:rPr>
          <w:rFonts w:eastAsiaTheme="minorEastAsia"/>
          <w:noProof/>
          <w:sz w:val="22"/>
          <w:szCs w:val="22"/>
          <w:lang w:eastAsia="de-DE"/>
        </w:rPr>
      </w:pPr>
      <w:hyperlink w:anchor="_Toc22133220" w:history="1">
        <w:r w:rsidR="007537A8" w:rsidRPr="00E31ED9">
          <w:rPr>
            <w:rStyle w:val="Hyperlink"/>
            <w:noProof/>
          </w:rPr>
          <w:t>VI. Beteiligungs- und Prozessfähigkeit</w:t>
        </w:r>
        <w:r w:rsidR="007537A8">
          <w:rPr>
            <w:noProof/>
            <w:webHidden/>
          </w:rPr>
          <w:tab/>
        </w:r>
        <w:r w:rsidR="007537A8">
          <w:rPr>
            <w:noProof/>
            <w:webHidden/>
          </w:rPr>
          <w:fldChar w:fldCharType="begin"/>
        </w:r>
        <w:r w:rsidR="007537A8">
          <w:rPr>
            <w:noProof/>
            <w:webHidden/>
          </w:rPr>
          <w:instrText xml:space="preserve"> PAGEREF _Toc22133220 \h </w:instrText>
        </w:r>
        <w:r w:rsidR="007537A8">
          <w:rPr>
            <w:noProof/>
            <w:webHidden/>
          </w:rPr>
        </w:r>
        <w:r w:rsidR="007537A8">
          <w:rPr>
            <w:noProof/>
            <w:webHidden/>
          </w:rPr>
          <w:fldChar w:fldCharType="separate"/>
        </w:r>
        <w:r w:rsidR="007537A8">
          <w:rPr>
            <w:noProof/>
            <w:webHidden/>
          </w:rPr>
          <w:t>150</w:t>
        </w:r>
        <w:r w:rsidR="007537A8">
          <w:rPr>
            <w:noProof/>
            <w:webHidden/>
          </w:rPr>
          <w:fldChar w:fldCharType="end"/>
        </w:r>
      </w:hyperlink>
    </w:p>
    <w:p w14:paraId="3F2B3A61" w14:textId="0D7DDBDD" w:rsidR="007537A8" w:rsidRDefault="00091FED">
      <w:pPr>
        <w:pStyle w:val="Verzeichnis5"/>
        <w:tabs>
          <w:tab w:val="right" w:leader="dot" w:pos="7361"/>
        </w:tabs>
        <w:rPr>
          <w:rFonts w:eastAsiaTheme="minorEastAsia"/>
          <w:noProof/>
          <w:sz w:val="22"/>
          <w:szCs w:val="22"/>
          <w:lang w:eastAsia="de-DE"/>
        </w:rPr>
      </w:pPr>
      <w:hyperlink w:anchor="_Toc22133221" w:history="1">
        <w:r w:rsidR="007537A8" w:rsidRPr="00E31ED9">
          <w:rPr>
            <w:rStyle w:val="Hyperlink"/>
            <w:noProof/>
          </w:rPr>
          <w:t>VII. Besonderes Rechtsschutzbedürfnis</w:t>
        </w:r>
        <w:r w:rsidR="007537A8">
          <w:rPr>
            <w:noProof/>
            <w:webHidden/>
          </w:rPr>
          <w:tab/>
        </w:r>
        <w:r w:rsidR="007537A8">
          <w:rPr>
            <w:noProof/>
            <w:webHidden/>
          </w:rPr>
          <w:fldChar w:fldCharType="begin"/>
        </w:r>
        <w:r w:rsidR="007537A8">
          <w:rPr>
            <w:noProof/>
            <w:webHidden/>
          </w:rPr>
          <w:instrText xml:space="preserve"> PAGEREF _Toc22133221 \h </w:instrText>
        </w:r>
        <w:r w:rsidR="007537A8">
          <w:rPr>
            <w:noProof/>
            <w:webHidden/>
          </w:rPr>
        </w:r>
        <w:r w:rsidR="007537A8">
          <w:rPr>
            <w:noProof/>
            <w:webHidden/>
          </w:rPr>
          <w:fldChar w:fldCharType="separate"/>
        </w:r>
        <w:r w:rsidR="007537A8">
          <w:rPr>
            <w:noProof/>
            <w:webHidden/>
          </w:rPr>
          <w:t>150</w:t>
        </w:r>
        <w:r w:rsidR="007537A8">
          <w:rPr>
            <w:noProof/>
            <w:webHidden/>
          </w:rPr>
          <w:fldChar w:fldCharType="end"/>
        </w:r>
      </w:hyperlink>
    </w:p>
    <w:p w14:paraId="786B7620" w14:textId="3DD714FA" w:rsidR="007537A8" w:rsidRDefault="00091FED">
      <w:pPr>
        <w:pStyle w:val="Verzeichnis4"/>
        <w:tabs>
          <w:tab w:val="right" w:leader="dot" w:pos="7361"/>
        </w:tabs>
        <w:rPr>
          <w:rFonts w:eastAsiaTheme="minorEastAsia"/>
          <w:noProof/>
          <w:sz w:val="22"/>
          <w:szCs w:val="22"/>
          <w:lang w:eastAsia="de-DE"/>
        </w:rPr>
      </w:pPr>
      <w:hyperlink w:anchor="_Toc22133222" w:history="1">
        <w:r w:rsidR="007537A8" w:rsidRPr="00E31ED9">
          <w:rPr>
            <w:rStyle w:val="Hyperlink"/>
            <w:noProof/>
          </w:rPr>
          <w:t>B. Begründetheit</w:t>
        </w:r>
        <w:r w:rsidR="007537A8">
          <w:rPr>
            <w:noProof/>
            <w:webHidden/>
          </w:rPr>
          <w:tab/>
        </w:r>
        <w:r w:rsidR="007537A8">
          <w:rPr>
            <w:noProof/>
            <w:webHidden/>
          </w:rPr>
          <w:fldChar w:fldCharType="begin"/>
        </w:r>
        <w:r w:rsidR="007537A8">
          <w:rPr>
            <w:noProof/>
            <w:webHidden/>
          </w:rPr>
          <w:instrText xml:space="preserve"> PAGEREF _Toc22133222 \h </w:instrText>
        </w:r>
        <w:r w:rsidR="007537A8">
          <w:rPr>
            <w:noProof/>
            <w:webHidden/>
          </w:rPr>
        </w:r>
        <w:r w:rsidR="007537A8">
          <w:rPr>
            <w:noProof/>
            <w:webHidden/>
          </w:rPr>
          <w:fldChar w:fldCharType="separate"/>
        </w:r>
        <w:r w:rsidR="007537A8">
          <w:rPr>
            <w:noProof/>
            <w:webHidden/>
          </w:rPr>
          <w:t>151</w:t>
        </w:r>
        <w:r w:rsidR="007537A8">
          <w:rPr>
            <w:noProof/>
            <w:webHidden/>
          </w:rPr>
          <w:fldChar w:fldCharType="end"/>
        </w:r>
      </w:hyperlink>
    </w:p>
    <w:p w14:paraId="4D9F9020" w14:textId="58656597" w:rsidR="007537A8" w:rsidRDefault="00091FED">
      <w:pPr>
        <w:pStyle w:val="Verzeichnis5"/>
        <w:tabs>
          <w:tab w:val="right" w:leader="dot" w:pos="7361"/>
        </w:tabs>
        <w:rPr>
          <w:rFonts w:eastAsiaTheme="minorEastAsia"/>
          <w:noProof/>
          <w:sz w:val="22"/>
          <w:szCs w:val="22"/>
          <w:lang w:eastAsia="de-DE"/>
        </w:rPr>
      </w:pPr>
      <w:hyperlink w:anchor="_Toc22133223" w:history="1">
        <w:r w:rsidR="007537A8" w:rsidRPr="00E31ED9">
          <w:rPr>
            <w:rStyle w:val="Hyperlink"/>
            <w:noProof/>
          </w:rPr>
          <w:t>I. Anspruchsgrundlage</w:t>
        </w:r>
        <w:r w:rsidR="007537A8">
          <w:rPr>
            <w:noProof/>
            <w:webHidden/>
          </w:rPr>
          <w:tab/>
        </w:r>
        <w:r w:rsidR="007537A8">
          <w:rPr>
            <w:noProof/>
            <w:webHidden/>
          </w:rPr>
          <w:fldChar w:fldCharType="begin"/>
        </w:r>
        <w:r w:rsidR="007537A8">
          <w:rPr>
            <w:noProof/>
            <w:webHidden/>
          </w:rPr>
          <w:instrText xml:space="preserve"> PAGEREF _Toc22133223 \h </w:instrText>
        </w:r>
        <w:r w:rsidR="007537A8">
          <w:rPr>
            <w:noProof/>
            <w:webHidden/>
          </w:rPr>
        </w:r>
        <w:r w:rsidR="007537A8">
          <w:rPr>
            <w:noProof/>
            <w:webHidden/>
          </w:rPr>
          <w:fldChar w:fldCharType="separate"/>
        </w:r>
        <w:r w:rsidR="007537A8">
          <w:rPr>
            <w:noProof/>
            <w:webHidden/>
          </w:rPr>
          <w:t>151</w:t>
        </w:r>
        <w:r w:rsidR="007537A8">
          <w:rPr>
            <w:noProof/>
            <w:webHidden/>
          </w:rPr>
          <w:fldChar w:fldCharType="end"/>
        </w:r>
      </w:hyperlink>
    </w:p>
    <w:p w14:paraId="7D69080B" w14:textId="35ADBD6A" w:rsidR="007537A8" w:rsidRDefault="00091FED">
      <w:pPr>
        <w:pStyle w:val="Verzeichnis5"/>
        <w:tabs>
          <w:tab w:val="right" w:leader="dot" w:pos="7361"/>
        </w:tabs>
        <w:rPr>
          <w:rFonts w:eastAsiaTheme="minorEastAsia"/>
          <w:noProof/>
          <w:sz w:val="22"/>
          <w:szCs w:val="22"/>
          <w:lang w:eastAsia="de-DE"/>
        </w:rPr>
      </w:pPr>
      <w:hyperlink w:anchor="_Toc22133224" w:history="1">
        <w:r w:rsidR="007537A8" w:rsidRPr="00E31ED9">
          <w:rPr>
            <w:rStyle w:val="Hyperlink"/>
            <w:noProof/>
          </w:rPr>
          <w:t>II. Anspruchsvoraussetzungen</w:t>
        </w:r>
        <w:r w:rsidR="007537A8">
          <w:rPr>
            <w:noProof/>
            <w:webHidden/>
          </w:rPr>
          <w:tab/>
        </w:r>
        <w:r w:rsidR="007537A8">
          <w:rPr>
            <w:noProof/>
            <w:webHidden/>
          </w:rPr>
          <w:fldChar w:fldCharType="begin"/>
        </w:r>
        <w:r w:rsidR="007537A8">
          <w:rPr>
            <w:noProof/>
            <w:webHidden/>
          </w:rPr>
          <w:instrText xml:space="preserve"> PAGEREF _Toc22133224 \h </w:instrText>
        </w:r>
        <w:r w:rsidR="007537A8">
          <w:rPr>
            <w:noProof/>
            <w:webHidden/>
          </w:rPr>
        </w:r>
        <w:r w:rsidR="007537A8">
          <w:rPr>
            <w:noProof/>
            <w:webHidden/>
          </w:rPr>
          <w:fldChar w:fldCharType="separate"/>
        </w:r>
        <w:r w:rsidR="007537A8">
          <w:rPr>
            <w:noProof/>
            <w:webHidden/>
          </w:rPr>
          <w:t>151</w:t>
        </w:r>
        <w:r w:rsidR="007537A8">
          <w:rPr>
            <w:noProof/>
            <w:webHidden/>
          </w:rPr>
          <w:fldChar w:fldCharType="end"/>
        </w:r>
      </w:hyperlink>
    </w:p>
    <w:p w14:paraId="416687D4" w14:textId="17436959" w:rsidR="007537A8" w:rsidRDefault="00091FED">
      <w:pPr>
        <w:pStyle w:val="Verzeichnis6"/>
        <w:tabs>
          <w:tab w:val="right" w:leader="dot" w:pos="7361"/>
        </w:tabs>
        <w:rPr>
          <w:noProof/>
          <w:sz w:val="22"/>
          <w:szCs w:val="22"/>
          <w:lang w:eastAsia="de-DE"/>
        </w:rPr>
      </w:pPr>
      <w:hyperlink w:anchor="_Toc22133225" w:history="1">
        <w:r w:rsidR="007537A8" w:rsidRPr="00E31ED9">
          <w:rPr>
            <w:rStyle w:val="Hyperlink"/>
            <w:noProof/>
          </w:rPr>
          <w:t>1. Hoheitliche Maßnahme</w:t>
        </w:r>
        <w:r w:rsidR="007537A8">
          <w:rPr>
            <w:noProof/>
            <w:webHidden/>
          </w:rPr>
          <w:tab/>
        </w:r>
        <w:r w:rsidR="007537A8">
          <w:rPr>
            <w:noProof/>
            <w:webHidden/>
          </w:rPr>
          <w:fldChar w:fldCharType="begin"/>
        </w:r>
        <w:r w:rsidR="007537A8">
          <w:rPr>
            <w:noProof/>
            <w:webHidden/>
          </w:rPr>
          <w:instrText xml:space="preserve"> PAGEREF _Toc22133225 \h </w:instrText>
        </w:r>
        <w:r w:rsidR="007537A8">
          <w:rPr>
            <w:noProof/>
            <w:webHidden/>
          </w:rPr>
        </w:r>
        <w:r w:rsidR="007537A8">
          <w:rPr>
            <w:noProof/>
            <w:webHidden/>
          </w:rPr>
          <w:fldChar w:fldCharType="separate"/>
        </w:r>
        <w:r w:rsidR="007537A8">
          <w:rPr>
            <w:noProof/>
            <w:webHidden/>
          </w:rPr>
          <w:t>152</w:t>
        </w:r>
        <w:r w:rsidR="007537A8">
          <w:rPr>
            <w:noProof/>
            <w:webHidden/>
          </w:rPr>
          <w:fldChar w:fldCharType="end"/>
        </w:r>
      </w:hyperlink>
    </w:p>
    <w:p w14:paraId="1575B758" w14:textId="23DFE85C" w:rsidR="007537A8" w:rsidRDefault="00091FED">
      <w:pPr>
        <w:pStyle w:val="Verzeichnis6"/>
        <w:tabs>
          <w:tab w:val="right" w:leader="dot" w:pos="7361"/>
        </w:tabs>
        <w:rPr>
          <w:noProof/>
          <w:sz w:val="22"/>
          <w:szCs w:val="22"/>
          <w:lang w:eastAsia="de-DE"/>
        </w:rPr>
      </w:pPr>
      <w:hyperlink w:anchor="_Toc22133226" w:history="1">
        <w:r w:rsidR="007537A8" w:rsidRPr="00E31ED9">
          <w:rPr>
            <w:rStyle w:val="Hyperlink"/>
            <w:noProof/>
          </w:rPr>
          <w:t>2. Drohender Eingriff in ein subjektiv-öffentliches Recht der A-GmbH</w:t>
        </w:r>
        <w:r w:rsidR="007537A8">
          <w:rPr>
            <w:noProof/>
            <w:webHidden/>
          </w:rPr>
          <w:tab/>
        </w:r>
        <w:r w:rsidR="007537A8">
          <w:rPr>
            <w:noProof/>
            <w:webHidden/>
          </w:rPr>
          <w:fldChar w:fldCharType="begin"/>
        </w:r>
        <w:r w:rsidR="007537A8">
          <w:rPr>
            <w:noProof/>
            <w:webHidden/>
          </w:rPr>
          <w:instrText xml:space="preserve"> PAGEREF _Toc22133226 \h </w:instrText>
        </w:r>
        <w:r w:rsidR="007537A8">
          <w:rPr>
            <w:noProof/>
            <w:webHidden/>
          </w:rPr>
        </w:r>
        <w:r w:rsidR="007537A8">
          <w:rPr>
            <w:noProof/>
            <w:webHidden/>
          </w:rPr>
          <w:fldChar w:fldCharType="separate"/>
        </w:r>
        <w:r w:rsidR="007537A8">
          <w:rPr>
            <w:noProof/>
            <w:webHidden/>
          </w:rPr>
          <w:t>152</w:t>
        </w:r>
        <w:r w:rsidR="007537A8">
          <w:rPr>
            <w:noProof/>
            <w:webHidden/>
          </w:rPr>
          <w:fldChar w:fldCharType="end"/>
        </w:r>
      </w:hyperlink>
    </w:p>
    <w:p w14:paraId="600770F3" w14:textId="7824D5E4" w:rsidR="007537A8" w:rsidRDefault="00091FED">
      <w:pPr>
        <w:pStyle w:val="Verzeichnis7"/>
        <w:tabs>
          <w:tab w:val="right" w:leader="dot" w:pos="7361"/>
        </w:tabs>
        <w:rPr>
          <w:noProof/>
          <w:sz w:val="22"/>
          <w:szCs w:val="22"/>
          <w:lang w:eastAsia="de-DE"/>
        </w:rPr>
      </w:pPr>
      <w:hyperlink w:anchor="_Toc22133227" w:history="1">
        <w:r w:rsidR="007537A8" w:rsidRPr="00E31ED9">
          <w:rPr>
            <w:rStyle w:val="Hyperlink"/>
            <w:noProof/>
          </w:rPr>
          <w:t>a) Berufsfreiheit, Art. 12 I GG</w:t>
        </w:r>
        <w:r w:rsidR="007537A8">
          <w:rPr>
            <w:noProof/>
            <w:webHidden/>
          </w:rPr>
          <w:tab/>
        </w:r>
        <w:r w:rsidR="007537A8">
          <w:rPr>
            <w:noProof/>
            <w:webHidden/>
          </w:rPr>
          <w:fldChar w:fldCharType="begin"/>
        </w:r>
        <w:r w:rsidR="007537A8">
          <w:rPr>
            <w:noProof/>
            <w:webHidden/>
          </w:rPr>
          <w:instrText xml:space="preserve"> PAGEREF _Toc22133227 \h </w:instrText>
        </w:r>
        <w:r w:rsidR="007537A8">
          <w:rPr>
            <w:noProof/>
            <w:webHidden/>
          </w:rPr>
        </w:r>
        <w:r w:rsidR="007537A8">
          <w:rPr>
            <w:noProof/>
            <w:webHidden/>
          </w:rPr>
          <w:fldChar w:fldCharType="separate"/>
        </w:r>
        <w:r w:rsidR="007537A8">
          <w:rPr>
            <w:noProof/>
            <w:webHidden/>
          </w:rPr>
          <w:t>152</w:t>
        </w:r>
        <w:r w:rsidR="007537A8">
          <w:rPr>
            <w:noProof/>
            <w:webHidden/>
          </w:rPr>
          <w:fldChar w:fldCharType="end"/>
        </w:r>
      </w:hyperlink>
    </w:p>
    <w:p w14:paraId="18850D25" w14:textId="37903DF2" w:rsidR="007537A8" w:rsidRDefault="00091FED">
      <w:pPr>
        <w:pStyle w:val="Verzeichnis7"/>
        <w:tabs>
          <w:tab w:val="right" w:leader="dot" w:pos="7361"/>
        </w:tabs>
        <w:rPr>
          <w:noProof/>
          <w:sz w:val="22"/>
          <w:szCs w:val="22"/>
          <w:lang w:eastAsia="de-DE"/>
        </w:rPr>
      </w:pPr>
      <w:hyperlink w:anchor="_Toc22133228" w:history="1">
        <w:r w:rsidR="007537A8" w:rsidRPr="00E31ED9">
          <w:rPr>
            <w:rStyle w:val="Hyperlink"/>
            <w:noProof/>
          </w:rPr>
          <w:t>b) Eigentumsfreiheit, Art. 14 I GG</w:t>
        </w:r>
        <w:r w:rsidR="007537A8">
          <w:rPr>
            <w:noProof/>
            <w:webHidden/>
          </w:rPr>
          <w:tab/>
        </w:r>
        <w:r w:rsidR="007537A8">
          <w:rPr>
            <w:noProof/>
            <w:webHidden/>
          </w:rPr>
          <w:fldChar w:fldCharType="begin"/>
        </w:r>
        <w:r w:rsidR="007537A8">
          <w:rPr>
            <w:noProof/>
            <w:webHidden/>
          </w:rPr>
          <w:instrText xml:space="preserve"> PAGEREF _Toc22133228 \h </w:instrText>
        </w:r>
        <w:r w:rsidR="007537A8">
          <w:rPr>
            <w:noProof/>
            <w:webHidden/>
          </w:rPr>
        </w:r>
        <w:r w:rsidR="007537A8">
          <w:rPr>
            <w:noProof/>
            <w:webHidden/>
          </w:rPr>
          <w:fldChar w:fldCharType="separate"/>
        </w:r>
        <w:r w:rsidR="007537A8">
          <w:rPr>
            <w:noProof/>
            <w:webHidden/>
          </w:rPr>
          <w:t>154</w:t>
        </w:r>
        <w:r w:rsidR="007537A8">
          <w:rPr>
            <w:noProof/>
            <w:webHidden/>
          </w:rPr>
          <w:fldChar w:fldCharType="end"/>
        </w:r>
      </w:hyperlink>
    </w:p>
    <w:p w14:paraId="43560960" w14:textId="55DE5691" w:rsidR="007537A8" w:rsidRDefault="00091FED">
      <w:pPr>
        <w:pStyle w:val="Verzeichnis7"/>
        <w:tabs>
          <w:tab w:val="right" w:leader="dot" w:pos="7361"/>
        </w:tabs>
        <w:rPr>
          <w:noProof/>
          <w:sz w:val="22"/>
          <w:szCs w:val="22"/>
          <w:lang w:eastAsia="de-DE"/>
        </w:rPr>
      </w:pPr>
      <w:hyperlink w:anchor="_Toc22133229" w:history="1">
        <w:r w:rsidR="007537A8" w:rsidRPr="00E31ED9">
          <w:rPr>
            <w:rStyle w:val="Hyperlink"/>
            <w:noProof/>
          </w:rPr>
          <w:t>c) Begehungsgefahr</w:t>
        </w:r>
        <w:r w:rsidR="007537A8">
          <w:rPr>
            <w:noProof/>
            <w:webHidden/>
          </w:rPr>
          <w:tab/>
        </w:r>
        <w:r w:rsidR="007537A8">
          <w:rPr>
            <w:noProof/>
            <w:webHidden/>
          </w:rPr>
          <w:fldChar w:fldCharType="begin"/>
        </w:r>
        <w:r w:rsidR="007537A8">
          <w:rPr>
            <w:noProof/>
            <w:webHidden/>
          </w:rPr>
          <w:instrText xml:space="preserve"> PAGEREF _Toc22133229 \h </w:instrText>
        </w:r>
        <w:r w:rsidR="007537A8">
          <w:rPr>
            <w:noProof/>
            <w:webHidden/>
          </w:rPr>
        </w:r>
        <w:r w:rsidR="007537A8">
          <w:rPr>
            <w:noProof/>
            <w:webHidden/>
          </w:rPr>
          <w:fldChar w:fldCharType="separate"/>
        </w:r>
        <w:r w:rsidR="007537A8">
          <w:rPr>
            <w:noProof/>
            <w:webHidden/>
          </w:rPr>
          <w:t>154</w:t>
        </w:r>
        <w:r w:rsidR="007537A8">
          <w:rPr>
            <w:noProof/>
            <w:webHidden/>
          </w:rPr>
          <w:fldChar w:fldCharType="end"/>
        </w:r>
      </w:hyperlink>
    </w:p>
    <w:p w14:paraId="56B285E9" w14:textId="1CECB1AA" w:rsidR="007537A8" w:rsidRDefault="00091FED">
      <w:pPr>
        <w:pStyle w:val="Verzeichnis6"/>
        <w:tabs>
          <w:tab w:val="right" w:leader="dot" w:pos="7361"/>
        </w:tabs>
        <w:rPr>
          <w:noProof/>
          <w:sz w:val="22"/>
          <w:szCs w:val="22"/>
          <w:lang w:eastAsia="de-DE"/>
        </w:rPr>
      </w:pPr>
      <w:hyperlink w:anchor="_Toc22133230" w:history="1">
        <w:r w:rsidR="007537A8" w:rsidRPr="00E31ED9">
          <w:rPr>
            <w:rStyle w:val="Hyperlink"/>
            <w:noProof/>
          </w:rPr>
          <w:t>3. Rechtswidrigkeit des Eingriffs</w:t>
        </w:r>
        <w:r w:rsidR="007537A8">
          <w:rPr>
            <w:noProof/>
            <w:webHidden/>
          </w:rPr>
          <w:tab/>
        </w:r>
        <w:r w:rsidR="007537A8">
          <w:rPr>
            <w:noProof/>
            <w:webHidden/>
          </w:rPr>
          <w:fldChar w:fldCharType="begin"/>
        </w:r>
        <w:r w:rsidR="007537A8">
          <w:rPr>
            <w:noProof/>
            <w:webHidden/>
          </w:rPr>
          <w:instrText xml:space="preserve"> PAGEREF _Toc22133230 \h </w:instrText>
        </w:r>
        <w:r w:rsidR="007537A8">
          <w:rPr>
            <w:noProof/>
            <w:webHidden/>
          </w:rPr>
        </w:r>
        <w:r w:rsidR="007537A8">
          <w:rPr>
            <w:noProof/>
            <w:webHidden/>
          </w:rPr>
          <w:fldChar w:fldCharType="separate"/>
        </w:r>
        <w:r w:rsidR="007537A8">
          <w:rPr>
            <w:noProof/>
            <w:webHidden/>
          </w:rPr>
          <w:t>154</w:t>
        </w:r>
        <w:r w:rsidR="007537A8">
          <w:rPr>
            <w:noProof/>
            <w:webHidden/>
          </w:rPr>
          <w:fldChar w:fldCharType="end"/>
        </w:r>
      </w:hyperlink>
    </w:p>
    <w:p w14:paraId="19C813EA" w14:textId="3315D7FC" w:rsidR="007537A8" w:rsidRDefault="00091FED">
      <w:pPr>
        <w:pStyle w:val="Verzeichnis7"/>
        <w:tabs>
          <w:tab w:val="right" w:leader="dot" w:pos="7361"/>
        </w:tabs>
        <w:rPr>
          <w:noProof/>
          <w:sz w:val="22"/>
          <w:szCs w:val="22"/>
          <w:lang w:eastAsia="de-DE"/>
        </w:rPr>
      </w:pPr>
      <w:hyperlink w:anchor="_Toc22133231" w:history="1">
        <w:r w:rsidR="007537A8" w:rsidRPr="00E31ED9">
          <w:rPr>
            <w:rStyle w:val="Hyperlink"/>
            <w:noProof/>
          </w:rPr>
          <w:t>a) Formelle Voraussetzungen</w:t>
        </w:r>
        <w:r w:rsidR="007537A8">
          <w:rPr>
            <w:noProof/>
            <w:webHidden/>
          </w:rPr>
          <w:tab/>
        </w:r>
        <w:r w:rsidR="007537A8">
          <w:rPr>
            <w:noProof/>
            <w:webHidden/>
          </w:rPr>
          <w:fldChar w:fldCharType="begin"/>
        </w:r>
        <w:r w:rsidR="007537A8">
          <w:rPr>
            <w:noProof/>
            <w:webHidden/>
          </w:rPr>
          <w:instrText xml:space="preserve"> PAGEREF _Toc22133231 \h </w:instrText>
        </w:r>
        <w:r w:rsidR="007537A8">
          <w:rPr>
            <w:noProof/>
            <w:webHidden/>
          </w:rPr>
        </w:r>
        <w:r w:rsidR="007537A8">
          <w:rPr>
            <w:noProof/>
            <w:webHidden/>
          </w:rPr>
          <w:fldChar w:fldCharType="separate"/>
        </w:r>
        <w:r w:rsidR="007537A8">
          <w:rPr>
            <w:noProof/>
            <w:webHidden/>
          </w:rPr>
          <w:t>155</w:t>
        </w:r>
        <w:r w:rsidR="007537A8">
          <w:rPr>
            <w:noProof/>
            <w:webHidden/>
          </w:rPr>
          <w:fldChar w:fldCharType="end"/>
        </w:r>
      </w:hyperlink>
    </w:p>
    <w:p w14:paraId="2BB0AA70" w14:textId="66637A2F" w:rsidR="007537A8" w:rsidRDefault="00091FED">
      <w:pPr>
        <w:pStyle w:val="Verzeichnis7"/>
        <w:tabs>
          <w:tab w:val="right" w:leader="dot" w:pos="7361"/>
        </w:tabs>
        <w:rPr>
          <w:noProof/>
          <w:sz w:val="22"/>
          <w:szCs w:val="22"/>
          <w:lang w:eastAsia="de-DE"/>
        </w:rPr>
      </w:pPr>
      <w:hyperlink w:anchor="_Toc22133232" w:history="1">
        <w:r w:rsidR="007537A8" w:rsidRPr="00E31ED9">
          <w:rPr>
            <w:rStyle w:val="Hyperlink"/>
            <w:noProof/>
          </w:rPr>
          <w:t>b) Materielle Voraussetzungen</w:t>
        </w:r>
        <w:r w:rsidR="007537A8">
          <w:rPr>
            <w:noProof/>
            <w:webHidden/>
          </w:rPr>
          <w:tab/>
        </w:r>
        <w:r w:rsidR="007537A8">
          <w:rPr>
            <w:noProof/>
            <w:webHidden/>
          </w:rPr>
          <w:fldChar w:fldCharType="begin"/>
        </w:r>
        <w:r w:rsidR="007537A8">
          <w:rPr>
            <w:noProof/>
            <w:webHidden/>
          </w:rPr>
          <w:instrText xml:space="preserve"> PAGEREF _Toc22133232 \h </w:instrText>
        </w:r>
        <w:r w:rsidR="007537A8">
          <w:rPr>
            <w:noProof/>
            <w:webHidden/>
          </w:rPr>
        </w:r>
        <w:r w:rsidR="007537A8">
          <w:rPr>
            <w:noProof/>
            <w:webHidden/>
          </w:rPr>
          <w:fldChar w:fldCharType="separate"/>
        </w:r>
        <w:r w:rsidR="007537A8">
          <w:rPr>
            <w:noProof/>
            <w:webHidden/>
          </w:rPr>
          <w:t>155</w:t>
        </w:r>
        <w:r w:rsidR="007537A8">
          <w:rPr>
            <w:noProof/>
            <w:webHidden/>
          </w:rPr>
          <w:fldChar w:fldCharType="end"/>
        </w:r>
      </w:hyperlink>
    </w:p>
    <w:p w14:paraId="33874788" w14:textId="6A4CE544" w:rsidR="007537A8" w:rsidRDefault="00091FED">
      <w:pPr>
        <w:pStyle w:val="Verzeichnis8"/>
        <w:tabs>
          <w:tab w:val="right" w:leader="dot" w:pos="7361"/>
        </w:tabs>
        <w:rPr>
          <w:noProof/>
          <w:sz w:val="22"/>
          <w:szCs w:val="22"/>
          <w:lang w:eastAsia="de-DE"/>
        </w:rPr>
      </w:pPr>
      <w:hyperlink w:anchor="_Toc22133233" w:history="1">
        <w:r w:rsidR="007537A8" w:rsidRPr="00E31ED9">
          <w:rPr>
            <w:rStyle w:val="Hyperlink"/>
            <w:noProof/>
          </w:rPr>
          <w:t>aa) Verstoß gegen Vorschriften im Anwendungsbereich des LFGB</w:t>
        </w:r>
        <w:r w:rsidR="007537A8">
          <w:rPr>
            <w:noProof/>
            <w:webHidden/>
          </w:rPr>
          <w:tab/>
        </w:r>
        <w:r w:rsidR="007537A8">
          <w:rPr>
            <w:noProof/>
            <w:webHidden/>
          </w:rPr>
          <w:fldChar w:fldCharType="begin"/>
        </w:r>
        <w:r w:rsidR="007537A8">
          <w:rPr>
            <w:noProof/>
            <w:webHidden/>
          </w:rPr>
          <w:instrText xml:space="preserve"> PAGEREF _Toc22133233 \h </w:instrText>
        </w:r>
        <w:r w:rsidR="007537A8">
          <w:rPr>
            <w:noProof/>
            <w:webHidden/>
          </w:rPr>
        </w:r>
        <w:r w:rsidR="007537A8">
          <w:rPr>
            <w:noProof/>
            <w:webHidden/>
          </w:rPr>
          <w:fldChar w:fldCharType="separate"/>
        </w:r>
        <w:r w:rsidR="007537A8">
          <w:rPr>
            <w:noProof/>
            <w:webHidden/>
          </w:rPr>
          <w:t>155</w:t>
        </w:r>
        <w:r w:rsidR="007537A8">
          <w:rPr>
            <w:noProof/>
            <w:webHidden/>
          </w:rPr>
          <w:fldChar w:fldCharType="end"/>
        </w:r>
      </w:hyperlink>
    </w:p>
    <w:p w14:paraId="67CFF2C3" w14:textId="417D44A5" w:rsidR="007537A8" w:rsidRDefault="00091FED">
      <w:pPr>
        <w:pStyle w:val="Verzeichnis8"/>
        <w:tabs>
          <w:tab w:val="right" w:leader="dot" w:pos="7361"/>
        </w:tabs>
        <w:rPr>
          <w:noProof/>
          <w:sz w:val="22"/>
          <w:szCs w:val="22"/>
          <w:lang w:eastAsia="de-DE"/>
        </w:rPr>
      </w:pPr>
      <w:hyperlink w:anchor="_Toc22133234" w:history="1">
        <w:r w:rsidR="007537A8" w:rsidRPr="00E31ED9">
          <w:rPr>
            <w:rStyle w:val="Hyperlink"/>
            <w:noProof/>
          </w:rPr>
          <w:t>bb) Verbraucherschützender Charakter der Vorschrift</w:t>
        </w:r>
        <w:r w:rsidR="007537A8">
          <w:rPr>
            <w:noProof/>
            <w:webHidden/>
          </w:rPr>
          <w:tab/>
        </w:r>
        <w:r w:rsidR="007537A8">
          <w:rPr>
            <w:noProof/>
            <w:webHidden/>
          </w:rPr>
          <w:fldChar w:fldCharType="begin"/>
        </w:r>
        <w:r w:rsidR="007537A8">
          <w:rPr>
            <w:noProof/>
            <w:webHidden/>
          </w:rPr>
          <w:instrText xml:space="preserve"> PAGEREF _Toc22133234 \h </w:instrText>
        </w:r>
        <w:r w:rsidR="007537A8">
          <w:rPr>
            <w:noProof/>
            <w:webHidden/>
          </w:rPr>
        </w:r>
        <w:r w:rsidR="007537A8">
          <w:rPr>
            <w:noProof/>
            <w:webHidden/>
          </w:rPr>
          <w:fldChar w:fldCharType="separate"/>
        </w:r>
        <w:r w:rsidR="007537A8">
          <w:rPr>
            <w:noProof/>
            <w:webHidden/>
          </w:rPr>
          <w:t>155</w:t>
        </w:r>
        <w:r w:rsidR="007537A8">
          <w:rPr>
            <w:noProof/>
            <w:webHidden/>
          </w:rPr>
          <w:fldChar w:fldCharType="end"/>
        </w:r>
      </w:hyperlink>
    </w:p>
    <w:p w14:paraId="2FA1122F" w14:textId="74AEC572" w:rsidR="007537A8" w:rsidRDefault="00091FED">
      <w:pPr>
        <w:pStyle w:val="Verzeichnis8"/>
        <w:tabs>
          <w:tab w:val="right" w:leader="dot" w:pos="7361"/>
        </w:tabs>
        <w:rPr>
          <w:noProof/>
          <w:sz w:val="22"/>
          <w:szCs w:val="22"/>
          <w:lang w:eastAsia="de-DE"/>
        </w:rPr>
      </w:pPr>
      <w:hyperlink w:anchor="_Toc22133235" w:history="1">
        <w:r w:rsidR="007537A8" w:rsidRPr="00E31ED9">
          <w:rPr>
            <w:rStyle w:val="Hyperlink"/>
            <w:noProof/>
          </w:rPr>
          <w:t>cc) § 40 II LFGB</w:t>
        </w:r>
        <w:r w:rsidR="007537A8">
          <w:rPr>
            <w:noProof/>
            <w:webHidden/>
          </w:rPr>
          <w:tab/>
        </w:r>
        <w:r w:rsidR="007537A8">
          <w:rPr>
            <w:noProof/>
            <w:webHidden/>
          </w:rPr>
          <w:fldChar w:fldCharType="begin"/>
        </w:r>
        <w:r w:rsidR="007537A8">
          <w:rPr>
            <w:noProof/>
            <w:webHidden/>
          </w:rPr>
          <w:instrText xml:space="preserve"> PAGEREF _Toc22133235 \h </w:instrText>
        </w:r>
        <w:r w:rsidR="007537A8">
          <w:rPr>
            <w:noProof/>
            <w:webHidden/>
          </w:rPr>
        </w:r>
        <w:r w:rsidR="007537A8">
          <w:rPr>
            <w:noProof/>
            <w:webHidden/>
          </w:rPr>
          <w:fldChar w:fldCharType="separate"/>
        </w:r>
        <w:r w:rsidR="007537A8">
          <w:rPr>
            <w:noProof/>
            <w:webHidden/>
          </w:rPr>
          <w:t>155</w:t>
        </w:r>
        <w:r w:rsidR="007537A8">
          <w:rPr>
            <w:noProof/>
            <w:webHidden/>
          </w:rPr>
          <w:fldChar w:fldCharType="end"/>
        </w:r>
      </w:hyperlink>
    </w:p>
    <w:p w14:paraId="51436BC4" w14:textId="79731B41" w:rsidR="007537A8" w:rsidRDefault="00091FED">
      <w:pPr>
        <w:pStyle w:val="Verzeichnis8"/>
        <w:tabs>
          <w:tab w:val="right" w:leader="dot" w:pos="7361"/>
        </w:tabs>
        <w:rPr>
          <w:noProof/>
          <w:sz w:val="22"/>
          <w:szCs w:val="22"/>
          <w:lang w:eastAsia="de-DE"/>
        </w:rPr>
      </w:pPr>
      <w:hyperlink w:anchor="_Toc22133236" w:history="1">
        <w:r w:rsidR="007537A8" w:rsidRPr="00E31ED9">
          <w:rPr>
            <w:rStyle w:val="Hyperlink"/>
            <w:noProof/>
          </w:rPr>
          <w:t>dd) Rechtsfolge</w:t>
        </w:r>
        <w:r w:rsidR="007537A8">
          <w:rPr>
            <w:noProof/>
            <w:webHidden/>
          </w:rPr>
          <w:tab/>
        </w:r>
        <w:r w:rsidR="007537A8">
          <w:rPr>
            <w:noProof/>
            <w:webHidden/>
          </w:rPr>
          <w:fldChar w:fldCharType="begin"/>
        </w:r>
        <w:r w:rsidR="007537A8">
          <w:rPr>
            <w:noProof/>
            <w:webHidden/>
          </w:rPr>
          <w:instrText xml:space="preserve"> PAGEREF _Toc22133236 \h </w:instrText>
        </w:r>
        <w:r w:rsidR="007537A8">
          <w:rPr>
            <w:noProof/>
            <w:webHidden/>
          </w:rPr>
        </w:r>
        <w:r w:rsidR="007537A8">
          <w:rPr>
            <w:noProof/>
            <w:webHidden/>
          </w:rPr>
          <w:fldChar w:fldCharType="separate"/>
        </w:r>
        <w:r w:rsidR="007537A8">
          <w:rPr>
            <w:noProof/>
            <w:webHidden/>
          </w:rPr>
          <w:t>156</w:t>
        </w:r>
        <w:r w:rsidR="007537A8">
          <w:rPr>
            <w:noProof/>
            <w:webHidden/>
          </w:rPr>
          <w:fldChar w:fldCharType="end"/>
        </w:r>
      </w:hyperlink>
    </w:p>
    <w:p w14:paraId="228A1E1D" w14:textId="78D542A9" w:rsidR="007537A8" w:rsidRDefault="00091FED">
      <w:pPr>
        <w:pStyle w:val="Verzeichnis7"/>
        <w:tabs>
          <w:tab w:val="right" w:leader="dot" w:pos="7361"/>
        </w:tabs>
        <w:rPr>
          <w:noProof/>
          <w:sz w:val="22"/>
          <w:szCs w:val="22"/>
          <w:lang w:eastAsia="de-DE"/>
        </w:rPr>
      </w:pPr>
      <w:hyperlink w:anchor="_Toc22133237" w:history="1">
        <w:r w:rsidR="007537A8" w:rsidRPr="00E31ED9">
          <w:rPr>
            <w:rStyle w:val="Hyperlink"/>
            <w:noProof/>
          </w:rPr>
          <w:t>c) Zwischenergebnis</w:t>
        </w:r>
        <w:r w:rsidR="007537A8">
          <w:rPr>
            <w:noProof/>
            <w:webHidden/>
          </w:rPr>
          <w:tab/>
        </w:r>
        <w:r w:rsidR="007537A8">
          <w:rPr>
            <w:noProof/>
            <w:webHidden/>
          </w:rPr>
          <w:fldChar w:fldCharType="begin"/>
        </w:r>
        <w:r w:rsidR="007537A8">
          <w:rPr>
            <w:noProof/>
            <w:webHidden/>
          </w:rPr>
          <w:instrText xml:space="preserve"> PAGEREF _Toc22133237 \h </w:instrText>
        </w:r>
        <w:r w:rsidR="007537A8">
          <w:rPr>
            <w:noProof/>
            <w:webHidden/>
          </w:rPr>
        </w:r>
        <w:r w:rsidR="007537A8">
          <w:rPr>
            <w:noProof/>
            <w:webHidden/>
          </w:rPr>
          <w:fldChar w:fldCharType="separate"/>
        </w:r>
        <w:r w:rsidR="007537A8">
          <w:rPr>
            <w:noProof/>
            <w:webHidden/>
          </w:rPr>
          <w:t>156</w:t>
        </w:r>
        <w:r w:rsidR="007537A8">
          <w:rPr>
            <w:noProof/>
            <w:webHidden/>
          </w:rPr>
          <w:fldChar w:fldCharType="end"/>
        </w:r>
      </w:hyperlink>
    </w:p>
    <w:p w14:paraId="27B20532" w14:textId="42F18EC5" w:rsidR="007537A8" w:rsidRDefault="00091FED">
      <w:pPr>
        <w:pStyle w:val="Verzeichnis6"/>
        <w:tabs>
          <w:tab w:val="right" w:leader="dot" w:pos="7361"/>
        </w:tabs>
        <w:rPr>
          <w:noProof/>
          <w:sz w:val="22"/>
          <w:szCs w:val="22"/>
          <w:lang w:eastAsia="de-DE"/>
        </w:rPr>
      </w:pPr>
      <w:hyperlink w:anchor="_Toc22133238" w:history="1">
        <w:r w:rsidR="007537A8" w:rsidRPr="00E31ED9">
          <w:rPr>
            <w:rStyle w:val="Hyperlink"/>
            <w:noProof/>
          </w:rPr>
          <w:t>4. Zwischenergebnis</w:t>
        </w:r>
        <w:r w:rsidR="007537A8">
          <w:rPr>
            <w:noProof/>
            <w:webHidden/>
          </w:rPr>
          <w:tab/>
        </w:r>
        <w:r w:rsidR="007537A8">
          <w:rPr>
            <w:noProof/>
            <w:webHidden/>
          </w:rPr>
          <w:fldChar w:fldCharType="begin"/>
        </w:r>
        <w:r w:rsidR="007537A8">
          <w:rPr>
            <w:noProof/>
            <w:webHidden/>
          </w:rPr>
          <w:instrText xml:space="preserve"> PAGEREF _Toc22133238 \h </w:instrText>
        </w:r>
        <w:r w:rsidR="007537A8">
          <w:rPr>
            <w:noProof/>
            <w:webHidden/>
          </w:rPr>
        </w:r>
        <w:r w:rsidR="007537A8">
          <w:rPr>
            <w:noProof/>
            <w:webHidden/>
          </w:rPr>
          <w:fldChar w:fldCharType="separate"/>
        </w:r>
        <w:r w:rsidR="007537A8">
          <w:rPr>
            <w:noProof/>
            <w:webHidden/>
          </w:rPr>
          <w:t>156</w:t>
        </w:r>
        <w:r w:rsidR="007537A8">
          <w:rPr>
            <w:noProof/>
            <w:webHidden/>
          </w:rPr>
          <w:fldChar w:fldCharType="end"/>
        </w:r>
      </w:hyperlink>
    </w:p>
    <w:p w14:paraId="737E0DA7" w14:textId="5EC24882" w:rsidR="007537A8" w:rsidRDefault="00091FED">
      <w:pPr>
        <w:pStyle w:val="Verzeichnis5"/>
        <w:tabs>
          <w:tab w:val="right" w:leader="dot" w:pos="7361"/>
        </w:tabs>
        <w:rPr>
          <w:rFonts w:eastAsiaTheme="minorEastAsia"/>
          <w:noProof/>
          <w:sz w:val="22"/>
          <w:szCs w:val="22"/>
          <w:lang w:eastAsia="de-DE"/>
        </w:rPr>
      </w:pPr>
      <w:hyperlink w:anchor="_Toc22133239" w:history="1">
        <w:r w:rsidR="007537A8" w:rsidRPr="00E31ED9">
          <w:rPr>
            <w:rStyle w:val="Hyperlink"/>
            <w:noProof/>
          </w:rPr>
          <w:t>III. Zwischenergebnis</w:t>
        </w:r>
        <w:r w:rsidR="007537A8">
          <w:rPr>
            <w:noProof/>
            <w:webHidden/>
          </w:rPr>
          <w:tab/>
        </w:r>
        <w:r w:rsidR="007537A8">
          <w:rPr>
            <w:noProof/>
            <w:webHidden/>
          </w:rPr>
          <w:fldChar w:fldCharType="begin"/>
        </w:r>
        <w:r w:rsidR="007537A8">
          <w:rPr>
            <w:noProof/>
            <w:webHidden/>
          </w:rPr>
          <w:instrText xml:space="preserve"> PAGEREF _Toc22133239 \h </w:instrText>
        </w:r>
        <w:r w:rsidR="007537A8">
          <w:rPr>
            <w:noProof/>
            <w:webHidden/>
          </w:rPr>
        </w:r>
        <w:r w:rsidR="007537A8">
          <w:rPr>
            <w:noProof/>
            <w:webHidden/>
          </w:rPr>
          <w:fldChar w:fldCharType="separate"/>
        </w:r>
        <w:r w:rsidR="007537A8">
          <w:rPr>
            <w:noProof/>
            <w:webHidden/>
          </w:rPr>
          <w:t>156</w:t>
        </w:r>
        <w:r w:rsidR="007537A8">
          <w:rPr>
            <w:noProof/>
            <w:webHidden/>
          </w:rPr>
          <w:fldChar w:fldCharType="end"/>
        </w:r>
      </w:hyperlink>
    </w:p>
    <w:p w14:paraId="45DEAC3D" w14:textId="68150CF7" w:rsidR="007537A8" w:rsidRDefault="00091FED">
      <w:pPr>
        <w:pStyle w:val="Verzeichnis4"/>
        <w:tabs>
          <w:tab w:val="right" w:leader="dot" w:pos="7361"/>
        </w:tabs>
        <w:rPr>
          <w:rFonts w:eastAsiaTheme="minorEastAsia"/>
          <w:noProof/>
          <w:sz w:val="22"/>
          <w:szCs w:val="22"/>
          <w:lang w:eastAsia="de-DE"/>
        </w:rPr>
      </w:pPr>
      <w:hyperlink w:anchor="_Toc22133240" w:history="1">
        <w:r w:rsidR="007537A8" w:rsidRPr="00E31ED9">
          <w:rPr>
            <w:rStyle w:val="Hyperlink"/>
            <w:noProof/>
          </w:rPr>
          <w:t>C. Ergebnis</w:t>
        </w:r>
        <w:r w:rsidR="007537A8">
          <w:rPr>
            <w:noProof/>
            <w:webHidden/>
          </w:rPr>
          <w:tab/>
        </w:r>
        <w:r w:rsidR="007537A8">
          <w:rPr>
            <w:noProof/>
            <w:webHidden/>
          </w:rPr>
          <w:fldChar w:fldCharType="begin"/>
        </w:r>
        <w:r w:rsidR="007537A8">
          <w:rPr>
            <w:noProof/>
            <w:webHidden/>
          </w:rPr>
          <w:instrText xml:space="preserve"> PAGEREF _Toc22133240 \h </w:instrText>
        </w:r>
        <w:r w:rsidR="007537A8">
          <w:rPr>
            <w:noProof/>
            <w:webHidden/>
          </w:rPr>
        </w:r>
        <w:r w:rsidR="007537A8">
          <w:rPr>
            <w:noProof/>
            <w:webHidden/>
          </w:rPr>
          <w:fldChar w:fldCharType="separate"/>
        </w:r>
        <w:r w:rsidR="007537A8">
          <w:rPr>
            <w:noProof/>
            <w:webHidden/>
          </w:rPr>
          <w:t>156</w:t>
        </w:r>
        <w:r w:rsidR="007537A8">
          <w:rPr>
            <w:noProof/>
            <w:webHidden/>
          </w:rPr>
          <w:fldChar w:fldCharType="end"/>
        </w:r>
      </w:hyperlink>
    </w:p>
    <w:p w14:paraId="04BB009C" w14:textId="0A8281A5" w:rsidR="0001383E" w:rsidRDefault="000434BF" w:rsidP="00261442">
      <w:pPr>
        <w:rPr>
          <w:rFonts w:ascii="Calibri" w:eastAsiaTheme="majorEastAsia" w:hAnsi="Calibri" w:cstheme="majorBidi"/>
          <w:sz w:val="26"/>
          <w:szCs w:val="26"/>
        </w:rPr>
      </w:pPr>
      <w:r>
        <w:rPr>
          <w:rFonts w:eastAsiaTheme="majorEastAsia"/>
        </w:rPr>
        <w:fldChar w:fldCharType="end"/>
      </w:r>
      <w:r w:rsidR="0001383E">
        <w:br w:type="page"/>
      </w:r>
    </w:p>
    <w:p w14:paraId="65BBAA58" w14:textId="543EB538" w:rsidR="00471C23" w:rsidRPr="009A2A84" w:rsidRDefault="00471C23" w:rsidP="0001383E">
      <w:pPr>
        <w:pStyle w:val="berschrift3"/>
      </w:pPr>
      <w:bookmarkStart w:id="374" w:name="_Toc22133210"/>
      <w:bookmarkStart w:id="375" w:name="Fall10"/>
      <w:r w:rsidRPr="009A2A84">
        <w:t>Lösung</w:t>
      </w:r>
      <w:r w:rsidR="0001383E">
        <w:t>svorschlag</w:t>
      </w:r>
      <w:bookmarkEnd w:id="374"/>
    </w:p>
    <w:p w14:paraId="666FBA91" w14:textId="77777777" w:rsidR="000671E9" w:rsidRPr="000671E9" w:rsidRDefault="000671E9" w:rsidP="000671E9">
      <w:pPr>
        <w:pStyle w:val="Randnummer"/>
        <w:framePr w:wrap="around"/>
      </w:pPr>
    </w:p>
    <w:p w14:paraId="6B82EF19" w14:textId="77777777" w:rsidR="00471C23" w:rsidRPr="00471C23" w:rsidRDefault="00471C23" w:rsidP="00471C23">
      <w:r w:rsidRPr="00471C23">
        <w:t>Die Klage hat Aussicht auf Erfolg, soweit sie zulässig und begründet ist.</w:t>
      </w:r>
    </w:p>
    <w:p w14:paraId="191B78F6" w14:textId="77777777" w:rsidR="00471C23" w:rsidRPr="009A2A84" w:rsidRDefault="00471C23" w:rsidP="005B6EF7">
      <w:pPr>
        <w:pStyle w:val="berschrift4"/>
      </w:pPr>
      <w:bookmarkStart w:id="376" w:name="_Toc22133211"/>
      <w:r w:rsidRPr="009A2A84">
        <w:t>A. Zulässigkeit</w:t>
      </w:r>
      <w:bookmarkEnd w:id="376"/>
    </w:p>
    <w:p w14:paraId="5A89C6A1" w14:textId="77777777" w:rsidR="000671E9" w:rsidRPr="000671E9" w:rsidRDefault="000671E9" w:rsidP="000671E9">
      <w:pPr>
        <w:pStyle w:val="Randnummer"/>
        <w:framePr w:wrap="around"/>
      </w:pPr>
    </w:p>
    <w:p w14:paraId="4DFC37FA" w14:textId="77777777" w:rsidR="00471C23" w:rsidRPr="00471C23" w:rsidRDefault="00471C23" w:rsidP="00471C23">
      <w:r w:rsidRPr="00471C23">
        <w:t>Die Klage ist zulässig, soweit alle notwendigen Sachentscheidungsvoraussetzungen vorliegen.</w:t>
      </w:r>
    </w:p>
    <w:p w14:paraId="5FFC5E04" w14:textId="77777777" w:rsidR="00471C23" w:rsidRPr="009A2A84" w:rsidRDefault="00471C23" w:rsidP="005B6EF7">
      <w:pPr>
        <w:pStyle w:val="berschrift5"/>
      </w:pPr>
      <w:bookmarkStart w:id="377" w:name="_Toc22133212"/>
      <w:r w:rsidRPr="009A2A84">
        <w:t>I. Eröffnung des Verwaltungsrechtswegs</w:t>
      </w:r>
      <w:bookmarkEnd w:id="377"/>
    </w:p>
    <w:p w14:paraId="1A258F1F" w14:textId="77777777" w:rsidR="00EC3453" w:rsidRPr="00EC3453" w:rsidRDefault="00EC3453" w:rsidP="00EC3453">
      <w:pPr>
        <w:pStyle w:val="Randnummer"/>
        <w:framePr w:wrap="around"/>
      </w:pPr>
    </w:p>
    <w:p w14:paraId="6FAFA461" w14:textId="77777777" w:rsidR="00471C23" w:rsidRPr="00471C23" w:rsidRDefault="00471C23" w:rsidP="00471C23">
      <w:r w:rsidRPr="00471C23">
        <w:t xml:space="preserve">Eine aufdrängende Sonderzuweisung ist nicht ersichtlich, weshalb sich die Eröffnung des Verwaltungsrechtswegs nach § 40 I 1 VwGO richtet. </w:t>
      </w:r>
    </w:p>
    <w:p w14:paraId="404210C7" w14:textId="77777777" w:rsidR="00471C23" w:rsidRPr="00471C23" w:rsidRDefault="00471C23" w:rsidP="00471C23">
      <w:r w:rsidRPr="00471C23">
        <w:t>§ 40 I 1 VwGO setzt das Vorliegen einer öffentlich-rechtlichen Streitigkeit nicht-verfassungsrechtlicher Art und das Fehlen abdrängender Sonderzuweisungen voraus. Die Streitigkeit ist öffentlich-rechtlich, wenn die streitentscheidende Norm öffentlich-rechtlicher Natur ist. Streitentscheidend sind hier Normen des LFGB, insbesondere § 40 LFGB, welcher die zuständige Behörde unter bestimmten Voraussetzungen verpflichtet, die Öffentlichkeit zu informieren. Insofern wird durch § 40 LFGB ein Träger hoheitlicher Gewalt als solcher verpflichtet. Folglich sind die streitentscheidende Norm und damit auch die Streitigkeit im Ganzen öffentlich-rechtlicher Natur. Ferner streiten vorliegend nicht zwei Staatsverfassungsorgane über die Auslegung von Staatsverfassungsrecht, sodass die Streitigkeit mangels doppelter Verfassungsunmittelbarkeit auch nichtverfassungsrechtlicher Art ist. Überdies sind abdrängende Sonderzuweisungen nicht ersichtlich. Der Verwaltungsrechtsweg ist eröffnet.</w:t>
      </w:r>
    </w:p>
    <w:p w14:paraId="418A7FBB" w14:textId="77777777" w:rsidR="00471C23" w:rsidRPr="009A2A84" w:rsidRDefault="00471C23" w:rsidP="005B6EF7">
      <w:pPr>
        <w:pStyle w:val="berschrift5"/>
      </w:pPr>
      <w:bookmarkStart w:id="378" w:name="_Toc22133213"/>
      <w:r w:rsidRPr="009A2A84">
        <w:t>II. Statthafte Klageart</w:t>
      </w:r>
      <w:bookmarkEnd w:id="378"/>
    </w:p>
    <w:p w14:paraId="5665E7F0" w14:textId="77777777" w:rsidR="00EC3453" w:rsidRPr="00EC3453" w:rsidRDefault="00EC3453" w:rsidP="00EC3453">
      <w:pPr>
        <w:pStyle w:val="Randnummer"/>
        <w:framePr w:wrap="around"/>
      </w:pPr>
    </w:p>
    <w:p w14:paraId="7952EFD0" w14:textId="77777777" w:rsidR="00471C23" w:rsidRPr="00EC3453" w:rsidRDefault="00471C23" w:rsidP="00471C23">
      <w:pPr>
        <w:rPr>
          <w:i/>
        </w:rPr>
      </w:pPr>
      <w:r w:rsidRPr="00EC3453">
        <w:rPr>
          <w:i/>
        </w:rPr>
        <w:t>Lösungshinweis: Unterlassungsbegehren gegen öffentliche Äußerungen sind oftmals besonders eilbedürftig, da sich eine Äußerung nicht mehr ohne weiteres zurücknehmen lässt. Um dem Eintritt vollendeter Tatsachen entgegenzuwirken, kommt üblicherweise der Antrag auf Erlass einer einstweiligen Anordnung nach § 123 I VwGO in Betracht. Vorliegend wurde ein solcher Antrag jedoch bereits erfolgreich gestellt. Während des Verfahrens nach § 123 VwGO ist es der Behörde als Antragsgegner gemäß § 123 III VwGO i.V.m. § 926 I ZPO möglich den Antragsteller gerichtlich dazu verpflichten zu lassen, innerhalb einer vom Gericht bestimmten Frist Klage in der Hauptsache zu erheben. Dies eröffnet dem durch die einstweilige Anordnung Beschwerten die Möglichkeit, die Wartezeit bis zur rechtskräftigen Entscheidung in der Hauptsache zu verkürzen.</w:t>
      </w:r>
      <w:r w:rsidRPr="00EC3453">
        <w:rPr>
          <w:i/>
          <w:vertAlign w:val="superscript"/>
        </w:rPr>
        <w:footnoteReference w:id="268"/>
      </w:r>
      <w:r w:rsidRPr="00EC3453">
        <w:rPr>
          <w:i/>
        </w:rPr>
        <w:t xml:space="preserve"> Schließlich besteht für den Antragssteller zunächst kein Anlass, die zu seinen Gunsten erlassene Anordnung im Hauptsacheverfahren zu riskieren. Deshalb wird es dem Beschwerten ermöglicht die Einleitung des Hauptsacheverfahrens zu erzwingen.</w:t>
      </w:r>
      <w:r w:rsidRPr="00EC3453">
        <w:rPr>
          <w:i/>
          <w:vertAlign w:val="superscript"/>
        </w:rPr>
        <w:footnoteReference w:id="269"/>
      </w:r>
    </w:p>
    <w:p w14:paraId="7DC6F851" w14:textId="77777777" w:rsidR="00471C23" w:rsidRPr="00471C23" w:rsidRDefault="00471C23" w:rsidP="00471C23">
      <w:r w:rsidRPr="00471C23">
        <w:t xml:space="preserve">Die statthafte Klageart bestimmt sich nach dem Begehren des Klägers, in dessen Lichte nach § 88 VwGO der Antrag des Klägers auszulegen ist. Hier geht die A-GmbH gegen die angekündigte Warnung durch die Behörde vor. Folglich wendet sich die Klägerin gegen zukünftiges Verwaltungshandeln und sucht vorbeugenden Rechtsschutz. </w:t>
      </w:r>
    </w:p>
    <w:p w14:paraId="55314212" w14:textId="77777777" w:rsidR="00471C23" w:rsidRPr="00471C23" w:rsidRDefault="00471C23" w:rsidP="00471C23">
      <w:r w:rsidRPr="00471C23">
        <w:t>Eine Anfechtungsklage (§ 42 I Alt. 1 VwGO) kommt lediglich gegen einen bereits bestehenden Verwaltungsakt in Betracht, an dem es vorliegend fehlt, da die Warnung noch gar nicht ausgesprochen wurde.</w:t>
      </w:r>
      <w:r w:rsidRPr="00471C23">
        <w:rPr>
          <w:vertAlign w:val="superscript"/>
        </w:rPr>
        <w:footnoteReference w:id="270"/>
      </w:r>
      <w:r w:rsidRPr="00471C23">
        <w:t xml:space="preserve"> </w:t>
      </w:r>
    </w:p>
    <w:p w14:paraId="5DC0961D" w14:textId="73181213" w:rsidR="00471C23" w:rsidRPr="00471C23" w:rsidRDefault="00471C23" w:rsidP="00471C23">
      <w:r w:rsidRPr="00471C23">
        <w:t xml:space="preserve">Ohnehin ist fraglich, ob der Warnung überhaupt die von § 35 </w:t>
      </w:r>
      <w:r w:rsidR="00E91AF0">
        <w:t>1</w:t>
      </w:r>
      <w:r w:rsidRPr="00471C23">
        <w:t xml:space="preserve"> VwVfG vorausgesetzte Regelungswirkung zukommt. Eine Regelung liegt vor, wenn die Maßnahme darauf gerichtet ist, eine verbindliche Rechtsfolge zu setzen, also Rechte des Betroffenen zu begründen, zu ändern, aufzuheben bzw. diese rechtsverbindlich festzustellen oder zu verneinen.</w:t>
      </w:r>
      <w:r w:rsidRPr="00471C23">
        <w:rPr>
          <w:vertAlign w:val="superscript"/>
        </w:rPr>
        <w:footnoteReference w:id="271"/>
      </w:r>
      <w:r w:rsidRPr="00471C23">
        <w:t xml:space="preserve"> D</w:t>
      </w:r>
      <w:r w:rsidR="0063273F">
        <w:t>ie</w:t>
      </w:r>
      <w:r w:rsidRPr="00471C23">
        <w:t xml:space="preserve"> Warnung statuiert jedoch keine derartigen Rechtspflichten. Sie weist gerade keinen imperativen Charakter auf, sondern informiert lediglich über Tatsachen.</w:t>
      </w:r>
      <w:r w:rsidR="00A566D1">
        <w:t xml:space="preserve"> </w:t>
      </w:r>
      <w:r w:rsidRPr="00471C23">
        <w:t xml:space="preserve">Mangels einer Regelungswirkung handelt es sich bei der Warnung mithin um einen zukünftigen Realakt. </w:t>
      </w:r>
    </w:p>
    <w:p w14:paraId="404BADC1" w14:textId="77777777" w:rsidR="00471C23" w:rsidRPr="00471C23" w:rsidRDefault="00471C23" w:rsidP="00471C23">
      <w:r w:rsidRPr="00471C23">
        <w:t>Gegen zukünftige Realakte kommen zweierlei Klagearten in Betracht. Zum einen die vorbeugende Feststellungsklage und zum anderen die vorbeugende Unterlassungsklage.</w:t>
      </w:r>
    </w:p>
    <w:p w14:paraId="32558913" w14:textId="77777777" w:rsidR="00471C23" w:rsidRPr="009A2A84" w:rsidRDefault="00471C23" w:rsidP="005B6EF7">
      <w:pPr>
        <w:pStyle w:val="berschrift6"/>
      </w:pPr>
      <w:bookmarkStart w:id="379" w:name="_Toc22133214"/>
      <w:r w:rsidRPr="009A2A84">
        <w:t>1. Feststellungsklage</w:t>
      </w:r>
      <w:bookmarkEnd w:id="379"/>
    </w:p>
    <w:p w14:paraId="292C1381" w14:textId="77777777" w:rsidR="00EC3453" w:rsidRPr="00EC3453" w:rsidRDefault="00EC3453" w:rsidP="00EC3453">
      <w:pPr>
        <w:pStyle w:val="Randnummer"/>
        <w:framePr w:wrap="around"/>
      </w:pPr>
    </w:p>
    <w:p w14:paraId="16786E14" w14:textId="77777777" w:rsidR="00471C23" w:rsidRPr="00471C23" w:rsidRDefault="00471C23" w:rsidP="00471C23">
      <w:r w:rsidRPr="00471C23">
        <w:t>Das BVerwG und einige Vertreter im Schrifttum halten eine vorbeugende Feststellungklage (§ 43 I VwGO) für statthaft. Zwar statuiert 43 II 1 VwGO den Grundsatz der Subsidiarität der Feststellungsklage, wonach diese unstatthaft ist, soweit der Kläger sein Begehren auch durch eine Gestaltungs- oder Leistungsklage verfolgen kann. Allerdings gilt nach der Ansicht der Rechtsprechung der Subsidiaritätsgrundsatz nicht, sofern sich die Feststellungsklage gegenüber anderen zulässigen Klagen als gleichermaßen rechtsschutzintensiv erweist. Da bei Klagen gegen einen Hoheitsträger davon auszugehen sei, dass er auch ein Feststellungsurteil, welches selbst nicht vollstreckbar ist, achten werde (sog. „Ehrenmanntheorie“),</w:t>
      </w:r>
      <w:r w:rsidRPr="00471C23">
        <w:rPr>
          <w:vertAlign w:val="superscript"/>
        </w:rPr>
        <w:footnoteReference w:id="272"/>
      </w:r>
      <w:r w:rsidRPr="00471C23">
        <w:t xml:space="preserve"> sei die Feststellungsklage in diesem Falle ebenso rechtsschutzintensiv. Dementsprechend gelte § 43 II 1 VwGO nicht bei Klagen gegen Träger hoheitlicher Gewalt, was im Verwaltungsprozess gleichwohl den Regelfall darstellt. Darüber hinaus würden durch die Annahme der Statthaftigkeit der Feststellungsklage im Verhältnis zur Leistungsklage nicht die besonderen Voraussetzungen der Anfechtungs- und Verpflichtungsklage unterlaufen.</w:t>
      </w:r>
    </w:p>
    <w:p w14:paraId="2523B661" w14:textId="77777777" w:rsidR="00471C23" w:rsidRPr="009A2A84" w:rsidRDefault="00471C23" w:rsidP="005B6EF7">
      <w:pPr>
        <w:pStyle w:val="berschrift6"/>
      </w:pPr>
      <w:bookmarkStart w:id="380" w:name="_Toc22133215"/>
      <w:r w:rsidRPr="009A2A84">
        <w:t>2. Leistungsklage</w:t>
      </w:r>
      <w:bookmarkEnd w:id="380"/>
    </w:p>
    <w:p w14:paraId="0B5870C7" w14:textId="77777777" w:rsidR="00EC3453" w:rsidRPr="00EC3453" w:rsidRDefault="00EC3453" w:rsidP="00EC3453">
      <w:pPr>
        <w:pStyle w:val="Randnummer"/>
        <w:framePr w:wrap="around"/>
      </w:pPr>
    </w:p>
    <w:p w14:paraId="66187B28" w14:textId="77777777" w:rsidR="00471C23" w:rsidRPr="00471C23" w:rsidRDefault="00471C23" w:rsidP="00471C23">
      <w:r w:rsidRPr="00471C23">
        <w:t>In der Literatur wird überwiegend die Leistungsklage – hier in der Unterart der vorbeugenden Unterlassungsklage – für statthaft erachtet. Die Leistungsklage wird zwar in der VwGO nicht ausdrücklich normiert, an verschiedenen Stellen jedoch vorausgesetzt (Vgl. § 43 II 1, 111, 113 IV VwGO). Die Klägerin begehrt vorliegend die Unterlassung eines zukünftigen Realaktes, sodass die vorbeugende Unterlassungsklage grundsätzlich statthaft wäre.</w:t>
      </w:r>
    </w:p>
    <w:p w14:paraId="54399827" w14:textId="77777777" w:rsidR="00471C23" w:rsidRPr="009A2A84" w:rsidRDefault="00471C23" w:rsidP="005B6EF7">
      <w:pPr>
        <w:pStyle w:val="berschrift6"/>
      </w:pPr>
      <w:bookmarkStart w:id="381" w:name="_Toc22133216"/>
      <w:r w:rsidRPr="009A2A84">
        <w:t>3. Streitentscheid</w:t>
      </w:r>
      <w:bookmarkEnd w:id="381"/>
    </w:p>
    <w:p w14:paraId="7B1C9CD0" w14:textId="77777777" w:rsidR="00EC3453" w:rsidRPr="00EC3453" w:rsidRDefault="00EC3453" w:rsidP="00EC3453">
      <w:pPr>
        <w:pStyle w:val="Randnummer"/>
        <w:framePr w:wrap="around"/>
      </w:pPr>
    </w:p>
    <w:p w14:paraId="408EFC37" w14:textId="77777777" w:rsidR="00471C23" w:rsidRPr="00471C23" w:rsidRDefault="00471C23" w:rsidP="00471C23">
      <w:r w:rsidRPr="00471C23">
        <w:t>Da die Auffassungen zu unterschiedlichen Ergebnissen kommen, bedarf es eines Streitentscheids. Gegen die Auffassung der Rechtsprechung spricht zunächst der eindeutige Wortlaut des § 43 II 1 VwGO, über den sich die Rechtsprechung hinwegsetzt. Des Weiteren erweist sich die These von der gleichwertigen Rechtsschutzintensität der Feststellungsklage als unhaltbar. In der Praxis kommt es durchaus vor, dass sich Hoheitsträger nicht an Feststellungsurteile halten, weshalb nicht einzusehen ist, warum dem Bürger angesichts der klaren gesetzgeberischen Wertung für die Subsidiarität der Feststellungsklage ein vollstreckbares Urteil verwehrt bleiben soll. Auch der Gesetzgeber geht in § 170 VwGO, in dem die Vollstreckung von Geldforderungen gegen die öffentliche Hand geregelt ist, davon aus, dass Hoheitsträger nicht immer von selbst ihren Handlungspflichten nachkommen. Vorzugswürdig ist daher die zweitgenannte Ansicht. Folglich ist die Leistungsklage die statthafte Klageart.</w:t>
      </w:r>
    </w:p>
    <w:p w14:paraId="486EA0F9" w14:textId="77777777" w:rsidR="00471C23" w:rsidRPr="009A2A84" w:rsidRDefault="00471C23" w:rsidP="005B6EF7">
      <w:pPr>
        <w:pStyle w:val="berschrift5"/>
      </w:pPr>
      <w:bookmarkStart w:id="382" w:name="_Toc22133217"/>
      <w:r w:rsidRPr="009A2A84">
        <w:t>III. Klagebefugnis, § 42 II VwGO analog</w:t>
      </w:r>
      <w:bookmarkEnd w:id="382"/>
    </w:p>
    <w:p w14:paraId="5E34FCF1" w14:textId="77777777" w:rsidR="00EC3453" w:rsidRPr="00EC3453" w:rsidRDefault="00EC3453" w:rsidP="00EC3453">
      <w:pPr>
        <w:pStyle w:val="Randnummer"/>
        <w:framePr w:wrap="around"/>
      </w:pPr>
    </w:p>
    <w:p w14:paraId="572245E0" w14:textId="0940D69C" w:rsidR="00471C23" w:rsidRPr="00471C23" w:rsidRDefault="00471C23" w:rsidP="00471C23">
      <w:r w:rsidRPr="00471C23">
        <w:t>Nach ganz überwiegender Auffassung müsste die A-GmbH klagebefugt analog § 42 II VwGO sein. Nach dem Grundsatz des Ausschlusses von Popularrechtsbehelfen, der dem Verwaltungsprozessrecht zugrunde liegt, ist auch außerhalb der explizit in § 42 II VwGO geregelten Fälle die Möglichkeit einer subjektiven Rechtsverletzung erforderlich.</w:t>
      </w:r>
      <w:r w:rsidRPr="00471C23">
        <w:rPr>
          <w:vertAlign w:val="superscript"/>
        </w:rPr>
        <w:footnoteReference w:id="273"/>
      </w:r>
      <w:r w:rsidRPr="00471C23">
        <w:t xml:space="preserve"> Bei einer vorbeugenden Unterlassungsklage ist dies der Fall, wenn zumindest die Möglichkeit besteht, dass der Kläger tatsächlich einen Unterlassungsanspruch gegen den Hoheitsträger hat. Der öffentlich-rechtliche Anspruch auf Unterlassung einer amtlic</w:t>
      </w:r>
      <w:r w:rsidR="0046185C">
        <w:t>hen Äußerung setzt voraus, dass</w:t>
      </w:r>
      <w:r w:rsidRPr="00471C23">
        <w:t xml:space="preserve"> die Äußerung rechtswidrig in subjektive Rechte des Betroffenen eingreift und die konkrete Gefahr besteht, dass die Verwaltung besagte Äußerung tatsächlich tätigt (Erstbegehungs- oder Wiederholungsgefahr).</w:t>
      </w:r>
      <w:r w:rsidRPr="00471C23">
        <w:rPr>
          <w:vertAlign w:val="superscript"/>
        </w:rPr>
        <w:footnoteReference w:id="274"/>
      </w:r>
      <w:r w:rsidRPr="00471C23">
        <w:t xml:space="preserve"> Vorliegend ist nicht von vorneherein auszuschließen, dass die behördliche Warnung widerrechtlich in die Berufsfreiheit der A-GmbH eingreift.</w:t>
      </w:r>
      <w:r w:rsidRPr="00471C23">
        <w:rPr>
          <w:vertAlign w:val="superscript"/>
        </w:rPr>
        <w:footnoteReference w:id="275"/>
      </w:r>
      <w:r w:rsidRPr="00471C23">
        <w:t xml:space="preserve"> Zudem beabsichtigt die Behörde ausweislich ihres Schreibens, die Warnung zu veröffentlichen. Mithin besteht die Möglichkeit, dass die A-GmbH einen öffentlich-rechtlichen Unterlassungsanspruch gegen die Behörde hat.</w:t>
      </w:r>
    </w:p>
    <w:p w14:paraId="58DF7EE9" w14:textId="77777777" w:rsidR="00471C23" w:rsidRPr="00EC3453" w:rsidRDefault="00471C23" w:rsidP="00471C23">
      <w:pPr>
        <w:rPr>
          <w:i/>
        </w:rPr>
      </w:pPr>
      <w:r w:rsidRPr="00EC3453">
        <w:rPr>
          <w:i/>
        </w:rPr>
        <w:t>Lösungshinweis: Ob die konkrete Begehungsgefahr tatsächlich besteht, ist in der Begründetheit zu prüfen, zumal es sich um eine Tatbestandsvoraussetzung handelt.</w:t>
      </w:r>
      <w:r w:rsidRPr="00EC3453">
        <w:rPr>
          <w:i/>
          <w:vertAlign w:val="superscript"/>
        </w:rPr>
        <w:footnoteReference w:id="276"/>
      </w:r>
      <w:r w:rsidRPr="00EC3453">
        <w:rPr>
          <w:i/>
        </w:rPr>
        <w:t xml:space="preserve"> Geht man, wie die Rechtsprechung von einer Feststellungsklage aus, wäre zusätzlich noch in einem eigenen Prüfungsschritt das Vorliegen eines berechtigten Feststellungsinteresses zu prüfen, welches ebenfalls eine mögliche Begehungsgefahr voraussetzt.</w:t>
      </w:r>
    </w:p>
    <w:p w14:paraId="11149700" w14:textId="77777777" w:rsidR="00471C23" w:rsidRPr="009A2A84" w:rsidRDefault="00471C23" w:rsidP="005B6EF7">
      <w:pPr>
        <w:pStyle w:val="berschrift5"/>
      </w:pPr>
      <w:bookmarkStart w:id="383" w:name="_Toc22133218"/>
      <w:r w:rsidRPr="009A2A84">
        <w:t>IV. Vorverfahren</w:t>
      </w:r>
      <w:bookmarkEnd w:id="383"/>
    </w:p>
    <w:p w14:paraId="25940483" w14:textId="77777777" w:rsidR="00EC3453" w:rsidRPr="00EC3453" w:rsidRDefault="00EC3453" w:rsidP="00EC3453">
      <w:pPr>
        <w:pStyle w:val="Randnummer"/>
        <w:framePr w:wrap="around"/>
      </w:pPr>
    </w:p>
    <w:p w14:paraId="5DF1931F" w14:textId="77777777" w:rsidR="00471C23" w:rsidRPr="00471C23" w:rsidRDefault="00471C23" w:rsidP="00471C23">
      <w:r w:rsidRPr="00471C23">
        <w:t>Vor der Erhebung einer allgemeinen Leistungsklage ist ein Vorverfahren grundsätzlich nicht durchzuführen. Eine Ausnahme ist hier nicht ersichtlich.</w:t>
      </w:r>
    </w:p>
    <w:p w14:paraId="17A5E7FA" w14:textId="77777777" w:rsidR="00471C23" w:rsidRPr="009A2A84" w:rsidRDefault="00471C23" w:rsidP="005B6EF7">
      <w:pPr>
        <w:pStyle w:val="berschrift5"/>
      </w:pPr>
      <w:bookmarkStart w:id="384" w:name="_Toc22133219"/>
      <w:r w:rsidRPr="009A2A84">
        <w:t>V. Klagegegner</w:t>
      </w:r>
      <w:bookmarkEnd w:id="384"/>
    </w:p>
    <w:p w14:paraId="3BDC1000" w14:textId="77777777" w:rsidR="00EC3453" w:rsidRPr="00EC3453" w:rsidRDefault="00EC3453" w:rsidP="00EC3453">
      <w:pPr>
        <w:pStyle w:val="Randnummer"/>
        <w:framePr w:wrap="around"/>
      </w:pPr>
    </w:p>
    <w:p w14:paraId="52C121E2" w14:textId="77777777" w:rsidR="00471C23" w:rsidRPr="00471C23" w:rsidRDefault="00471C23" w:rsidP="00471C23">
      <w:r w:rsidRPr="00471C23">
        <w:t>Die Klage ist nach dem allgemeinen Rechtsträgerprinzip – wie es in § 78 I Nr. 1 VwGO ausdrücklich für die Anfechtungs- und Verpflichtungsklage geregelt ist – auch bei Leistungsklagen gegen diejenige Körperschaft, von deren Behörde die Leistung begehrt wird, zu richten. Vorliegend begehrt die Klägerin die Unterlassung der Informationshandlung durch die Stadtverwaltung Mainz. Mithin ist die Stadt Mainz als deren Rechtsträgerin die richtige Klagegegnerin.</w:t>
      </w:r>
    </w:p>
    <w:p w14:paraId="563DC08E" w14:textId="77777777" w:rsidR="00471C23" w:rsidRPr="009A2A84" w:rsidRDefault="00471C23" w:rsidP="005B6EF7">
      <w:pPr>
        <w:pStyle w:val="berschrift5"/>
      </w:pPr>
      <w:bookmarkStart w:id="385" w:name="_Toc22133220"/>
      <w:r w:rsidRPr="009A2A84">
        <w:t>VI. Beteiligungs- und Prozessfähigkeit</w:t>
      </w:r>
      <w:bookmarkEnd w:id="385"/>
    </w:p>
    <w:p w14:paraId="60668FA1" w14:textId="77777777" w:rsidR="00EC3453" w:rsidRPr="00EC3453" w:rsidRDefault="00EC3453" w:rsidP="00EC3453">
      <w:pPr>
        <w:pStyle w:val="Randnummer"/>
        <w:framePr w:wrap="around"/>
      </w:pPr>
    </w:p>
    <w:p w14:paraId="1A10DF2E" w14:textId="77777777" w:rsidR="00471C23" w:rsidRPr="00471C23" w:rsidRDefault="00471C23" w:rsidP="00471C23">
      <w:r w:rsidRPr="00471C23">
        <w:t>Die Beteiligungsfähigkeit der A-GmbH als juristische Person ergibt sich aus § 61 Nr. 1 Alt. 2 VwGO. Gemäß § 62 III VwGO i.V.m. § 35 I 1 GmbHG wird sie gerichtlich von ihrer Geschäftsführerin vertreten. Die Beteiligtenfähigkeit der Stadt Mainz als Gebietskörperschaft und damit als juristische Person des öffentlichen Rechts ergibt sich aus § 61 Nr. 1 Alt. 2 VwGO. Sie wird gemäß § 62 III VwGO i.V.m. den landesrechtlichen Vorschriften des Kommunalrechts durch den Oberbürgermeister vertreten.</w:t>
      </w:r>
    </w:p>
    <w:p w14:paraId="144EA827" w14:textId="77777777" w:rsidR="00471C23" w:rsidRPr="009A2A84" w:rsidRDefault="00471C23" w:rsidP="005B6EF7">
      <w:pPr>
        <w:pStyle w:val="berschrift5"/>
      </w:pPr>
      <w:bookmarkStart w:id="386" w:name="_Toc22133221"/>
      <w:r w:rsidRPr="009A2A84">
        <w:t>VII. Besonderes Rechtsschutzbedürfnis</w:t>
      </w:r>
      <w:bookmarkEnd w:id="386"/>
    </w:p>
    <w:p w14:paraId="59A105FA" w14:textId="77777777" w:rsidR="00EC3453" w:rsidRPr="00EC3453" w:rsidRDefault="00EC3453" w:rsidP="00EC3453">
      <w:pPr>
        <w:pStyle w:val="Randnummer"/>
        <w:framePr w:wrap="around"/>
      </w:pPr>
    </w:p>
    <w:p w14:paraId="28959BBD" w14:textId="77777777" w:rsidR="00471C23" w:rsidRPr="00471C23" w:rsidRDefault="00471C23" w:rsidP="00471C23">
      <w:r w:rsidRPr="00471C23">
        <w:t>Im Bereich des vorbeugenden Rechtsschutzes muss der Kläger zudem noch ein besonderes Rechtsschutzbedürfnis vortragen. Die VwGO ist nämlich strukturell darauf ausgerichtet, grundsätzlich nur nachträglich Rechtsschutz zu gewähren. Würde man bereits gegen drohende Verwaltungsakte mit einer vorbeugenden Unterlassungs- oder Feststellungsklage vorgehen können, würde dies die besonderen Zulässigkeitsvoraussetzungen der Anfechtungsklage unterlaufen. Das Rechtsschutzinteresse des Bürgers wird bereits durch die aufschiebende Wirkung von Widerspruch und Anfechtungsklage nach § 80 I VwGO und ggf. durch die Möglichkeit vorläufigen Rechtsschutzes gewahrt. Dementsprechend besteht grundsätzlich kein präventiver Rechtsschutz gegen Verwaltungsakte.</w:t>
      </w:r>
      <w:r w:rsidRPr="00471C23">
        <w:rPr>
          <w:vertAlign w:val="superscript"/>
        </w:rPr>
        <w:footnoteReference w:id="277"/>
      </w:r>
      <w:r w:rsidRPr="00471C23">
        <w:t xml:space="preserve"> Ein besonderes Rechtsschutzbedürfnis besteht hingegen, wenn nachträglicher Rechtsschutz entgegen der Konzeption der VwGO ausnahmsweise zu spät kommt, weil dem Kläger bei weiterem Zuwarten nicht oder nur eingeschränkt reversible Nachteile entstehen.</w:t>
      </w:r>
    </w:p>
    <w:p w14:paraId="0E8464A6" w14:textId="77777777" w:rsidR="00471C23" w:rsidRDefault="00471C23" w:rsidP="00471C23">
      <w:r w:rsidRPr="00471C23">
        <w:t>Im Bereich der Realakte erweist sich der repressive, nachträgliche Rechtsschutz allerdings als ineffektiv. Schließlich ist bei schlicht hoheitlichem Handeln kein Vorverfahren nach §§ 68ff. VwGO erforderlich, sodass der Kläger auch nicht vom Suspensiveffekt des § 80 I VwGO geschützt wird. Darüber hinaus werden in Bezug auf Realakte die besonderen Zulässigkeitsvoraussetzungen der Anfechtungs- und Verpflichtungsklage nicht unterlaufen, da diese ohnehin unstatthaft sind. Weiterhin lassen sich der Ansehensverlust durch hoheitliche Warnhinweise und etwaige Wettbewerbsnachteile nicht ungeschehen machen. Folglich besteht seitens der A-GmbH ein berechtigtes Interesse vorab gegen die streitgegenständlichen Warnungen vorzugehen.</w:t>
      </w:r>
    </w:p>
    <w:p w14:paraId="3445374B" w14:textId="77777777" w:rsidR="005B6EF7" w:rsidRPr="00471C23" w:rsidRDefault="005B6EF7" w:rsidP="00471C23"/>
    <w:p w14:paraId="0815F69F" w14:textId="77777777" w:rsidR="00471C23" w:rsidRPr="009A2A84" w:rsidRDefault="00471C23" w:rsidP="005B6EF7">
      <w:pPr>
        <w:pStyle w:val="berschrift4"/>
      </w:pPr>
      <w:bookmarkStart w:id="387" w:name="_Toc22133222"/>
      <w:r w:rsidRPr="009A2A84">
        <w:t>B. Begründetheit</w:t>
      </w:r>
      <w:bookmarkEnd w:id="387"/>
    </w:p>
    <w:p w14:paraId="190A90F4" w14:textId="77777777" w:rsidR="00EC3453" w:rsidRPr="00EC3453" w:rsidRDefault="00EC3453" w:rsidP="00EC3453">
      <w:pPr>
        <w:pStyle w:val="Randnummer"/>
        <w:framePr w:wrap="around"/>
      </w:pPr>
    </w:p>
    <w:p w14:paraId="4DA2DBB9" w14:textId="77777777" w:rsidR="00471C23" w:rsidRPr="00471C23" w:rsidRDefault="00471C23" w:rsidP="00471C23">
      <w:r w:rsidRPr="00471C23">
        <w:t xml:space="preserve">Die Klage ist begründet, soweit der von der A-GmbH geltend gemachte Unterlassungsanspruch tatsächlich besteht. </w:t>
      </w:r>
    </w:p>
    <w:p w14:paraId="7BD41741" w14:textId="77777777" w:rsidR="00471C23" w:rsidRPr="009A2A84" w:rsidRDefault="00471C23" w:rsidP="005B6EF7">
      <w:pPr>
        <w:pStyle w:val="berschrift5"/>
      </w:pPr>
      <w:bookmarkStart w:id="388" w:name="_Toc22133223"/>
      <w:r w:rsidRPr="009A2A84">
        <w:t>I. Anspruchsgrundlage</w:t>
      </w:r>
      <w:bookmarkEnd w:id="388"/>
    </w:p>
    <w:p w14:paraId="18B7111C" w14:textId="77777777" w:rsidR="00EC3453" w:rsidRPr="00EC3453" w:rsidRDefault="00EC3453" w:rsidP="00EC3453">
      <w:pPr>
        <w:pStyle w:val="Randnummer"/>
        <w:framePr w:wrap="around"/>
      </w:pPr>
    </w:p>
    <w:p w14:paraId="128D0AA8" w14:textId="13954347" w:rsidR="00471C23" w:rsidRPr="00471C23" w:rsidRDefault="00471C23" w:rsidP="00471C23">
      <w:r w:rsidRPr="00471C23">
        <w:t>Für das Unterlassungsbegehren de</w:t>
      </w:r>
      <w:r w:rsidR="0063273F">
        <w:t>r</w:t>
      </w:r>
      <w:r w:rsidRPr="00471C23">
        <w:t xml:space="preserve"> A-GmbH kommt der öffentlich-rechtliche Unterlassungsanspruch in Betracht. Dieser Anspruch ist nicht gesetzlich normiert, sondern durch richterliche Rechtsfortbildung ausgestaltet und gewohnheitsrechtlich anerkannt. Umstritten ist jedoch, ob der Anspruch dogmatisch aus der Abwehrfunktion der Grundrechte folgt</w:t>
      </w:r>
      <w:r w:rsidRPr="00471C23">
        <w:rPr>
          <w:vertAlign w:val="superscript"/>
        </w:rPr>
        <w:footnoteReference w:id="278"/>
      </w:r>
      <w:r w:rsidRPr="00471C23">
        <w:t xml:space="preserve"> oder im Wege der Analogie bzw. der Heranziehung des allgemeinen Rechtsgedankens der negatorischen Ansprüche des Zivilrechts (§ 1004 I BGB) herzuleiten ist.</w:t>
      </w:r>
      <w:r w:rsidRPr="00471C23">
        <w:rPr>
          <w:vertAlign w:val="superscript"/>
        </w:rPr>
        <w:footnoteReference w:id="279"/>
      </w:r>
      <w:r w:rsidRPr="00471C23">
        <w:t xml:space="preserve"> Da sich die Anspruchsvoraussetzungen nach beiden Auffassungen nicht unterscheiden, kann eine Streitentscheidung jedoch dahinstehen.</w:t>
      </w:r>
    </w:p>
    <w:p w14:paraId="47DE9431" w14:textId="77777777" w:rsidR="00471C23" w:rsidRPr="009A2A84" w:rsidRDefault="00471C23" w:rsidP="005B6EF7">
      <w:pPr>
        <w:pStyle w:val="berschrift5"/>
      </w:pPr>
      <w:bookmarkStart w:id="389" w:name="_Toc22133224"/>
      <w:r w:rsidRPr="009A2A84">
        <w:t>II. Anspruchsvoraussetzungen</w:t>
      </w:r>
      <w:bookmarkEnd w:id="389"/>
    </w:p>
    <w:p w14:paraId="6502F4AF" w14:textId="77777777" w:rsidR="00EC3453" w:rsidRPr="00EC3453" w:rsidRDefault="00EC3453" w:rsidP="00EC3453">
      <w:pPr>
        <w:pStyle w:val="Randnummer"/>
        <w:framePr w:wrap="around"/>
      </w:pPr>
    </w:p>
    <w:p w14:paraId="40E7E861" w14:textId="4CEFFF4E" w:rsidR="00471C23" w:rsidRDefault="00471C23" w:rsidP="00471C23">
      <w:r w:rsidRPr="00471C23">
        <w:t xml:space="preserve">Der öffentlich-rechtliche Unterlassungsanspruch setzt voraus, dass eine erstmalige oder nochmalige Beeinträchtigung einer grundrechtlich oder einfachrechtlich geschützten Rechtsposition </w:t>
      </w:r>
      <w:r w:rsidR="0063273F">
        <w:t xml:space="preserve">durch hoheitliches Handeln </w:t>
      </w:r>
      <w:r w:rsidRPr="00471C23">
        <w:t xml:space="preserve">ernstlich droht und der Betroffene nicht </w:t>
      </w:r>
      <w:r w:rsidR="0063273F">
        <w:t xml:space="preserve">aufgrund der Rechtmäßigkeit der Maßnahme </w:t>
      </w:r>
      <w:r w:rsidRPr="00471C23">
        <w:t>zur Duldung der Beeinträchtigung verpflichtet ist.</w:t>
      </w:r>
      <w:r w:rsidRPr="00471C23">
        <w:rPr>
          <w:vertAlign w:val="superscript"/>
        </w:rPr>
        <w:footnoteReference w:id="280"/>
      </w:r>
    </w:p>
    <w:p w14:paraId="3AA07E7D" w14:textId="77777777" w:rsidR="00772351" w:rsidRDefault="00772351" w:rsidP="00471C23"/>
    <w:p w14:paraId="2CB0B82F" w14:textId="77777777" w:rsidR="00772351" w:rsidRDefault="00772351" w:rsidP="005B6EF7">
      <w:pPr>
        <w:pStyle w:val="berschrift6"/>
      </w:pPr>
    </w:p>
    <w:p w14:paraId="1BCA9D25" w14:textId="77777777" w:rsidR="00471C23" w:rsidRPr="009A2A84" w:rsidRDefault="00471C23" w:rsidP="005B6EF7">
      <w:pPr>
        <w:pStyle w:val="berschrift6"/>
      </w:pPr>
      <w:bookmarkStart w:id="390" w:name="_Toc22133225"/>
      <w:r w:rsidRPr="009A2A84">
        <w:t>1. Hoheitliche Maßnahme</w:t>
      </w:r>
      <w:bookmarkEnd w:id="390"/>
    </w:p>
    <w:p w14:paraId="5074F769" w14:textId="77777777" w:rsidR="00EC3453" w:rsidRPr="00EC3453" w:rsidRDefault="00EC3453" w:rsidP="00EC3453">
      <w:pPr>
        <w:pStyle w:val="Randnummer"/>
        <w:framePr w:wrap="around"/>
      </w:pPr>
    </w:p>
    <w:p w14:paraId="46FB47FE" w14:textId="60371EFE" w:rsidR="00471C23" w:rsidRPr="00471C23" w:rsidRDefault="009B3215" w:rsidP="00471C23">
      <w:r>
        <w:t>Die angekündigte Warnung müsste eine hoheitliche Handlung darstellen. Bei der Einordnung von Realakten kann insoweit auf den Sachzusammenhang abgestellt werden.</w:t>
      </w:r>
      <w:r>
        <w:rPr>
          <w:rStyle w:val="Funotenzeichen"/>
        </w:rPr>
        <w:footnoteReference w:id="281"/>
      </w:r>
      <w:r>
        <w:t xml:space="preserve"> Vorliegend soll die Warnung auf der Webseite der Stadt Mainz platziert werden, was bereits für ihren öffentlich-rechtlichen Charakter streitet. Des Weiteren erfolgt die Warnung durch die zuständige Behörde in Ausübung ihrer gemäß § 40 I 1 LFGB zustehenden Befugnisse, sodass sie als hoheitliches Handeln zu qualifizieren ist</w:t>
      </w:r>
      <w:r w:rsidR="00471C23" w:rsidRPr="00471C23">
        <w:t>.</w:t>
      </w:r>
    </w:p>
    <w:p w14:paraId="3105B3EA" w14:textId="6F2625E4" w:rsidR="00471C23" w:rsidRPr="009A2A84" w:rsidRDefault="00471C23" w:rsidP="005B6EF7">
      <w:pPr>
        <w:pStyle w:val="berschrift6"/>
      </w:pPr>
      <w:bookmarkStart w:id="391" w:name="_Toc22133226"/>
      <w:r w:rsidRPr="009A2A84">
        <w:t>2. Drohe</w:t>
      </w:r>
      <w:r w:rsidR="0063273F">
        <w:t>nder Eingriff in ein subjektiv-öffentliches</w:t>
      </w:r>
      <w:r w:rsidRPr="009A2A84">
        <w:t xml:space="preserve"> Recht der A-GmbH</w:t>
      </w:r>
      <w:bookmarkEnd w:id="391"/>
    </w:p>
    <w:p w14:paraId="7F61792C" w14:textId="77777777" w:rsidR="00EC3453" w:rsidRPr="00EC3453" w:rsidRDefault="00EC3453" w:rsidP="00EC3453">
      <w:pPr>
        <w:pStyle w:val="Randnummer"/>
        <w:framePr w:wrap="around"/>
      </w:pPr>
    </w:p>
    <w:p w14:paraId="42D3ED47" w14:textId="77777777" w:rsidR="00471C23" w:rsidRPr="00471C23" w:rsidRDefault="00471C23" w:rsidP="00471C23">
      <w:r w:rsidRPr="00471C23">
        <w:t>Die beabsichtigte Warnung müsste die A-GmbH in einem ihrer subjektiv-öffentlichen Rechte verletzen. Nach der Schutznormtheorie gewährt eine Rechtsnorm dem Betroffenen ein subjektiv öffentliches Recht, wenn sie zumindest auch dem Schutz von Individualinteressen zu dienen bestimmt ist und der Betroffene zum geschützten Personenkreis zählt.</w:t>
      </w:r>
      <w:r w:rsidRPr="00471C23">
        <w:rPr>
          <w:vertAlign w:val="superscript"/>
        </w:rPr>
        <w:footnoteReference w:id="282"/>
      </w:r>
      <w:r w:rsidRPr="00471C23">
        <w:t xml:space="preserve"> Die Vorschriften des LFGB sind indes dazu bestimmt, die Allgemeinheit vor Gesundheitsgefahren und Täuschungen zu schützen.</w:t>
      </w:r>
      <w:r w:rsidRPr="00471C23">
        <w:rPr>
          <w:vertAlign w:val="superscript"/>
        </w:rPr>
        <w:footnoteReference w:id="283"/>
      </w:r>
      <w:r w:rsidRPr="00471C23">
        <w:t xml:space="preserve"> Dementsprechend gewähren die Vorschriften der A-GmbH kein subjektives Recht. Allerdings könnte die A-GmbH in ihren grundrechtlich geschützten Interessen beeinträchtigt sein.</w:t>
      </w:r>
    </w:p>
    <w:p w14:paraId="57428B64" w14:textId="77777777" w:rsidR="00471C23" w:rsidRPr="009A2A84" w:rsidRDefault="00471C23" w:rsidP="005B6EF7">
      <w:pPr>
        <w:pStyle w:val="berschrift7"/>
      </w:pPr>
      <w:bookmarkStart w:id="392" w:name="_Toc22133227"/>
      <w:r w:rsidRPr="009A2A84">
        <w:t>a) Berufsfreiheit, Art. 12 I GG</w:t>
      </w:r>
      <w:bookmarkEnd w:id="392"/>
    </w:p>
    <w:p w14:paraId="2E59BEDF" w14:textId="77777777" w:rsidR="00EC3453" w:rsidRPr="00EC3453" w:rsidRDefault="00EC3453" w:rsidP="00EC3453">
      <w:pPr>
        <w:pStyle w:val="Randnummer"/>
        <w:framePr w:wrap="around"/>
      </w:pPr>
    </w:p>
    <w:p w14:paraId="71EE6078" w14:textId="43ED7090" w:rsidR="00471C23" w:rsidRPr="00471C23" w:rsidRDefault="00471C23" w:rsidP="00471C23">
      <w:r w:rsidRPr="00471C23">
        <w:t>Die A-GmbH könnte in ihrer Berufsfreiheit verletzt sein.</w:t>
      </w:r>
    </w:p>
    <w:p w14:paraId="60F7BE59" w14:textId="77777777" w:rsidR="00471C23" w:rsidRPr="00471C23" w:rsidRDefault="00471C23" w:rsidP="00471C23">
      <w:r w:rsidRPr="00471C23">
        <w:t>In persönlicher Hinsicht schützt Art. 12 I GG als Deutschengrundrecht alle Deutschen im Sinne des Art. 116 I GG. Da juristische Personen ebenso wie natürliche Personen zu Erwerbszwecken ein Gewerbe betreiben können, ist die Berufsfreiheit diesbezüglich nach Art. 19 III GG ihrem Wesen gemäß auch auf inländische juristische Personen, mithin auch auf die A-GmbH, anwendbar.</w:t>
      </w:r>
    </w:p>
    <w:p w14:paraId="1B4E45C2" w14:textId="77777777" w:rsidR="00471C23" w:rsidRPr="00471C23" w:rsidRDefault="00471C23" w:rsidP="00471C23">
      <w:r w:rsidRPr="00471C23">
        <w:t>In sachlicher Hinsicht gewährt Art. 12 I GG ein einheitliches Grundrecht der Berufswahl und der Berufsausübung. Unter den Begriff des Berufs fällt jede auf Dauer angelegte Tätigkeit, die der Schaffung und Erhaltung einer Lebensgrundlage dient bzw. dazu beiträgt.</w:t>
      </w:r>
      <w:r w:rsidRPr="00471C23">
        <w:rPr>
          <w:vertAlign w:val="superscript"/>
        </w:rPr>
        <w:footnoteReference w:id="284"/>
      </w:r>
      <w:r w:rsidRPr="00471C23">
        <w:t xml:space="preserve"> Die kommerzielle Herstellung von Getränken stellt einen solchen Beruf dar. Nach der Rechtsprechung des Bundesverfassungsgerichts ist der sachliche Schutzbereich der Berufsfreiheit im Bereich des staatlichen Informationshandelns jedoch beschränkt. Danach schütze die Berufsfreiheit zwar die Teilnahme am Wettbewerb nach Maßgabe der Funktionsbedingungen des Marktes, nicht aber vor einer Veränderung der Marktdaten und Rahmenbedingungen der jeweiligen Tätigkeit.</w:t>
      </w:r>
      <w:r w:rsidRPr="00471C23">
        <w:rPr>
          <w:vertAlign w:val="superscript"/>
        </w:rPr>
        <w:footnoteReference w:id="285"/>
      </w:r>
      <w:r w:rsidRPr="00471C23">
        <w:t xml:space="preserve"> Ein Anspruch auf gleichbleibende Marktbedingungen bestehe hingegen nicht; vielmehr unterliegen die Erwerbsaussichten eines Unternehmens dem Risiko laufender Veränderung je nach den Verhältnissen am Markt.</w:t>
      </w:r>
      <w:r w:rsidRPr="00471C23">
        <w:rPr>
          <w:vertAlign w:val="superscript"/>
        </w:rPr>
        <w:footnoteReference w:id="286"/>
      </w:r>
      <w:r w:rsidRPr="00471C23">
        <w:t xml:space="preserve"> Sofern hoheitliches Handeln die Wettbewerbssituation nur faktisch-mittelbar beeinflusst, sei der Schutzbereich des Art. 12 I GG grundsätzlich nicht berührt.</w:t>
      </w:r>
      <w:r w:rsidRPr="00471C23">
        <w:rPr>
          <w:vertAlign w:val="superscript"/>
        </w:rPr>
        <w:footnoteReference w:id="287"/>
      </w:r>
    </w:p>
    <w:p w14:paraId="24D6ECC2" w14:textId="77777777" w:rsidR="00471C23" w:rsidRPr="00471C23" w:rsidRDefault="00471C23" w:rsidP="00471C23">
      <w:r w:rsidRPr="00471C23">
        <w:t>Allerdings ist der Schutzbereich dann berührt, wenn das Informationshandeln in seiner Zielsetzung und seiner faktisch-mittelbaren Wirkung Ersatz für eine staatliche Maßnahme ist, die als Grundrechtseingriff zu qualifizieren wäre.</w:t>
      </w:r>
      <w:r w:rsidRPr="00471C23">
        <w:rPr>
          <w:vertAlign w:val="superscript"/>
        </w:rPr>
        <w:footnoteReference w:id="288"/>
      </w:r>
      <w:r w:rsidRPr="00471C23">
        <w:t xml:space="preserve"> Die Auswirkungen der Informationstätigkeit müssten also einem Eingriff als funktionales Äquivalent gleichkommen. Dies soll dann der Fall sein, wenn die Tätigkeit über das Bereitstellen marktrelevanter Informationen, anhand derer der Einzelne selbstständig über sein Verhalten am Markt bestimmen kann hinausgeht.</w:t>
      </w:r>
      <w:r w:rsidRPr="00471C23">
        <w:rPr>
          <w:vertAlign w:val="superscript"/>
        </w:rPr>
        <w:footnoteReference w:id="289"/>
      </w:r>
      <w:r w:rsidRPr="00471C23">
        <w:t xml:space="preserve"> Das Informationshandeln ist als funktionales Äquivalent zu einem Eingriff einzuordnen, wenn es direkt und zweckgerichtet auf die Wettbewerbschancen konkret individualisierter Unternehmen Einfluss nimmt und so die Bedingungen des betroffenen Unternehmens nachteilig verändert.</w:t>
      </w:r>
      <w:r w:rsidRPr="00471C23">
        <w:rPr>
          <w:vertAlign w:val="superscript"/>
        </w:rPr>
        <w:footnoteReference w:id="290"/>
      </w:r>
    </w:p>
    <w:p w14:paraId="64459AAD" w14:textId="77777777" w:rsidR="00471C23" w:rsidRPr="00471C23" w:rsidRDefault="00471C23" w:rsidP="00471C23">
      <w:r w:rsidRPr="00471C23">
        <w:t>Durch § 40 I LFGB werden die Behörden verpflichtet unter Nennung des Lebensmittelunternehmens und des spezifischen Produktes über Verstöße gegen lebensmittelrechtliche Vorschriften zu informieren. Folglich bezweckt das Informationshandeln gerade, dass der Einzelne sein Konsumverhalten danach ausrichten und ggf. vom Kauf der beanstandeten Produkte absehen soll.</w:t>
      </w:r>
      <w:r w:rsidRPr="00471C23">
        <w:rPr>
          <w:vertAlign w:val="superscript"/>
        </w:rPr>
        <w:footnoteReference w:id="291"/>
      </w:r>
      <w:r w:rsidRPr="00471C23">
        <w:t xml:space="preserve"> Damit stellen sich die Auswirkungen auf das betroffene Unternehmen als originärer Zweck der Regelung dar und nicht bloß als Reflex einer ansonsten nicht auf das Unternehmen bezogenen Norm.</w:t>
      </w:r>
      <w:r w:rsidRPr="00471C23">
        <w:rPr>
          <w:vertAlign w:val="superscript"/>
        </w:rPr>
        <w:footnoteReference w:id="292"/>
      </w:r>
    </w:p>
    <w:p w14:paraId="5D4BD4A2" w14:textId="77777777" w:rsidR="00471C23" w:rsidRPr="00471C23" w:rsidRDefault="00471C23" w:rsidP="00471C23">
      <w:r w:rsidRPr="00471C23">
        <w:t>Mithin erweist sich die Warnung nach § 40 I LFGB in ihrer konkreten Zielsetzung und Wirkung als funktionales Äquivalent zu einem klassischen Grundrechtseingriff. Ein Eingriff in den Schutzbereich des Art. 12 I GG liegt vor.</w:t>
      </w:r>
    </w:p>
    <w:p w14:paraId="4129395F" w14:textId="5191BB7F" w:rsidR="00471C23" w:rsidRPr="0057061A" w:rsidRDefault="0057061A" w:rsidP="00471C23">
      <w:pPr>
        <w:rPr>
          <w:i/>
          <w:iCs/>
        </w:rPr>
      </w:pPr>
      <w:r w:rsidRPr="0057061A">
        <w:rPr>
          <w:i/>
          <w:iCs/>
        </w:rPr>
        <w:t>Vertiefungshinweis</w:t>
      </w:r>
      <w:r w:rsidR="00471C23" w:rsidRPr="0057061A">
        <w:rPr>
          <w:i/>
          <w:iCs/>
        </w:rPr>
        <w:t>: Die Rechtsprechungslinie des Bundesverfassungsgerichts bricht begrifflich mit der hergebrachten Dogmatik von Schutzbereich und Eingriff. So wird die Verengung des Schutzbereichs als Gewährleistungsbereich bezeichnet und nicht von einem Eingriff, sondern von einer Beeinträchtigung im Sinne einer eingriffsgleichen Maßnahme gesprochen.</w:t>
      </w:r>
      <w:r w:rsidR="00471C23" w:rsidRPr="0057061A">
        <w:rPr>
          <w:i/>
          <w:iCs/>
          <w:vertAlign w:val="superscript"/>
        </w:rPr>
        <w:footnoteReference w:id="293"/>
      </w:r>
      <w:r w:rsidR="00471C23" w:rsidRPr="0057061A">
        <w:rPr>
          <w:i/>
          <w:iCs/>
        </w:rPr>
        <w:t xml:space="preserve"> In älteren Urteilen, in denen das Informationshandeln nicht auf eine spezialgesetzliche Grundlage gestützt war, verneinte das Bundesverfassungsgericht eine solche Beeinträchtigung unter den folgenden Voraussetzungen: So muss sich die Veröffentlichung von Informationen auf eine staatliche Aufgabenzuweisungsnorm stützen und jene Zuständigkeitsregelung eingehalten werden. Weiterhin müssen die Richtigkeit und Sachlichkeit der Informationen gewährleistet sein.</w:t>
      </w:r>
      <w:r w:rsidR="00471C23" w:rsidRPr="0057061A">
        <w:rPr>
          <w:i/>
          <w:iCs/>
          <w:vertAlign w:val="superscript"/>
        </w:rPr>
        <w:footnoteReference w:id="294"/>
      </w:r>
      <w:r w:rsidR="00471C23" w:rsidRPr="0057061A">
        <w:rPr>
          <w:i/>
          <w:iCs/>
        </w:rPr>
        <w:t xml:space="preserve"> In der Literatur stieß diese Rechtsprechung auf Kritik.</w:t>
      </w:r>
      <w:r w:rsidR="00471C23" w:rsidRPr="0057061A">
        <w:rPr>
          <w:i/>
          <w:iCs/>
          <w:vertAlign w:val="superscript"/>
        </w:rPr>
        <w:footnoteReference w:id="295"/>
      </w:r>
      <w:r w:rsidR="00471C23" w:rsidRPr="0057061A">
        <w:rPr>
          <w:i/>
          <w:iCs/>
        </w:rPr>
        <w:t xml:space="preserve"> Als Lösungsvorschläge wurde </w:t>
      </w:r>
      <w:r w:rsidR="00051075" w:rsidRPr="0057061A">
        <w:rPr>
          <w:i/>
          <w:iCs/>
        </w:rPr>
        <w:t>u.a.</w:t>
      </w:r>
      <w:r w:rsidR="00471C23" w:rsidRPr="0057061A">
        <w:rPr>
          <w:i/>
          <w:iCs/>
        </w:rPr>
        <w:t xml:space="preserve"> vorgebracht, auf die Zielgerichtetheit (Finalität) und die Intensität der Beeinträchtigung zu rekurrieren.</w:t>
      </w:r>
      <w:r w:rsidR="00471C23" w:rsidRPr="0057061A">
        <w:rPr>
          <w:i/>
          <w:iCs/>
          <w:vertAlign w:val="superscript"/>
        </w:rPr>
        <w:footnoteReference w:id="296"/>
      </w:r>
      <w:r w:rsidR="00471C23" w:rsidRPr="0057061A">
        <w:rPr>
          <w:i/>
          <w:iCs/>
        </w:rPr>
        <w:t xml:space="preserve"> Es erscheint möglich, dass das Bundesverfassungsgericht in der Entscheidung von 2018 von seiner einen Eingriff verneinenden Sonderdogmatik abrückt. Jedenfalls weist die Einordnung der Warnung auch begrifflich in die Richtung der ebengenannten Literaturansicht.</w:t>
      </w:r>
    </w:p>
    <w:p w14:paraId="07041564" w14:textId="5D14A2A3" w:rsidR="00471C23" w:rsidRPr="009A2A84" w:rsidRDefault="00471C23" w:rsidP="005B6EF7">
      <w:pPr>
        <w:pStyle w:val="berschrift7"/>
      </w:pPr>
      <w:bookmarkStart w:id="394" w:name="_Toc22133228"/>
      <w:r w:rsidRPr="009A2A84">
        <w:t>b) Eigentumsfreiheit, Art. 14 I GG</w:t>
      </w:r>
      <w:bookmarkEnd w:id="394"/>
    </w:p>
    <w:p w14:paraId="2174BF7E" w14:textId="77777777" w:rsidR="00EC3453" w:rsidRPr="00EC3453" w:rsidRDefault="00EC3453" w:rsidP="00EC3453">
      <w:pPr>
        <w:pStyle w:val="Randnummer"/>
        <w:framePr w:wrap="around"/>
      </w:pPr>
    </w:p>
    <w:p w14:paraId="658AC847" w14:textId="42B53EF9" w:rsidR="00471C23" w:rsidRPr="00471C23" w:rsidRDefault="00471C23" w:rsidP="00471C23">
      <w:r w:rsidRPr="00471C23">
        <w:t>Ferner könnte durch die Warnung in das Recht am eingerichteten und ausgeübten Gewerbebetrieb der A-GmbH eingegriffen werden. Das Bundesverfassungsgericht hat den grundrechtlichen Schutz dieses einfachrechtlich vielfach anerkannten Rechts bislang ausdrücklich offengelassen.</w:t>
      </w:r>
      <w:r w:rsidRPr="00471C23">
        <w:rPr>
          <w:vertAlign w:val="superscript"/>
        </w:rPr>
        <w:footnoteReference w:id="297"/>
      </w:r>
      <w:r w:rsidRPr="00471C23">
        <w:t xml:space="preserve"> Allerdings schützt das Recht am eingerichteten und ausgeübten Gewerbebetrieb in seiner einfachrechtlichen Gestalt den Gewerbebetrieb ohnehin nur als Sach- und Rechtsgesamtheit, nicht aber Umsatz und die Aussichten auf Gewinn.</w:t>
      </w:r>
      <w:r w:rsidRPr="00471C23">
        <w:rPr>
          <w:vertAlign w:val="superscript"/>
        </w:rPr>
        <w:footnoteReference w:id="298"/>
      </w:r>
      <w:r w:rsidRPr="00471C23">
        <w:t xml:space="preserve"> Mithin wäre der hier betroffene Schutz von Erwerbsaussichten nicht erfasst.</w:t>
      </w:r>
    </w:p>
    <w:p w14:paraId="183232AC" w14:textId="77777777" w:rsidR="00471C23" w:rsidRPr="009A2A84" w:rsidRDefault="00471C23" w:rsidP="005B6EF7">
      <w:pPr>
        <w:pStyle w:val="berschrift7"/>
      </w:pPr>
      <w:bookmarkStart w:id="395" w:name="_Toc22133229"/>
      <w:r w:rsidRPr="009A2A84">
        <w:t>c) Begehungsgefahr</w:t>
      </w:r>
      <w:bookmarkEnd w:id="395"/>
    </w:p>
    <w:p w14:paraId="11B3EB6F" w14:textId="77777777" w:rsidR="00EC3453" w:rsidRPr="00EC3453" w:rsidRDefault="00EC3453" w:rsidP="00EC3453">
      <w:pPr>
        <w:pStyle w:val="Randnummer"/>
        <w:framePr w:wrap="around"/>
      </w:pPr>
    </w:p>
    <w:p w14:paraId="58CEB305" w14:textId="77777777" w:rsidR="00471C23" w:rsidRPr="00471C23" w:rsidRDefault="00471C23" w:rsidP="00471C23">
      <w:r w:rsidRPr="00471C23">
        <w:t>C beabsichtigt alsbald vor dem Energydrink zu warnen. Es ist nicht ersichtlich, dass sie inzwischen von dieser Absicht abgerückt ist, sodass die konkrete Gefahr besteht, dass sie eine entsprechende Warnung veröffentlicht (sog. Begehungsgefahr).</w:t>
      </w:r>
    </w:p>
    <w:p w14:paraId="0CB6AC0C" w14:textId="77777777" w:rsidR="00471C23" w:rsidRPr="009A2A84" w:rsidRDefault="00471C23" w:rsidP="005B6EF7">
      <w:pPr>
        <w:pStyle w:val="berschrift6"/>
      </w:pPr>
      <w:bookmarkStart w:id="396" w:name="_Toc22133230"/>
      <w:r w:rsidRPr="009A2A84">
        <w:t>3. Rechtswidrigkeit des Eingriffs</w:t>
      </w:r>
      <w:bookmarkEnd w:id="396"/>
    </w:p>
    <w:p w14:paraId="2D2A3345" w14:textId="77777777" w:rsidR="00EC3453" w:rsidRPr="00EC3453" w:rsidRDefault="00EC3453" w:rsidP="00EC3453">
      <w:pPr>
        <w:pStyle w:val="Randnummer"/>
        <w:framePr w:wrap="around"/>
      </w:pPr>
    </w:p>
    <w:p w14:paraId="56F30B0B" w14:textId="77777777" w:rsidR="00471C23" w:rsidRDefault="00471C23" w:rsidP="00471C23">
      <w:r w:rsidRPr="00471C23">
        <w:t>Die beabsichtigte Warnung müsste auch rechtswidrig sein. Da sie in den Schutzbereich der Berufsfreiheit eingreift, ist nach dem Gesetzesvorbehalt des Art. 12 I 2 GG eine Ermächtigung durch Gesetz oder auf Grund eines Gesetzes erforderlich. Vorliegend ermächtigt § 40 I LFGB zur Information der Öffentlichkeit. Die Verfassungsmäßigkeit der Norm ist zu unterstellen.</w:t>
      </w:r>
      <w:r w:rsidRPr="00471C23">
        <w:rPr>
          <w:vertAlign w:val="superscript"/>
        </w:rPr>
        <w:footnoteReference w:id="299"/>
      </w:r>
      <w:r w:rsidRPr="00471C23">
        <w:t xml:space="preserve"> Fraglich ist, ob dessen Voraussetzungen vorliegen.</w:t>
      </w:r>
    </w:p>
    <w:p w14:paraId="12969E58" w14:textId="77777777" w:rsidR="00772351" w:rsidRPr="00471C23" w:rsidRDefault="00772351" w:rsidP="00471C23"/>
    <w:p w14:paraId="44FB9829" w14:textId="77777777" w:rsidR="00471C23" w:rsidRPr="009A2A84" w:rsidRDefault="00471C23" w:rsidP="005B6EF7">
      <w:pPr>
        <w:pStyle w:val="berschrift7"/>
      </w:pPr>
      <w:bookmarkStart w:id="397" w:name="_Toc22133231"/>
      <w:r w:rsidRPr="009A2A84">
        <w:t>a) Formelle Voraussetzungen</w:t>
      </w:r>
      <w:bookmarkEnd w:id="397"/>
    </w:p>
    <w:p w14:paraId="3FC5D72A" w14:textId="77777777" w:rsidR="00EC3453" w:rsidRPr="00EC3453" w:rsidRDefault="00EC3453" w:rsidP="00EC3453">
      <w:pPr>
        <w:pStyle w:val="Randnummer"/>
        <w:framePr w:wrap="around"/>
      </w:pPr>
    </w:p>
    <w:p w14:paraId="03093DB5" w14:textId="77777777" w:rsidR="00471C23" w:rsidRPr="00471C23" w:rsidRDefault="00471C23" w:rsidP="00471C23">
      <w:r w:rsidRPr="00471C23">
        <w:t>Ausweislich des Sachverhalts handelte die zuständige Behörde. Die nach § 40 III 1 LFGB erforderliche Anhörung hat stattgefunden.</w:t>
      </w:r>
    </w:p>
    <w:p w14:paraId="1490EFF2" w14:textId="77777777" w:rsidR="00471C23" w:rsidRPr="009A2A84" w:rsidRDefault="00471C23" w:rsidP="005B6EF7">
      <w:pPr>
        <w:pStyle w:val="berschrift7"/>
      </w:pPr>
      <w:bookmarkStart w:id="398" w:name="_Toc22133232"/>
      <w:r w:rsidRPr="009A2A84">
        <w:t>b) Materielle Voraussetzungen</w:t>
      </w:r>
      <w:bookmarkEnd w:id="398"/>
    </w:p>
    <w:p w14:paraId="5315DA28" w14:textId="77777777" w:rsidR="00EC3453" w:rsidRPr="00EC3453" w:rsidRDefault="00EC3453" w:rsidP="00EC3453">
      <w:pPr>
        <w:pStyle w:val="Randnummer"/>
        <w:framePr w:wrap="around"/>
      </w:pPr>
    </w:p>
    <w:p w14:paraId="1751CA52" w14:textId="77777777" w:rsidR="00471C23" w:rsidRPr="00471C23" w:rsidRDefault="00471C23" w:rsidP="00471C23">
      <w:r w:rsidRPr="00471C23">
        <w:t>Nach § 40 I LFGB soll die zuständige Behörde unter Nennung der Bezeichnung des Lebensmittels sowie des Lebensmittelunternehmens, unter dessen Namen oder Firma das Lebensmittel hergestellt, behandelt oder in den Verkehr gebracht wurde, die Öffentlichkeit informieren, soweit der Tatbestand der Vorschrift gegeben ist. Da Art. 10 Verordnung (EG) Nr. 178/2002 nicht zu prüfen ist und der Energydrink kein kosmetisches Mittel oder ein Bedarfsgegenstand ist, kommt hier lediglich § 40 I 2 Nr. 2 LFGB in Betracht. Danach soll die Behörde die Öffentlichkeit informieren, wenn der hinreichende Verdacht besteht, dass gegen Vorschriften im Anwendungsbereich des LFGB, die dem Schutz der Verbraucherinnen und Verbraucher vor Gesundheitsgefährdungen dienen, verstoßen wurde.</w:t>
      </w:r>
    </w:p>
    <w:p w14:paraId="37CB6722" w14:textId="77777777" w:rsidR="00471C23" w:rsidRPr="009A2A84" w:rsidRDefault="00471C23" w:rsidP="005B6EF7">
      <w:pPr>
        <w:pStyle w:val="berschrift8"/>
      </w:pPr>
      <w:bookmarkStart w:id="399" w:name="_Toc22133233"/>
      <w:r w:rsidRPr="009A2A84">
        <w:t>aa) Verstoß gegen Vorschriften im Anwendungsbereich des LFGB</w:t>
      </w:r>
      <w:bookmarkEnd w:id="399"/>
    </w:p>
    <w:p w14:paraId="06EE16B7" w14:textId="77777777" w:rsidR="00EC3453" w:rsidRPr="00EC3453" w:rsidRDefault="00EC3453" w:rsidP="00EC3453">
      <w:pPr>
        <w:pStyle w:val="Randnummer"/>
        <w:framePr w:wrap="around"/>
      </w:pPr>
    </w:p>
    <w:p w14:paraId="114057CD" w14:textId="77777777" w:rsidR="00471C23" w:rsidRPr="00471C23" w:rsidRDefault="00471C23" w:rsidP="00471C23">
      <w:r w:rsidRPr="00471C23">
        <w:t>Mit seinem Koffeingehalt von 400 mg/l könnte der V-Drink gegen Bestimmungen der FrSaftErfrischGetrV – und damit gegen Vorschriften im Anwendungsbereich des LFGB – verstoßen. Beim V-Boost handelt es sich um ein Getränk auf der Grundlage von Wasser, dem geschmacksgebende Aromen sowie koffeinhaltige Zutaten zugesetzt worden sind, sodass er ein koffeinhaltiges Erfrischungsgetränk im Sinne des § 4 I FrSaftErfrischGetrV darstellt. Darüber hinaus enthält er auch natürlichen Inosit, sodass er als Energydrink im Sinne des § 4 II FrSaftErfrischGetrV zu qualifizieren ist.</w:t>
      </w:r>
    </w:p>
    <w:p w14:paraId="6C74FBC8" w14:textId="77777777" w:rsidR="00471C23" w:rsidRPr="00471C23" w:rsidRDefault="00471C23" w:rsidP="00471C23">
      <w:r w:rsidRPr="00471C23">
        <w:t>Gemäß § 5 I FrSaftErfrischGetrV darf der Koffeingehalt nicht den in Anlage 8 Teil A festgelegten Höchstwert übersteigen, welcher bei 320 mg/l liegt. Mit einem Koffeingehalt von 400 mg/l ist diese Höchstmenge überschritten. Der Inositgehalt von 150 mg/l überschreitet hingegen nicht den nach § 5 II FrSaftErfrischGetrV erlaubten Höchstwert. Aufgrund des Koffeingehalts liegt im Ergebnis jedoch ein Verstoß gegen eine Vorschrift im Anwendungsbereich des LFGB vor.</w:t>
      </w:r>
    </w:p>
    <w:p w14:paraId="5EEC1D38" w14:textId="77777777" w:rsidR="00471C23" w:rsidRPr="009A2A84" w:rsidRDefault="00471C23" w:rsidP="005B6EF7">
      <w:pPr>
        <w:pStyle w:val="berschrift8"/>
      </w:pPr>
      <w:bookmarkStart w:id="400" w:name="_Toc22133234"/>
      <w:r w:rsidRPr="009A2A84">
        <w:t>bb) Verbraucherschützender Charakter der Vorschrift</w:t>
      </w:r>
      <w:bookmarkEnd w:id="400"/>
    </w:p>
    <w:p w14:paraId="76EA19C2" w14:textId="77777777" w:rsidR="00EC3453" w:rsidRPr="00EC3453" w:rsidRDefault="00EC3453" w:rsidP="00EC3453">
      <w:pPr>
        <w:pStyle w:val="Randnummer"/>
        <w:framePr w:wrap="around"/>
      </w:pPr>
    </w:p>
    <w:p w14:paraId="2329C709" w14:textId="1B6D4023" w:rsidR="00471C23" w:rsidRPr="00471C23" w:rsidRDefault="00471C23" w:rsidP="00471C23">
      <w:r w:rsidRPr="00471C23">
        <w:t xml:space="preserve">Die FrSaftErfrischGetrV statuiert </w:t>
      </w:r>
      <w:r w:rsidR="00051075">
        <w:t>u.a.</w:t>
      </w:r>
      <w:r w:rsidRPr="00471C23">
        <w:t xml:space="preserve"> Kennzeichnungspflichten, Grenzwerte und Herstellungsanforderungen. Sie dient damit dem Verbraucherschutz vor Täuschungen und Gesundheitsgefahren.</w:t>
      </w:r>
    </w:p>
    <w:p w14:paraId="14C56802" w14:textId="77777777" w:rsidR="00471C23" w:rsidRPr="009A2A84" w:rsidRDefault="00471C23" w:rsidP="005B6EF7">
      <w:pPr>
        <w:pStyle w:val="berschrift8"/>
      </w:pPr>
      <w:bookmarkStart w:id="401" w:name="_Toc22133235"/>
      <w:r w:rsidRPr="009A2A84">
        <w:t>cc) § 40 II LFGB</w:t>
      </w:r>
      <w:bookmarkEnd w:id="401"/>
    </w:p>
    <w:p w14:paraId="046A6DC7" w14:textId="77777777" w:rsidR="00EC3453" w:rsidRPr="00EC3453" w:rsidRDefault="00EC3453" w:rsidP="00EC3453">
      <w:pPr>
        <w:pStyle w:val="Randnummer"/>
        <w:framePr w:wrap="around"/>
      </w:pPr>
    </w:p>
    <w:p w14:paraId="7433CFFE" w14:textId="77777777" w:rsidR="00471C23" w:rsidRPr="00471C23" w:rsidRDefault="00471C23" w:rsidP="00471C23">
      <w:r w:rsidRPr="00471C23">
        <w:t>§ 40 II LFGB verlangt überdies, dass vor einer Information der Öffentlichkeit andere ebenso wirksame Maßnahmen, insbesondere eine Information durch das Lebensmittelunternehmen selbst, nicht oder nicht rechtzeitig getroffen werden können oder die Verbraucherinnen und Verbraucher nicht erreichen. Angesichts ihrer ablehnenden Haltung ist eine Information durch die A-GmbH ausgeschlossen, sodass die Verbraucherinnen und Verbraucher nur durch eine behördliche Warnung erreicht werden können.</w:t>
      </w:r>
    </w:p>
    <w:p w14:paraId="02BF371E" w14:textId="77777777" w:rsidR="00471C23" w:rsidRPr="009A2A84" w:rsidRDefault="00471C23" w:rsidP="005B6EF7">
      <w:pPr>
        <w:pStyle w:val="berschrift8"/>
      </w:pPr>
      <w:bookmarkStart w:id="402" w:name="_Toc22133236"/>
      <w:r w:rsidRPr="009A2A84">
        <w:t>dd) Rechtsfolge</w:t>
      </w:r>
      <w:bookmarkEnd w:id="402"/>
    </w:p>
    <w:p w14:paraId="6E07AB42" w14:textId="77777777" w:rsidR="00EC3453" w:rsidRPr="00EC3453" w:rsidRDefault="00EC3453" w:rsidP="00EC3453">
      <w:pPr>
        <w:pStyle w:val="Randnummer"/>
        <w:framePr w:wrap="around"/>
      </w:pPr>
    </w:p>
    <w:p w14:paraId="7CB2267A" w14:textId="77777777" w:rsidR="00471C23" w:rsidRPr="00471C23" w:rsidRDefault="00471C23" w:rsidP="00471C23">
      <w:r w:rsidRPr="00471C23">
        <w:t>Im Hinblick auf die Rechtsfolge handelt es sich bei § 40 I LFGB um eine „Soll-Vorschrift“. Sofern ein Gesetz den Begriff „soll“ verwendet, ist für den Regelfall eine Bindung vorgesehen, von der die Behörde lediglich in atypischen Fällen abweichen darf.</w:t>
      </w:r>
      <w:r w:rsidRPr="00471C23">
        <w:rPr>
          <w:vertAlign w:val="superscript"/>
        </w:rPr>
        <w:footnoteReference w:id="300"/>
      </w:r>
      <w:r w:rsidRPr="00471C23">
        <w:t xml:space="preserve"> Ein solcher ist vorliegend nicht ersichtlich.</w:t>
      </w:r>
    </w:p>
    <w:p w14:paraId="597B1972" w14:textId="77777777" w:rsidR="00471C23" w:rsidRPr="009A2A84" w:rsidRDefault="00471C23" w:rsidP="005B6EF7">
      <w:pPr>
        <w:pStyle w:val="berschrift7"/>
      </w:pPr>
      <w:bookmarkStart w:id="403" w:name="_Toc22133237"/>
      <w:r w:rsidRPr="009A2A84">
        <w:t>c) Zwischenergebnis</w:t>
      </w:r>
      <w:bookmarkEnd w:id="403"/>
    </w:p>
    <w:p w14:paraId="374206A0" w14:textId="77777777" w:rsidR="00EC3453" w:rsidRPr="00EC3453" w:rsidRDefault="00EC3453" w:rsidP="00EC3453">
      <w:pPr>
        <w:pStyle w:val="Randnummer"/>
        <w:framePr w:wrap="around"/>
      </w:pPr>
    </w:p>
    <w:p w14:paraId="628C1662" w14:textId="77777777" w:rsidR="00471C23" w:rsidRPr="00471C23" w:rsidRDefault="00471C23" w:rsidP="00471C23">
      <w:r w:rsidRPr="00471C23">
        <w:t>Der Eingriff ist von den Schranken des § 40 I LFGB gedeckt. Mithin ist er rechtmäßig. Daraus ergibt sich für die A-GmbH die Pflicht zur Duldung des Eingriffs.</w:t>
      </w:r>
    </w:p>
    <w:p w14:paraId="3343A3FD" w14:textId="77777777" w:rsidR="00471C23" w:rsidRPr="009A2A84" w:rsidRDefault="00471C23" w:rsidP="005B6EF7">
      <w:pPr>
        <w:pStyle w:val="berschrift6"/>
      </w:pPr>
      <w:bookmarkStart w:id="404" w:name="_Toc22133238"/>
      <w:r w:rsidRPr="009A2A84">
        <w:t>4. Zwischenergebnis</w:t>
      </w:r>
      <w:bookmarkEnd w:id="404"/>
    </w:p>
    <w:p w14:paraId="49DA0EB7" w14:textId="77777777" w:rsidR="00EC3453" w:rsidRPr="00EC3453" w:rsidRDefault="00EC3453" w:rsidP="00EC3453">
      <w:pPr>
        <w:pStyle w:val="Randnummer"/>
        <w:framePr w:wrap="around"/>
      </w:pPr>
    </w:p>
    <w:p w14:paraId="44F6FA73" w14:textId="77777777" w:rsidR="00471C23" w:rsidRPr="00471C23" w:rsidRDefault="00471C23" w:rsidP="00471C23">
      <w:r w:rsidRPr="00471C23">
        <w:t>Die A-GmbH hat keinen Anspruch auf Unterlassung der behördlichen Warnung.</w:t>
      </w:r>
    </w:p>
    <w:p w14:paraId="51F2E9F0" w14:textId="77777777" w:rsidR="00471C23" w:rsidRPr="009A2A84" w:rsidRDefault="00471C23" w:rsidP="005B6EF7">
      <w:pPr>
        <w:pStyle w:val="berschrift5"/>
      </w:pPr>
      <w:bookmarkStart w:id="405" w:name="_Toc22133239"/>
      <w:r w:rsidRPr="009A2A84">
        <w:t>III. Zwischenergebnis</w:t>
      </w:r>
      <w:bookmarkEnd w:id="405"/>
    </w:p>
    <w:p w14:paraId="68E181BF" w14:textId="77777777" w:rsidR="00EC3453" w:rsidRPr="00EC3453" w:rsidRDefault="00EC3453" w:rsidP="00EC3453">
      <w:pPr>
        <w:pStyle w:val="Randnummer"/>
        <w:framePr w:wrap="around"/>
      </w:pPr>
    </w:p>
    <w:p w14:paraId="6F05860F" w14:textId="77777777" w:rsidR="00471C23" w:rsidRDefault="00471C23" w:rsidP="00471C23">
      <w:r w:rsidRPr="00471C23">
        <w:t>Die Klage ist unbegründet.</w:t>
      </w:r>
    </w:p>
    <w:p w14:paraId="5E671382" w14:textId="77777777" w:rsidR="005B6EF7" w:rsidRPr="00471C23" w:rsidRDefault="005B6EF7" w:rsidP="00471C23"/>
    <w:p w14:paraId="41F4E08A" w14:textId="77777777" w:rsidR="00471C23" w:rsidRPr="009A2A84" w:rsidRDefault="00471C23" w:rsidP="005B6EF7">
      <w:pPr>
        <w:pStyle w:val="berschrift4"/>
      </w:pPr>
      <w:bookmarkStart w:id="406" w:name="_Toc22133240"/>
      <w:r w:rsidRPr="009A2A84">
        <w:t>C. Ergebnis</w:t>
      </w:r>
      <w:bookmarkEnd w:id="406"/>
    </w:p>
    <w:p w14:paraId="2892D5CE" w14:textId="77777777" w:rsidR="00EC3453" w:rsidRPr="00EC3453" w:rsidRDefault="00EC3453" w:rsidP="00EC3453">
      <w:pPr>
        <w:pStyle w:val="Randnummer"/>
        <w:framePr w:wrap="around"/>
      </w:pPr>
    </w:p>
    <w:p w14:paraId="6A56E7F8" w14:textId="77777777" w:rsidR="00471C23" w:rsidRPr="00471C23" w:rsidRDefault="00471C23" w:rsidP="00471C23">
      <w:r w:rsidRPr="00471C23">
        <w:t>Die Klage ist zulässig, aber unbegründet. Sie hat keine Aussicht auf Erfolg.</w:t>
      </w:r>
      <w:bookmarkEnd w:id="331"/>
    </w:p>
    <w:bookmarkEnd w:id="375"/>
    <w:p w14:paraId="450E7D29" w14:textId="77777777" w:rsidR="007E71EB" w:rsidRDefault="007E71EB" w:rsidP="000444BD"/>
    <w:p w14:paraId="57E47A77" w14:textId="77777777" w:rsidR="007E71EB" w:rsidRDefault="007E71EB" w:rsidP="000444BD">
      <w:pPr>
        <w:sectPr w:rsidR="007E71EB" w:rsidSect="000C4535">
          <w:footnotePr>
            <w:numRestart w:val="eachSect"/>
          </w:footnotePr>
          <w:pgSz w:w="9639" w:h="13608"/>
          <w:pgMar w:top="1418" w:right="1134" w:bottom="1134" w:left="1134" w:header="709" w:footer="709" w:gutter="0"/>
          <w:cols w:space="708"/>
          <w:docGrid w:linePitch="360"/>
        </w:sectPr>
      </w:pPr>
    </w:p>
    <w:p w14:paraId="1A864471" w14:textId="492EA0AE" w:rsidR="00A0667A" w:rsidRDefault="008779DD" w:rsidP="00A0667A">
      <w:pPr>
        <w:pStyle w:val="berschrift1"/>
      </w:pPr>
      <w:bookmarkStart w:id="407" w:name="_Toc10464167"/>
      <w:bookmarkStart w:id="408" w:name="_Toc22132783"/>
      <w:r>
        <w:t>§</w:t>
      </w:r>
      <w:r w:rsidR="00601E96">
        <w:t xml:space="preserve"> 6</w:t>
      </w:r>
      <w:r>
        <w:t xml:space="preserve"> Übungsfälle zur</w:t>
      </w:r>
      <w:r w:rsidR="00A0667A">
        <w:t xml:space="preserve"> Feststellungsklage</w:t>
      </w:r>
      <w:bookmarkEnd w:id="407"/>
      <w:bookmarkEnd w:id="408"/>
    </w:p>
    <w:p w14:paraId="1D49575B" w14:textId="22926F8B" w:rsidR="00EF1CEB" w:rsidRDefault="003E4818" w:rsidP="00EF1CEB">
      <w:pPr>
        <w:pStyle w:val="berschrift2"/>
      </w:pPr>
      <w:bookmarkStart w:id="409" w:name="_Toc22132784"/>
      <w:r>
        <w:t xml:space="preserve">Die </w:t>
      </w:r>
      <w:r w:rsidR="00EF1CEB">
        <w:t>Struktur der Feststellungsklage (Nikolas Eisentraut)</w:t>
      </w:r>
      <w:bookmarkEnd w:id="409"/>
    </w:p>
    <w:p w14:paraId="21A9010C" w14:textId="0AF2F5D0" w:rsidR="00EF1CEB" w:rsidRDefault="00EF1CEB" w:rsidP="00EF1CEB">
      <w:pPr>
        <w:pStyle w:val="Autorin"/>
      </w:pPr>
      <w:r>
        <w:t>Nikolas Eisentraut</w:t>
      </w:r>
    </w:p>
    <w:p w14:paraId="08EF6021" w14:textId="77777777" w:rsidR="00EF1CEB" w:rsidRDefault="00EF1CEB" w:rsidP="00EF1CEB">
      <w:r>
        <w:t>Der gutachterlichen Prüfung der Feststellungsklage</w:t>
      </w:r>
      <w:r>
        <w:fldChar w:fldCharType="begin"/>
      </w:r>
      <w:r>
        <w:instrText xml:space="preserve"> XE "</w:instrText>
      </w:r>
      <w:r w:rsidRPr="00F92A1C">
        <w:instrText>Feststellungsklage</w:instrText>
      </w:r>
      <w:r>
        <w:instrText xml:space="preserve">" </w:instrText>
      </w:r>
      <w:r>
        <w:fldChar w:fldCharType="end"/>
      </w:r>
      <w:r>
        <w:t xml:space="preserve"> liegt die folgende Struktur zugrunde:</w:t>
      </w:r>
    </w:p>
    <w:p w14:paraId="62478FF4" w14:textId="77777777" w:rsidR="00EF1CEB" w:rsidRDefault="00EF1CEB" w:rsidP="00EF1CEB">
      <w:r>
        <w:t>A. Zulässigkeit</w:t>
      </w:r>
      <w:r>
        <w:fldChar w:fldCharType="begin"/>
      </w:r>
      <w:r>
        <w:instrText xml:space="preserve"> XE "</w:instrText>
      </w:r>
      <w:r w:rsidRPr="00342071">
        <w:instrText>Feststellungsklage:Zulässigkeitsprüfung</w:instrText>
      </w:r>
      <w:r>
        <w:instrText xml:space="preserve">" </w:instrText>
      </w:r>
      <w:r>
        <w:fldChar w:fldCharType="end"/>
      </w:r>
    </w:p>
    <w:p w14:paraId="45380870" w14:textId="5F0F605E" w:rsidR="00EF1CEB" w:rsidRPr="00D16DAC" w:rsidRDefault="00EF1CEB" w:rsidP="00EF1CEB">
      <w:pPr>
        <w:ind w:firstLine="708"/>
      </w:pPr>
      <w:r w:rsidRPr="00D16DAC">
        <w:t>I. Eröffnung des Verwaltungsrechtswegs</w:t>
      </w:r>
      <w:r>
        <w:t xml:space="preserve"> (s. § 1 Rn. </w:t>
      </w:r>
      <w:r w:rsidR="0057061A">
        <w:t>8</w:t>
      </w:r>
      <w:r>
        <w:t> ff.)</w:t>
      </w:r>
      <w:r w:rsidR="003F18F9">
        <w:rPr>
          <w:rStyle w:val="Funotenzeichen"/>
        </w:rPr>
        <w:footnoteReference w:id="301"/>
      </w:r>
    </w:p>
    <w:p w14:paraId="11A877F3" w14:textId="5941C999" w:rsidR="00EF1CEB" w:rsidRPr="00D16DAC" w:rsidRDefault="00EF1CEB" w:rsidP="00EF1CEB">
      <w:pPr>
        <w:ind w:left="708"/>
      </w:pPr>
      <w:r w:rsidRPr="00D16DAC">
        <w:t>II. Statthafte Klageart (</w:t>
      </w:r>
      <w:r>
        <w:t>s. § 1 Rn. </w:t>
      </w:r>
      <w:r w:rsidR="0057061A">
        <w:t>6</w:t>
      </w:r>
      <w:r>
        <w:t> ff.)</w:t>
      </w:r>
      <w:r>
        <w:rPr>
          <w:rStyle w:val="Funotenzeichen"/>
        </w:rPr>
        <w:footnoteReference w:id="302"/>
      </w:r>
    </w:p>
    <w:p w14:paraId="04A8AB64" w14:textId="6EE99210" w:rsidR="00EF1CEB" w:rsidRDefault="00EF1CEB" w:rsidP="00EF1CEB">
      <w:pPr>
        <w:ind w:firstLine="708"/>
      </w:pPr>
      <w:r>
        <w:t>III. Klagebefugnis</w:t>
      </w:r>
      <w:r>
        <w:rPr>
          <w:rStyle w:val="Funotenzeichen"/>
        </w:rPr>
        <w:footnoteReference w:id="303"/>
      </w:r>
    </w:p>
    <w:p w14:paraId="55C3CD62" w14:textId="3883D816" w:rsidR="00EF1CEB" w:rsidRDefault="00EF1CEB" w:rsidP="00EF1CEB">
      <w:pPr>
        <w:ind w:firstLine="708"/>
      </w:pPr>
      <w:r>
        <w:t>IV. Beteiligte</w:t>
      </w:r>
      <w:r>
        <w:rPr>
          <w:rStyle w:val="Funotenzeichen"/>
        </w:rPr>
        <w:footnoteReference w:id="304"/>
      </w:r>
    </w:p>
    <w:p w14:paraId="53AAFFF5" w14:textId="42ED6FB9" w:rsidR="00EF1CEB" w:rsidRDefault="00EF1CEB" w:rsidP="00EF1CEB">
      <w:pPr>
        <w:ind w:firstLine="708"/>
      </w:pPr>
      <w:r>
        <w:t>V. Zuständiges Gericht</w:t>
      </w:r>
      <w:r>
        <w:rPr>
          <w:rStyle w:val="Funotenzeichen"/>
        </w:rPr>
        <w:footnoteReference w:id="305"/>
      </w:r>
    </w:p>
    <w:p w14:paraId="622A42FA" w14:textId="4D2992E6" w:rsidR="00EF1CEB" w:rsidRDefault="00EF1CEB" w:rsidP="00EF1CEB">
      <w:pPr>
        <w:ind w:firstLine="708"/>
      </w:pPr>
      <w:r>
        <w:t>VI. Feststellungsinteresse</w:t>
      </w:r>
      <w:r>
        <w:rPr>
          <w:rStyle w:val="Funotenzeichen"/>
        </w:rPr>
        <w:footnoteReference w:id="306"/>
      </w:r>
    </w:p>
    <w:p w14:paraId="0A585D05" w14:textId="1AADB7B8" w:rsidR="00EF1CEB" w:rsidRDefault="00EF1CEB" w:rsidP="00EF1CEB">
      <w:r>
        <w:t>B. Begründetheit</w:t>
      </w:r>
    </w:p>
    <w:p w14:paraId="7AF54761" w14:textId="4B59512E" w:rsidR="00EF1CEB" w:rsidRDefault="00EF1CEB" w:rsidP="00EF1CEB">
      <w:r>
        <w:t>Var</w:t>
      </w:r>
      <w:r w:rsidR="003F18F9">
        <w:t>iante</w:t>
      </w:r>
      <w:r>
        <w:t xml:space="preserve"> 1: „Klassische“ Feststellungsklage: Bestehen oder Nichtbestehen eines Rechtsverhältnisses</w:t>
      </w:r>
      <w:r w:rsidR="00D17035">
        <w:rPr>
          <w:rStyle w:val="Funotenzeichen"/>
        </w:rPr>
        <w:footnoteReference w:id="307"/>
      </w:r>
    </w:p>
    <w:p w14:paraId="2EC047C7" w14:textId="6BB12C63" w:rsidR="00EF1CEB" w:rsidRDefault="003F18F9" w:rsidP="00EF1CEB">
      <w:r>
        <w:t xml:space="preserve">Variante </w:t>
      </w:r>
      <w:r w:rsidR="00EF1CEB">
        <w:t>2: Nichtigkeitsfeststellungsklage</w:t>
      </w:r>
      <w:r w:rsidR="00D17035">
        <w:t>: Nichtigkeit des Verwaltungsakts</w:t>
      </w:r>
      <w:r w:rsidR="00D17035">
        <w:rPr>
          <w:rStyle w:val="Funotenzeichen"/>
        </w:rPr>
        <w:footnoteReference w:id="308"/>
      </w:r>
    </w:p>
    <w:p w14:paraId="16F24679" w14:textId="77777777" w:rsidR="00EF1CEB" w:rsidRDefault="00EF1CEB">
      <w:pPr>
        <w:jc w:val="left"/>
        <w:rPr>
          <w:rFonts w:asciiTheme="majorHAnsi" w:eastAsiaTheme="majorEastAsia" w:hAnsiTheme="majorHAnsi" w:cstheme="majorBidi"/>
          <w:b/>
          <w:sz w:val="24"/>
          <w:szCs w:val="28"/>
        </w:rPr>
      </w:pPr>
      <w:bookmarkStart w:id="410" w:name="_Toc10464239"/>
      <w:bookmarkStart w:id="411" w:name="_Toc13819094"/>
      <w:bookmarkStart w:id="412" w:name="Feststellungsklage"/>
      <w:r>
        <w:br w:type="page"/>
      </w:r>
    </w:p>
    <w:p w14:paraId="16DF2CF1" w14:textId="14C9EF8D" w:rsidR="00D814E5" w:rsidRDefault="00D814E5" w:rsidP="008779DD">
      <w:pPr>
        <w:pStyle w:val="berschrift2"/>
      </w:pPr>
      <w:bookmarkStart w:id="413" w:name="_Toc22132785"/>
      <w:r>
        <w:t>Fall 1</w:t>
      </w:r>
      <w:r w:rsidR="00F1012B">
        <w:t>1</w:t>
      </w:r>
      <w:r>
        <w:t>: Feststellungsklage</w:t>
      </w:r>
      <w:r w:rsidR="004D7C04">
        <w:t xml:space="preserve"> bei staatlicher Warnung im Internet vor einer Versammlung</w:t>
      </w:r>
      <w:r>
        <w:t>: „Lichter aus in Leipzig“</w:t>
      </w:r>
      <w:r w:rsidR="00F86980">
        <w:t xml:space="preserve"> (Kat</w:t>
      </w:r>
      <w:r w:rsidR="00872C67">
        <w:t>rin Giere)</w:t>
      </w:r>
      <w:bookmarkEnd w:id="410"/>
      <w:bookmarkEnd w:id="411"/>
      <w:bookmarkEnd w:id="413"/>
    </w:p>
    <w:p w14:paraId="5CB4937F" w14:textId="5F49F468" w:rsidR="0017745A" w:rsidRPr="0017745A" w:rsidRDefault="0017745A" w:rsidP="0017745A">
      <w:pPr>
        <w:pStyle w:val="Autorin"/>
      </w:pPr>
      <w:r>
        <w:t>Katrin Giere</w:t>
      </w:r>
    </w:p>
    <w:p w14:paraId="7E8C57DA" w14:textId="77777777" w:rsidR="00D814E5" w:rsidRPr="00D814E5" w:rsidRDefault="00D814E5" w:rsidP="005A16FB">
      <w:pPr>
        <w:pStyle w:val="Randnummer"/>
        <w:framePr w:wrap="around"/>
        <w:numPr>
          <w:ilvl w:val="0"/>
          <w:numId w:val="10"/>
        </w:numPr>
      </w:pPr>
    </w:p>
    <w:p w14:paraId="034814A6" w14:textId="0A9F3EBE" w:rsidR="002B7766" w:rsidRDefault="002B7766" w:rsidP="00D814E5">
      <w:r>
        <w:t xml:space="preserve">Sachverhalt und Lösung sind </w:t>
      </w:r>
      <w:r w:rsidRPr="0078733F">
        <w:t xml:space="preserve">angelehnt an </w:t>
      </w:r>
      <w:hyperlink r:id="rId55" w:history="1">
        <w:r w:rsidRPr="00D14356">
          <w:rPr>
            <w:rStyle w:val="Hyperlink"/>
          </w:rPr>
          <w:t>BVerwG, Urt. v. 13.9.2017, Az.: 10 C 6/16</w:t>
        </w:r>
      </w:hyperlink>
      <w:r>
        <w:t xml:space="preserve"> =</w:t>
      </w:r>
      <w:r w:rsidRPr="0078733F">
        <w:t xml:space="preserve"> NVwZ 2018, 433 ff.</w:t>
      </w:r>
    </w:p>
    <w:p w14:paraId="511B5142" w14:textId="77777777" w:rsidR="001D7163" w:rsidRDefault="001D7163" w:rsidP="001D7163">
      <w:pPr>
        <w:pStyle w:val="Randnummer"/>
        <w:framePr w:wrap="around"/>
      </w:pPr>
    </w:p>
    <w:p w14:paraId="596D7834" w14:textId="0DF22554" w:rsidR="002B7766" w:rsidRDefault="002B7766" w:rsidP="002B7766">
      <w:r>
        <w:t xml:space="preserve">Schwerpunkte/Lernziele: </w:t>
      </w:r>
      <w:r w:rsidR="00A8236D">
        <w:t>Abgrenzung</w:t>
      </w:r>
      <w:r>
        <w:t xml:space="preserve"> der allgemeinen Feststellungsklage zu anderen Klagearten (Subsidiarität</w:t>
      </w:r>
      <w:r w:rsidR="00A8236D">
        <w:t>s</w:t>
      </w:r>
      <w:r>
        <w:t xml:space="preserve">grundsatz); Anwendbarkeit des Subsidiaritätsgrundsatzes bei Hoheitsträger*innen; qualifiziertes Feststellungsinteresse bei vergangenen Rechtsverhältnissen; Rechtsgrundlage bei Realakten; </w:t>
      </w:r>
      <w:r w:rsidRPr="00044960">
        <w:rPr>
          <w:rFonts w:cs="Arial"/>
        </w:rPr>
        <w:t>Art. </w:t>
      </w:r>
      <w:r>
        <w:rPr>
          <w:rFonts w:cs="Arial"/>
        </w:rPr>
        <w:t>28 II GG und das Neutralitäts- und Sachlichkeitsgebot</w:t>
      </w:r>
    </w:p>
    <w:p w14:paraId="625E5EF3" w14:textId="77777777" w:rsidR="002B7766" w:rsidRDefault="002B7766" w:rsidP="00D814E5"/>
    <w:p w14:paraId="735C6BA5" w14:textId="2B3EAA8C" w:rsidR="00D814E5" w:rsidRPr="009D1F42" w:rsidRDefault="00D814E5" w:rsidP="0001383E">
      <w:pPr>
        <w:pStyle w:val="berschrift3"/>
      </w:pPr>
      <w:r w:rsidRPr="009D1F42">
        <w:t>Sachverhalt</w:t>
      </w:r>
    </w:p>
    <w:p w14:paraId="7C30FDFA" w14:textId="77777777" w:rsidR="00D814E5" w:rsidRPr="00D814E5" w:rsidRDefault="00D814E5" w:rsidP="00D814E5">
      <w:pPr>
        <w:pStyle w:val="Randnummer"/>
        <w:framePr w:wrap="around"/>
      </w:pPr>
    </w:p>
    <w:p w14:paraId="3B9A8A62" w14:textId="77777777" w:rsidR="00D814E5" w:rsidRPr="00D814E5" w:rsidRDefault="00D814E5" w:rsidP="00D814E5">
      <w:r w:rsidRPr="00D814E5">
        <w:t>X meldete im Dezember 2014 beim Polizeipräsidium der Stadt Leipzig (L) für den 12.1.2015 in der Zeit von 18.45 Uhr bis 22 Uhr eine öffentliche Versammlung mit dem Motto „Leipziger gegen die Islamisierung des Abendlandes“ an. Als Veranstalterin benannte sie die Vereinigung „Legida – Leipziger gegen die Islamisierung des Abendlandes“; sich selbst benannte X als verantwortliche Veranstaltungsleiterin. Das Polizeipräsidium der Stadt L bestätigte die Anmeldung der Versammlung mit Schreiben vom 8.1.2015.</w:t>
      </w:r>
    </w:p>
    <w:p w14:paraId="32BBABBE" w14:textId="5322B465" w:rsidR="00D814E5" w:rsidRPr="00D814E5" w:rsidRDefault="00D814E5" w:rsidP="00D814E5">
      <w:r w:rsidRPr="00D814E5">
        <w:t xml:space="preserve">Am 7.1.2015 wurde auf der Internetseite der </w:t>
      </w:r>
      <w:r w:rsidR="001D7163">
        <w:t xml:space="preserve">Stadt </w:t>
      </w:r>
      <w:r w:rsidRPr="00D814E5">
        <w:t>L folgender Text veröffentlicht:</w:t>
      </w:r>
    </w:p>
    <w:p w14:paraId="64B85F34" w14:textId="77777777" w:rsidR="00D814E5" w:rsidRPr="00D814E5" w:rsidRDefault="00D814E5" w:rsidP="00D814E5">
      <w:pPr>
        <w:rPr>
          <w:i/>
        </w:rPr>
      </w:pPr>
      <w:r w:rsidRPr="00D814E5">
        <w:rPr>
          <w:i/>
        </w:rPr>
        <w:t>„Lichter aus! L setzt Zeichen gegen Intoleranz</w:t>
      </w:r>
    </w:p>
    <w:p w14:paraId="10293D2A" w14:textId="19082E71" w:rsidR="00D814E5" w:rsidRPr="00D814E5" w:rsidRDefault="00D814E5" w:rsidP="00D814E5">
      <w:pPr>
        <w:rPr>
          <w:i/>
        </w:rPr>
      </w:pPr>
      <w:r w:rsidRPr="00D814E5">
        <w:rPr>
          <w:i/>
        </w:rPr>
        <w:t xml:space="preserve">Neben dem </w:t>
      </w:r>
      <w:r w:rsidR="0057061A">
        <w:rPr>
          <w:i/>
        </w:rPr>
        <w:t>Uni-Riesen</w:t>
      </w:r>
      <w:r w:rsidRPr="00D814E5">
        <w:rPr>
          <w:i/>
        </w:rPr>
        <w:t xml:space="preserve"> wird an weiteren markanten Gebäuden am Montagabend, 12.1., die Beleuchtung ausgeschaltet.</w:t>
      </w:r>
    </w:p>
    <w:p w14:paraId="191C1D9F" w14:textId="77777777" w:rsidR="00D814E5" w:rsidRPr="00D814E5" w:rsidRDefault="00D814E5" w:rsidP="00D814E5">
      <w:pPr>
        <w:rPr>
          <w:i/>
        </w:rPr>
      </w:pPr>
      <w:r w:rsidRPr="00D814E5">
        <w:rPr>
          <w:i/>
        </w:rPr>
        <w:t>Anlässlich der für Montagabend, 12.1.2015, in L angemeldeten Demonstration der ‚Legida‘-Bewegung (Anmelderin X) ruft Oberbürgermeister J alle Bewohnerinnen und Bewohner der Stadt L, örtliche Unternehmen und Geschäftsleute dazu auf, ‚Zeichen gegen Intoleranz und Rassismus‘ zu setzen und die Beleuchtung ihrer Gebäude (ausgenommen sicherheitsrelevante Lichter) am Montagabend ab 18.25 Uhr auszuschalten.</w:t>
      </w:r>
    </w:p>
    <w:p w14:paraId="66A91A6D" w14:textId="77777777" w:rsidR="00D814E5" w:rsidRPr="00D814E5" w:rsidRDefault="00D814E5" w:rsidP="00D814E5">
      <w:pPr>
        <w:rPr>
          <w:i/>
        </w:rPr>
      </w:pPr>
      <w:r w:rsidRPr="00D814E5">
        <w:rPr>
          <w:i/>
        </w:rPr>
        <w:t xml:space="preserve">Oberbürgermeister </w:t>
      </w:r>
      <w:r w:rsidRPr="00D814E5">
        <w:rPr>
          <w:i/>
          <w:iCs/>
        </w:rPr>
        <w:t>J</w:t>
      </w:r>
      <w:r w:rsidRPr="00D814E5">
        <w:rPr>
          <w:i/>
        </w:rPr>
        <w:t xml:space="preserve">: ‚Das ist das richtige Signal, dass in L kein Platz für das Schüren dumpfer Ängste und Ressentiments ist. L ist eine weltoffene Stadt, in der jeder willkommen ist.‘ </w:t>
      </w:r>
    </w:p>
    <w:p w14:paraId="0067B43F" w14:textId="64AF36FE" w:rsidR="00D814E5" w:rsidRPr="00D814E5" w:rsidRDefault="00D814E5" w:rsidP="00D814E5">
      <w:pPr>
        <w:rPr>
          <w:i/>
        </w:rPr>
      </w:pPr>
      <w:r w:rsidRPr="00D814E5">
        <w:rPr>
          <w:i/>
        </w:rPr>
        <w:t xml:space="preserve">Neben dem </w:t>
      </w:r>
      <w:r w:rsidR="0057061A">
        <w:rPr>
          <w:i/>
        </w:rPr>
        <w:t>Uni-Riesen</w:t>
      </w:r>
      <w:r w:rsidRPr="00D814E5">
        <w:rPr>
          <w:i/>
        </w:rPr>
        <w:t xml:space="preserve"> wird aufgrund der Initiative von Oberbürgermeister </w:t>
      </w:r>
      <w:r w:rsidRPr="00D814E5">
        <w:rPr>
          <w:i/>
          <w:iCs/>
        </w:rPr>
        <w:t>J</w:t>
      </w:r>
      <w:r w:rsidRPr="00D814E5">
        <w:rPr>
          <w:i/>
        </w:rPr>
        <w:t xml:space="preserve"> auch die Beleuchtung von Gebäuden entlang des Innenstadtrings, zum Beispiel die des Rathauses am Burgplatz und der Thomaskirche </w:t>
      </w:r>
      <w:r w:rsidR="0057061A">
        <w:rPr>
          <w:i/>
        </w:rPr>
        <w:t>ausgeschaltet</w:t>
      </w:r>
      <w:r w:rsidRPr="00D814E5">
        <w:rPr>
          <w:i/>
        </w:rPr>
        <w:t>. Auch andere historische Gebäude wie die Stadtbibliothek sind Teil der Aktion.</w:t>
      </w:r>
    </w:p>
    <w:p w14:paraId="257A96E7" w14:textId="77777777" w:rsidR="00D814E5" w:rsidRPr="00D814E5" w:rsidRDefault="00D814E5" w:rsidP="00D814E5">
      <w:pPr>
        <w:rPr>
          <w:i/>
        </w:rPr>
      </w:pPr>
      <w:r w:rsidRPr="00D814E5">
        <w:rPr>
          <w:i/>
        </w:rPr>
        <w:t>Zudem bittet Oberbürgermeister J, sich der Gegendemonstration ‚Bürgerinnen und Bürger für Demokratie und Vielfalt – Mit sächsischer Toleranz gegen Ausgrenzung und Hass‘ anzuschließen. Diese startet am Montag, 12.1., 17.30 Uhr.“</w:t>
      </w:r>
    </w:p>
    <w:p w14:paraId="6AFBD05E" w14:textId="501E6D50" w:rsidR="00D814E5" w:rsidRPr="00D814E5" w:rsidRDefault="00D814E5" w:rsidP="00D814E5">
      <w:r w:rsidRPr="00D814E5">
        <w:t>Die von X angemeldete Versammlung fand am 12.1.2015 statt. Während ihrer Dauer wurde die Beleuchtung des Rathauses sowie weiterer öffentlicher Gebäude ausgeschaltet. Die Erklärung wu</w:t>
      </w:r>
      <w:r w:rsidR="001D7163">
        <w:t>rde nach der Demonstration am 12</w:t>
      </w:r>
      <w:r w:rsidRPr="00D814E5">
        <w:t xml:space="preserve">.1.2015 von der Webseite der Stadt L heruntergenommen. </w:t>
      </w:r>
    </w:p>
    <w:p w14:paraId="59759411" w14:textId="57ED9934" w:rsidR="00D814E5" w:rsidRPr="00D814E5" w:rsidRDefault="00D814E5" w:rsidP="00D814E5">
      <w:r w:rsidRPr="00D814E5">
        <w:t>Im Februar 2015 hat die X, mit dem Begehren festzustellen, dass die in die Internetseite vom 7. bis 1</w:t>
      </w:r>
      <w:r w:rsidR="001D7163">
        <w:t>2</w:t>
      </w:r>
      <w:r w:rsidRPr="00D814E5">
        <w:t>.1.2015 eingestellte Erklärung des Oberbürgermeisters sowie das tatsächliche Ausschalten der Beleuchtung an öffentlichen Gebäuden der Stadt rechtswidrig gewesen sei, Klage gegen die Stadt L erhoben.</w:t>
      </w:r>
    </w:p>
    <w:p w14:paraId="0EBE3C00" w14:textId="77777777" w:rsidR="00D814E5" w:rsidRDefault="00D814E5" w:rsidP="00D814E5">
      <w:pPr>
        <w:rPr>
          <w:b/>
        </w:rPr>
      </w:pPr>
      <w:r w:rsidRPr="00D814E5">
        <w:rPr>
          <w:b/>
        </w:rPr>
        <w:t>Hat die Klage der X Aussicht auf Erfolg?</w:t>
      </w:r>
    </w:p>
    <w:p w14:paraId="0323A0F8" w14:textId="77777777" w:rsidR="00772351" w:rsidRPr="00D814E5" w:rsidRDefault="00772351" w:rsidP="00D814E5">
      <w:pPr>
        <w:rPr>
          <w:b/>
        </w:rPr>
      </w:pPr>
    </w:p>
    <w:p w14:paraId="33108E16" w14:textId="63972435" w:rsidR="00D814E5" w:rsidRDefault="00D814E5" w:rsidP="00D814E5">
      <w:r w:rsidRPr="00D814E5">
        <w:rPr>
          <w:b/>
        </w:rPr>
        <w:t xml:space="preserve">Bearbeitungsvermerk: </w:t>
      </w:r>
      <w:r w:rsidRPr="00D814E5">
        <w:t xml:space="preserve">Art. 8 I GG ist als einziges Grundrecht zu prüfen. </w:t>
      </w:r>
    </w:p>
    <w:p w14:paraId="1F532853" w14:textId="77777777" w:rsidR="0001383E" w:rsidRDefault="0001383E">
      <w:pPr>
        <w:jc w:val="left"/>
        <w:rPr>
          <w:rFonts w:ascii="Calibri" w:eastAsiaTheme="majorEastAsia" w:hAnsi="Calibri" w:cstheme="majorBidi"/>
          <w:sz w:val="26"/>
          <w:szCs w:val="26"/>
        </w:rPr>
      </w:pPr>
      <w:r>
        <w:br w:type="page"/>
      </w:r>
    </w:p>
    <w:p w14:paraId="06E95C53" w14:textId="31F857F5" w:rsidR="009D1F42" w:rsidRDefault="009D1F42" w:rsidP="0001383E">
      <w:pPr>
        <w:pStyle w:val="berschrift3"/>
      </w:pPr>
      <w:r>
        <w:t>Lösungsgliederung</w:t>
      </w:r>
    </w:p>
    <w:p w14:paraId="03071CAA" w14:textId="77777777" w:rsidR="009D1F42" w:rsidRDefault="009D1F42" w:rsidP="009D1F42">
      <w:pPr>
        <w:pStyle w:val="Randnummer"/>
        <w:framePr w:wrap="around"/>
      </w:pPr>
    </w:p>
    <w:p w14:paraId="24CB2A9A" w14:textId="7BFADE77" w:rsidR="007537A8" w:rsidRDefault="000434BF">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"Fall11" </w:instrText>
      </w:r>
      <w:r>
        <w:rPr>
          <w:rFonts w:eastAsiaTheme="majorEastAsia"/>
        </w:rPr>
        <w:fldChar w:fldCharType="separate"/>
      </w:r>
      <w:hyperlink w:anchor="_Toc22133241" w:history="1">
        <w:r w:rsidR="007537A8" w:rsidRPr="002A5115">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_Toc22133241 \h </w:instrText>
        </w:r>
        <w:r w:rsidR="007537A8">
          <w:rPr>
            <w:noProof/>
            <w:webHidden/>
          </w:rPr>
        </w:r>
        <w:r w:rsidR="007537A8">
          <w:rPr>
            <w:noProof/>
            <w:webHidden/>
          </w:rPr>
          <w:fldChar w:fldCharType="separate"/>
        </w:r>
        <w:r w:rsidR="007537A8">
          <w:rPr>
            <w:noProof/>
            <w:webHidden/>
          </w:rPr>
          <w:t>161</w:t>
        </w:r>
        <w:r w:rsidR="007537A8">
          <w:rPr>
            <w:noProof/>
            <w:webHidden/>
          </w:rPr>
          <w:fldChar w:fldCharType="end"/>
        </w:r>
      </w:hyperlink>
    </w:p>
    <w:p w14:paraId="212E1C4E" w14:textId="2880330E" w:rsidR="007537A8" w:rsidRDefault="00091FED">
      <w:pPr>
        <w:pStyle w:val="Verzeichnis4"/>
        <w:tabs>
          <w:tab w:val="right" w:leader="dot" w:pos="7361"/>
        </w:tabs>
        <w:rPr>
          <w:rFonts w:eastAsiaTheme="minorEastAsia"/>
          <w:noProof/>
          <w:sz w:val="22"/>
          <w:szCs w:val="22"/>
          <w:lang w:eastAsia="de-DE"/>
        </w:rPr>
      </w:pPr>
      <w:hyperlink w:anchor="_Toc22133242" w:history="1">
        <w:r w:rsidR="007537A8" w:rsidRPr="002A5115">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_Toc22133242 \h </w:instrText>
        </w:r>
        <w:r w:rsidR="007537A8">
          <w:rPr>
            <w:noProof/>
            <w:webHidden/>
          </w:rPr>
        </w:r>
        <w:r w:rsidR="007537A8">
          <w:rPr>
            <w:noProof/>
            <w:webHidden/>
          </w:rPr>
          <w:fldChar w:fldCharType="separate"/>
        </w:r>
        <w:r w:rsidR="007537A8">
          <w:rPr>
            <w:noProof/>
            <w:webHidden/>
          </w:rPr>
          <w:t>161</w:t>
        </w:r>
        <w:r w:rsidR="007537A8">
          <w:rPr>
            <w:noProof/>
            <w:webHidden/>
          </w:rPr>
          <w:fldChar w:fldCharType="end"/>
        </w:r>
      </w:hyperlink>
    </w:p>
    <w:p w14:paraId="0100A552" w14:textId="2E963A70" w:rsidR="007537A8" w:rsidRDefault="00091FED">
      <w:pPr>
        <w:pStyle w:val="Verzeichnis5"/>
        <w:tabs>
          <w:tab w:val="right" w:leader="dot" w:pos="7361"/>
        </w:tabs>
        <w:rPr>
          <w:rFonts w:eastAsiaTheme="minorEastAsia"/>
          <w:noProof/>
          <w:sz w:val="22"/>
          <w:szCs w:val="22"/>
          <w:lang w:eastAsia="de-DE"/>
        </w:rPr>
      </w:pPr>
      <w:hyperlink w:anchor="_Toc22133243" w:history="1">
        <w:r w:rsidR="007537A8" w:rsidRPr="002A5115">
          <w:rPr>
            <w:rStyle w:val="Hyperlink"/>
            <w:noProof/>
          </w:rPr>
          <w:t>I. Eröffnung des Verwaltungsrechtswegs, § 40 I 1 VwGO</w:t>
        </w:r>
        <w:r w:rsidR="007537A8">
          <w:rPr>
            <w:noProof/>
            <w:webHidden/>
          </w:rPr>
          <w:tab/>
        </w:r>
        <w:r w:rsidR="007537A8">
          <w:rPr>
            <w:noProof/>
            <w:webHidden/>
          </w:rPr>
          <w:fldChar w:fldCharType="begin"/>
        </w:r>
        <w:r w:rsidR="007537A8">
          <w:rPr>
            <w:noProof/>
            <w:webHidden/>
          </w:rPr>
          <w:instrText xml:space="preserve"> PAGEREF _Toc22133243 \h </w:instrText>
        </w:r>
        <w:r w:rsidR="007537A8">
          <w:rPr>
            <w:noProof/>
            <w:webHidden/>
          </w:rPr>
        </w:r>
        <w:r w:rsidR="007537A8">
          <w:rPr>
            <w:noProof/>
            <w:webHidden/>
          </w:rPr>
          <w:fldChar w:fldCharType="separate"/>
        </w:r>
        <w:r w:rsidR="007537A8">
          <w:rPr>
            <w:noProof/>
            <w:webHidden/>
          </w:rPr>
          <w:t>161</w:t>
        </w:r>
        <w:r w:rsidR="007537A8">
          <w:rPr>
            <w:noProof/>
            <w:webHidden/>
          </w:rPr>
          <w:fldChar w:fldCharType="end"/>
        </w:r>
      </w:hyperlink>
    </w:p>
    <w:p w14:paraId="10D2EB1F" w14:textId="2850FDAE" w:rsidR="007537A8" w:rsidRDefault="00091FED">
      <w:pPr>
        <w:pStyle w:val="Verzeichnis5"/>
        <w:tabs>
          <w:tab w:val="right" w:leader="dot" w:pos="7361"/>
        </w:tabs>
        <w:rPr>
          <w:rFonts w:eastAsiaTheme="minorEastAsia"/>
          <w:noProof/>
          <w:sz w:val="22"/>
          <w:szCs w:val="22"/>
          <w:lang w:eastAsia="de-DE"/>
        </w:rPr>
      </w:pPr>
      <w:hyperlink w:anchor="_Toc22133244" w:history="1">
        <w:r w:rsidR="007537A8" w:rsidRPr="002A5115">
          <w:rPr>
            <w:rStyle w:val="Hyperlink"/>
            <w:noProof/>
          </w:rPr>
          <w:t>II. Statthafte Klageart, § 43 I VwGO</w:t>
        </w:r>
        <w:r w:rsidR="007537A8">
          <w:rPr>
            <w:noProof/>
            <w:webHidden/>
          </w:rPr>
          <w:tab/>
        </w:r>
        <w:r w:rsidR="007537A8">
          <w:rPr>
            <w:noProof/>
            <w:webHidden/>
          </w:rPr>
          <w:fldChar w:fldCharType="begin"/>
        </w:r>
        <w:r w:rsidR="007537A8">
          <w:rPr>
            <w:noProof/>
            <w:webHidden/>
          </w:rPr>
          <w:instrText xml:space="preserve"> PAGEREF _Toc22133244 \h </w:instrText>
        </w:r>
        <w:r w:rsidR="007537A8">
          <w:rPr>
            <w:noProof/>
            <w:webHidden/>
          </w:rPr>
        </w:r>
        <w:r w:rsidR="007537A8">
          <w:rPr>
            <w:noProof/>
            <w:webHidden/>
          </w:rPr>
          <w:fldChar w:fldCharType="separate"/>
        </w:r>
        <w:r w:rsidR="007537A8">
          <w:rPr>
            <w:noProof/>
            <w:webHidden/>
          </w:rPr>
          <w:t>161</w:t>
        </w:r>
        <w:r w:rsidR="007537A8">
          <w:rPr>
            <w:noProof/>
            <w:webHidden/>
          </w:rPr>
          <w:fldChar w:fldCharType="end"/>
        </w:r>
      </w:hyperlink>
    </w:p>
    <w:p w14:paraId="0692BDD0" w14:textId="75AC34EA" w:rsidR="007537A8" w:rsidRDefault="00091FED">
      <w:pPr>
        <w:pStyle w:val="Verzeichnis6"/>
        <w:tabs>
          <w:tab w:val="right" w:leader="dot" w:pos="7361"/>
        </w:tabs>
        <w:rPr>
          <w:noProof/>
          <w:sz w:val="22"/>
          <w:szCs w:val="22"/>
          <w:lang w:eastAsia="de-DE"/>
        </w:rPr>
      </w:pPr>
      <w:hyperlink w:anchor="_Toc22133245" w:history="1">
        <w:r w:rsidR="007537A8" w:rsidRPr="002A5115">
          <w:rPr>
            <w:rStyle w:val="Hyperlink"/>
            <w:noProof/>
          </w:rPr>
          <w:t>1. Fortsetzungsfeststellungsklage, § 113 I 4 VwGO analog</w:t>
        </w:r>
        <w:r w:rsidR="007537A8">
          <w:rPr>
            <w:noProof/>
            <w:webHidden/>
          </w:rPr>
          <w:tab/>
        </w:r>
        <w:r w:rsidR="007537A8">
          <w:rPr>
            <w:noProof/>
            <w:webHidden/>
          </w:rPr>
          <w:fldChar w:fldCharType="begin"/>
        </w:r>
        <w:r w:rsidR="007537A8">
          <w:rPr>
            <w:noProof/>
            <w:webHidden/>
          </w:rPr>
          <w:instrText xml:space="preserve"> PAGEREF _Toc22133245 \h </w:instrText>
        </w:r>
        <w:r w:rsidR="007537A8">
          <w:rPr>
            <w:noProof/>
            <w:webHidden/>
          </w:rPr>
        </w:r>
        <w:r w:rsidR="007537A8">
          <w:rPr>
            <w:noProof/>
            <w:webHidden/>
          </w:rPr>
          <w:fldChar w:fldCharType="separate"/>
        </w:r>
        <w:r w:rsidR="007537A8">
          <w:rPr>
            <w:noProof/>
            <w:webHidden/>
          </w:rPr>
          <w:t>161</w:t>
        </w:r>
        <w:r w:rsidR="007537A8">
          <w:rPr>
            <w:noProof/>
            <w:webHidden/>
          </w:rPr>
          <w:fldChar w:fldCharType="end"/>
        </w:r>
      </w:hyperlink>
    </w:p>
    <w:p w14:paraId="4688805C" w14:textId="6F8F4044" w:rsidR="007537A8" w:rsidRDefault="00091FED">
      <w:pPr>
        <w:pStyle w:val="Verzeichnis6"/>
        <w:tabs>
          <w:tab w:val="right" w:leader="dot" w:pos="7361"/>
        </w:tabs>
        <w:rPr>
          <w:noProof/>
          <w:sz w:val="22"/>
          <w:szCs w:val="22"/>
          <w:lang w:eastAsia="de-DE"/>
        </w:rPr>
      </w:pPr>
      <w:hyperlink w:anchor="_Toc22133246" w:history="1">
        <w:r w:rsidR="007537A8" w:rsidRPr="002A5115">
          <w:rPr>
            <w:rStyle w:val="Hyperlink"/>
            <w:noProof/>
          </w:rPr>
          <w:t>2. (Negative) Feststellungsklage i. S. d. § 43 I Alt. 1 VwGO</w:t>
        </w:r>
        <w:r w:rsidR="007537A8">
          <w:rPr>
            <w:noProof/>
            <w:webHidden/>
          </w:rPr>
          <w:tab/>
        </w:r>
        <w:r w:rsidR="007537A8">
          <w:rPr>
            <w:noProof/>
            <w:webHidden/>
          </w:rPr>
          <w:fldChar w:fldCharType="begin"/>
        </w:r>
        <w:r w:rsidR="007537A8">
          <w:rPr>
            <w:noProof/>
            <w:webHidden/>
          </w:rPr>
          <w:instrText xml:space="preserve"> PAGEREF _Toc22133246 \h </w:instrText>
        </w:r>
        <w:r w:rsidR="007537A8">
          <w:rPr>
            <w:noProof/>
            <w:webHidden/>
          </w:rPr>
        </w:r>
        <w:r w:rsidR="007537A8">
          <w:rPr>
            <w:noProof/>
            <w:webHidden/>
          </w:rPr>
          <w:fldChar w:fldCharType="separate"/>
        </w:r>
        <w:r w:rsidR="007537A8">
          <w:rPr>
            <w:noProof/>
            <w:webHidden/>
          </w:rPr>
          <w:t>162</w:t>
        </w:r>
        <w:r w:rsidR="007537A8">
          <w:rPr>
            <w:noProof/>
            <w:webHidden/>
          </w:rPr>
          <w:fldChar w:fldCharType="end"/>
        </w:r>
      </w:hyperlink>
    </w:p>
    <w:p w14:paraId="7DB1168F" w14:textId="358544B7" w:rsidR="007537A8" w:rsidRDefault="00091FED">
      <w:pPr>
        <w:pStyle w:val="Verzeichnis7"/>
        <w:tabs>
          <w:tab w:val="right" w:leader="dot" w:pos="7361"/>
        </w:tabs>
        <w:rPr>
          <w:noProof/>
          <w:sz w:val="22"/>
          <w:szCs w:val="22"/>
          <w:lang w:eastAsia="de-DE"/>
        </w:rPr>
      </w:pPr>
      <w:hyperlink w:anchor="_Toc22133247" w:history="1">
        <w:r w:rsidR="007537A8" w:rsidRPr="002A5115">
          <w:rPr>
            <w:rStyle w:val="Hyperlink"/>
            <w:noProof/>
          </w:rPr>
          <w:t>a) Feststellungsfähiges Rechtsverhältnis</w:t>
        </w:r>
        <w:r w:rsidR="007537A8">
          <w:rPr>
            <w:noProof/>
            <w:webHidden/>
          </w:rPr>
          <w:tab/>
        </w:r>
        <w:r w:rsidR="007537A8">
          <w:rPr>
            <w:noProof/>
            <w:webHidden/>
          </w:rPr>
          <w:fldChar w:fldCharType="begin"/>
        </w:r>
        <w:r w:rsidR="007537A8">
          <w:rPr>
            <w:noProof/>
            <w:webHidden/>
          </w:rPr>
          <w:instrText xml:space="preserve"> PAGEREF _Toc22133247 \h </w:instrText>
        </w:r>
        <w:r w:rsidR="007537A8">
          <w:rPr>
            <w:noProof/>
            <w:webHidden/>
          </w:rPr>
        </w:r>
        <w:r w:rsidR="007537A8">
          <w:rPr>
            <w:noProof/>
            <w:webHidden/>
          </w:rPr>
          <w:fldChar w:fldCharType="separate"/>
        </w:r>
        <w:r w:rsidR="007537A8">
          <w:rPr>
            <w:noProof/>
            <w:webHidden/>
          </w:rPr>
          <w:t>162</w:t>
        </w:r>
        <w:r w:rsidR="007537A8">
          <w:rPr>
            <w:noProof/>
            <w:webHidden/>
          </w:rPr>
          <w:fldChar w:fldCharType="end"/>
        </w:r>
      </w:hyperlink>
    </w:p>
    <w:p w14:paraId="0DBB58E6" w14:textId="5A400622" w:rsidR="007537A8" w:rsidRDefault="00091FED">
      <w:pPr>
        <w:pStyle w:val="Verzeichnis7"/>
        <w:tabs>
          <w:tab w:val="right" w:leader="dot" w:pos="7361"/>
        </w:tabs>
        <w:rPr>
          <w:noProof/>
          <w:sz w:val="22"/>
          <w:szCs w:val="22"/>
          <w:lang w:eastAsia="de-DE"/>
        </w:rPr>
      </w:pPr>
      <w:hyperlink w:anchor="_Toc22133248" w:history="1">
        <w:r w:rsidR="007537A8" w:rsidRPr="002A5115">
          <w:rPr>
            <w:rStyle w:val="Hyperlink"/>
            <w:noProof/>
          </w:rPr>
          <w:t>b) Subsidiarität, § 43 II 1 VwGO</w:t>
        </w:r>
        <w:r w:rsidR="007537A8">
          <w:rPr>
            <w:noProof/>
            <w:webHidden/>
          </w:rPr>
          <w:tab/>
        </w:r>
        <w:r w:rsidR="007537A8">
          <w:rPr>
            <w:noProof/>
            <w:webHidden/>
          </w:rPr>
          <w:fldChar w:fldCharType="begin"/>
        </w:r>
        <w:r w:rsidR="007537A8">
          <w:rPr>
            <w:noProof/>
            <w:webHidden/>
          </w:rPr>
          <w:instrText xml:space="preserve"> PAGEREF _Toc22133248 \h </w:instrText>
        </w:r>
        <w:r w:rsidR="007537A8">
          <w:rPr>
            <w:noProof/>
            <w:webHidden/>
          </w:rPr>
        </w:r>
        <w:r w:rsidR="007537A8">
          <w:rPr>
            <w:noProof/>
            <w:webHidden/>
          </w:rPr>
          <w:fldChar w:fldCharType="separate"/>
        </w:r>
        <w:r w:rsidR="007537A8">
          <w:rPr>
            <w:noProof/>
            <w:webHidden/>
          </w:rPr>
          <w:t>163</w:t>
        </w:r>
        <w:r w:rsidR="007537A8">
          <w:rPr>
            <w:noProof/>
            <w:webHidden/>
          </w:rPr>
          <w:fldChar w:fldCharType="end"/>
        </w:r>
      </w:hyperlink>
    </w:p>
    <w:p w14:paraId="674E2739" w14:textId="75D628CF" w:rsidR="007537A8" w:rsidRDefault="00091FED">
      <w:pPr>
        <w:pStyle w:val="Verzeichnis5"/>
        <w:tabs>
          <w:tab w:val="right" w:leader="dot" w:pos="7361"/>
        </w:tabs>
        <w:rPr>
          <w:rFonts w:eastAsiaTheme="minorEastAsia"/>
          <w:noProof/>
          <w:sz w:val="22"/>
          <w:szCs w:val="22"/>
          <w:lang w:eastAsia="de-DE"/>
        </w:rPr>
      </w:pPr>
      <w:hyperlink w:anchor="_Toc22133249" w:history="1">
        <w:r w:rsidR="007537A8" w:rsidRPr="002A5115">
          <w:rPr>
            <w:rStyle w:val="Hyperlink"/>
            <w:noProof/>
          </w:rPr>
          <w:t>III. Klagebefugnis, § 42 II VwGO analog</w:t>
        </w:r>
        <w:r w:rsidR="007537A8">
          <w:rPr>
            <w:noProof/>
            <w:webHidden/>
          </w:rPr>
          <w:tab/>
        </w:r>
        <w:r w:rsidR="007537A8">
          <w:rPr>
            <w:noProof/>
            <w:webHidden/>
          </w:rPr>
          <w:fldChar w:fldCharType="begin"/>
        </w:r>
        <w:r w:rsidR="007537A8">
          <w:rPr>
            <w:noProof/>
            <w:webHidden/>
          </w:rPr>
          <w:instrText xml:space="preserve"> PAGEREF _Toc22133249 \h </w:instrText>
        </w:r>
        <w:r w:rsidR="007537A8">
          <w:rPr>
            <w:noProof/>
            <w:webHidden/>
          </w:rPr>
        </w:r>
        <w:r w:rsidR="007537A8">
          <w:rPr>
            <w:noProof/>
            <w:webHidden/>
          </w:rPr>
          <w:fldChar w:fldCharType="separate"/>
        </w:r>
        <w:r w:rsidR="007537A8">
          <w:rPr>
            <w:noProof/>
            <w:webHidden/>
          </w:rPr>
          <w:t>164</w:t>
        </w:r>
        <w:r w:rsidR="007537A8">
          <w:rPr>
            <w:noProof/>
            <w:webHidden/>
          </w:rPr>
          <w:fldChar w:fldCharType="end"/>
        </w:r>
      </w:hyperlink>
    </w:p>
    <w:p w14:paraId="3C43B456" w14:textId="158630C7" w:rsidR="007537A8" w:rsidRDefault="00091FED">
      <w:pPr>
        <w:pStyle w:val="Verzeichnis5"/>
        <w:tabs>
          <w:tab w:val="right" w:leader="dot" w:pos="7361"/>
        </w:tabs>
        <w:rPr>
          <w:rFonts w:eastAsiaTheme="minorEastAsia"/>
          <w:noProof/>
          <w:sz w:val="22"/>
          <w:szCs w:val="22"/>
          <w:lang w:eastAsia="de-DE"/>
        </w:rPr>
      </w:pPr>
      <w:hyperlink w:anchor="_Toc22133250" w:history="1">
        <w:r w:rsidR="007537A8" w:rsidRPr="002A5115">
          <w:rPr>
            <w:rStyle w:val="Hyperlink"/>
            <w:noProof/>
          </w:rPr>
          <w:t>IV. Richtige Klagegegner*in</w:t>
        </w:r>
        <w:r w:rsidR="007537A8">
          <w:rPr>
            <w:noProof/>
            <w:webHidden/>
          </w:rPr>
          <w:tab/>
        </w:r>
        <w:r w:rsidR="007537A8">
          <w:rPr>
            <w:noProof/>
            <w:webHidden/>
          </w:rPr>
          <w:fldChar w:fldCharType="begin"/>
        </w:r>
        <w:r w:rsidR="007537A8">
          <w:rPr>
            <w:noProof/>
            <w:webHidden/>
          </w:rPr>
          <w:instrText xml:space="preserve"> PAGEREF _Toc22133250 \h </w:instrText>
        </w:r>
        <w:r w:rsidR="007537A8">
          <w:rPr>
            <w:noProof/>
            <w:webHidden/>
          </w:rPr>
        </w:r>
        <w:r w:rsidR="007537A8">
          <w:rPr>
            <w:noProof/>
            <w:webHidden/>
          </w:rPr>
          <w:fldChar w:fldCharType="separate"/>
        </w:r>
        <w:r w:rsidR="007537A8">
          <w:rPr>
            <w:noProof/>
            <w:webHidden/>
          </w:rPr>
          <w:t>164</w:t>
        </w:r>
        <w:r w:rsidR="007537A8">
          <w:rPr>
            <w:noProof/>
            <w:webHidden/>
          </w:rPr>
          <w:fldChar w:fldCharType="end"/>
        </w:r>
      </w:hyperlink>
    </w:p>
    <w:p w14:paraId="0C6A2009" w14:textId="5E14A235" w:rsidR="007537A8" w:rsidRDefault="00091FED">
      <w:pPr>
        <w:pStyle w:val="Verzeichnis5"/>
        <w:tabs>
          <w:tab w:val="right" w:leader="dot" w:pos="7361"/>
        </w:tabs>
        <w:rPr>
          <w:rFonts w:eastAsiaTheme="minorEastAsia"/>
          <w:noProof/>
          <w:sz w:val="22"/>
          <w:szCs w:val="22"/>
          <w:lang w:eastAsia="de-DE"/>
        </w:rPr>
      </w:pPr>
      <w:hyperlink w:anchor="_Toc22133251" w:history="1">
        <w:r w:rsidR="007537A8" w:rsidRPr="002A5115">
          <w:rPr>
            <w:rStyle w:val="Hyperlink"/>
            <w:noProof/>
          </w:rPr>
          <w:t>V. Beteiligten- und Prozessfähigkeit, §§ 61 f. VwGO</w:t>
        </w:r>
        <w:r w:rsidR="007537A8">
          <w:rPr>
            <w:noProof/>
            <w:webHidden/>
          </w:rPr>
          <w:tab/>
        </w:r>
        <w:r w:rsidR="007537A8">
          <w:rPr>
            <w:noProof/>
            <w:webHidden/>
          </w:rPr>
          <w:fldChar w:fldCharType="begin"/>
        </w:r>
        <w:r w:rsidR="007537A8">
          <w:rPr>
            <w:noProof/>
            <w:webHidden/>
          </w:rPr>
          <w:instrText xml:space="preserve"> PAGEREF _Toc22133251 \h </w:instrText>
        </w:r>
        <w:r w:rsidR="007537A8">
          <w:rPr>
            <w:noProof/>
            <w:webHidden/>
          </w:rPr>
        </w:r>
        <w:r w:rsidR="007537A8">
          <w:rPr>
            <w:noProof/>
            <w:webHidden/>
          </w:rPr>
          <w:fldChar w:fldCharType="separate"/>
        </w:r>
        <w:r w:rsidR="007537A8">
          <w:rPr>
            <w:noProof/>
            <w:webHidden/>
          </w:rPr>
          <w:t>165</w:t>
        </w:r>
        <w:r w:rsidR="007537A8">
          <w:rPr>
            <w:noProof/>
            <w:webHidden/>
          </w:rPr>
          <w:fldChar w:fldCharType="end"/>
        </w:r>
      </w:hyperlink>
    </w:p>
    <w:p w14:paraId="5E5BB61C" w14:textId="0818522B" w:rsidR="007537A8" w:rsidRDefault="00091FED">
      <w:pPr>
        <w:pStyle w:val="Verzeichnis5"/>
        <w:tabs>
          <w:tab w:val="right" w:leader="dot" w:pos="7361"/>
        </w:tabs>
        <w:rPr>
          <w:rFonts w:eastAsiaTheme="minorEastAsia"/>
          <w:noProof/>
          <w:sz w:val="22"/>
          <w:szCs w:val="22"/>
          <w:lang w:eastAsia="de-DE"/>
        </w:rPr>
      </w:pPr>
      <w:hyperlink w:anchor="_Toc22133252" w:history="1">
        <w:r w:rsidR="007537A8" w:rsidRPr="002A5115">
          <w:rPr>
            <w:rStyle w:val="Hyperlink"/>
            <w:noProof/>
          </w:rPr>
          <w:t>VI. Zuständiges Gericht</w:t>
        </w:r>
        <w:r w:rsidR="007537A8">
          <w:rPr>
            <w:noProof/>
            <w:webHidden/>
          </w:rPr>
          <w:tab/>
        </w:r>
        <w:r w:rsidR="007537A8">
          <w:rPr>
            <w:noProof/>
            <w:webHidden/>
          </w:rPr>
          <w:fldChar w:fldCharType="begin"/>
        </w:r>
        <w:r w:rsidR="007537A8">
          <w:rPr>
            <w:noProof/>
            <w:webHidden/>
          </w:rPr>
          <w:instrText xml:space="preserve"> PAGEREF _Toc22133252 \h </w:instrText>
        </w:r>
        <w:r w:rsidR="007537A8">
          <w:rPr>
            <w:noProof/>
            <w:webHidden/>
          </w:rPr>
        </w:r>
        <w:r w:rsidR="007537A8">
          <w:rPr>
            <w:noProof/>
            <w:webHidden/>
          </w:rPr>
          <w:fldChar w:fldCharType="separate"/>
        </w:r>
        <w:r w:rsidR="007537A8">
          <w:rPr>
            <w:noProof/>
            <w:webHidden/>
          </w:rPr>
          <w:t>165</w:t>
        </w:r>
        <w:r w:rsidR="007537A8">
          <w:rPr>
            <w:noProof/>
            <w:webHidden/>
          </w:rPr>
          <w:fldChar w:fldCharType="end"/>
        </w:r>
      </w:hyperlink>
    </w:p>
    <w:p w14:paraId="7F663CE4" w14:textId="7DA007FF" w:rsidR="007537A8" w:rsidRDefault="00091FED">
      <w:pPr>
        <w:pStyle w:val="Verzeichnis5"/>
        <w:tabs>
          <w:tab w:val="right" w:leader="dot" w:pos="7361"/>
        </w:tabs>
        <w:rPr>
          <w:rFonts w:eastAsiaTheme="minorEastAsia"/>
          <w:noProof/>
          <w:sz w:val="22"/>
          <w:szCs w:val="22"/>
          <w:lang w:eastAsia="de-DE"/>
        </w:rPr>
      </w:pPr>
      <w:hyperlink w:anchor="_Toc22133253" w:history="1">
        <w:r w:rsidR="007537A8" w:rsidRPr="002A5115">
          <w:rPr>
            <w:rStyle w:val="Hyperlink"/>
            <w:noProof/>
          </w:rPr>
          <w:t>VII. Qualifiziertes Feststellungsinteresse</w:t>
        </w:r>
        <w:r w:rsidR="007537A8">
          <w:rPr>
            <w:noProof/>
            <w:webHidden/>
          </w:rPr>
          <w:tab/>
        </w:r>
        <w:r w:rsidR="007537A8">
          <w:rPr>
            <w:noProof/>
            <w:webHidden/>
          </w:rPr>
          <w:fldChar w:fldCharType="begin"/>
        </w:r>
        <w:r w:rsidR="007537A8">
          <w:rPr>
            <w:noProof/>
            <w:webHidden/>
          </w:rPr>
          <w:instrText xml:space="preserve"> PAGEREF _Toc22133253 \h </w:instrText>
        </w:r>
        <w:r w:rsidR="007537A8">
          <w:rPr>
            <w:noProof/>
            <w:webHidden/>
          </w:rPr>
        </w:r>
        <w:r w:rsidR="007537A8">
          <w:rPr>
            <w:noProof/>
            <w:webHidden/>
          </w:rPr>
          <w:fldChar w:fldCharType="separate"/>
        </w:r>
        <w:r w:rsidR="007537A8">
          <w:rPr>
            <w:noProof/>
            <w:webHidden/>
          </w:rPr>
          <w:t>165</w:t>
        </w:r>
        <w:r w:rsidR="007537A8">
          <w:rPr>
            <w:noProof/>
            <w:webHidden/>
          </w:rPr>
          <w:fldChar w:fldCharType="end"/>
        </w:r>
      </w:hyperlink>
    </w:p>
    <w:p w14:paraId="103AE62D" w14:textId="571A0597" w:rsidR="007537A8" w:rsidRDefault="00091FED">
      <w:pPr>
        <w:pStyle w:val="Verzeichnis5"/>
        <w:tabs>
          <w:tab w:val="right" w:leader="dot" w:pos="7361"/>
        </w:tabs>
        <w:rPr>
          <w:rFonts w:eastAsiaTheme="minorEastAsia"/>
          <w:noProof/>
          <w:sz w:val="22"/>
          <w:szCs w:val="22"/>
          <w:lang w:eastAsia="de-DE"/>
        </w:rPr>
      </w:pPr>
      <w:hyperlink w:anchor="_Toc22133254" w:history="1">
        <w:r w:rsidR="007537A8" w:rsidRPr="002A5115">
          <w:rPr>
            <w:rStyle w:val="Hyperlink"/>
            <w:noProof/>
          </w:rPr>
          <w:t>VIII. Ergebnis</w:t>
        </w:r>
        <w:r w:rsidR="007537A8">
          <w:rPr>
            <w:noProof/>
            <w:webHidden/>
          </w:rPr>
          <w:tab/>
        </w:r>
        <w:r w:rsidR="007537A8">
          <w:rPr>
            <w:noProof/>
            <w:webHidden/>
          </w:rPr>
          <w:fldChar w:fldCharType="begin"/>
        </w:r>
        <w:r w:rsidR="007537A8">
          <w:rPr>
            <w:noProof/>
            <w:webHidden/>
          </w:rPr>
          <w:instrText xml:space="preserve"> PAGEREF _Toc22133254 \h </w:instrText>
        </w:r>
        <w:r w:rsidR="007537A8">
          <w:rPr>
            <w:noProof/>
            <w:webHidden/>
          </w:rPr>
        </w:r>
        <w:r w:rsidR="007537A8">
          <w:rPr>
            <w:noProof/>
            <w:webHidden/>
          </w:rPr>
          <w:fldChar w:fldCharType="separate"/>
        </w:r>
        <w:r w:rsidR="007537A8">
          <w:rPr>
            <w:noProof/>
            <w:webHidden/>
          </w:rPr>
          <w:t>166</w:t>
        </w:r>
        <w:r w:rsidR="007537A8">
          <w:rPr>
            <w:noProof/>
            <w:webHidden/>
          </w:rPr>
          <w:fldChar w:fldCharType="end"/>
        </w:r>
      </w:hyperlink>
    </w:p>
    <w:p w14:paraId="3E9CFCD4" w14:textId="4D71B489" w:rsidR="007537A8" w:rsidRDefault="00091FED">
      <w:pPr>
        <w:pStyle w:val="Verzeichnis4"/>
        <w:tabs>
          <w:tab w:val="right" w:leader="dot" w:pos="7361"/>
        </w:tabs>
        <w:rPr>
          <w:rFonts w:eastAsiaTheme="minorEastAsia"/>
          <w:noProof/>
          <w:sz w:val="22"/>
          <w:szCs w:val="22"/>
          <w:lang w:eastAsia="de-DE"/>
        </w:rPr>
      </w:pPr>
      <w:hyperlink w:anchor="_Toc22133255" w:history="1">
        <w:r w:rsidR="007537A8" w:rsidRPr="002A5115">
          <w:rPr>
            <w:rStyle w:val="Hyperlink"/>
            <w:noProof/>
          </w:rPr>
          <w:t>B. Begründetheit</w:t>
        </w:r>
        <w:r w:rsidR="007537A8">
          <w:rPr>
            <w:noProof/>
            <w:webHidden/>
          </w:rPr>
          <w:tab/>
        </w:r>
        <w:r w:rsidR="007537A8">
          <w:rPr>
            <w:noProof/>
            <w:webHidden/>
          </w:rPr>
          <w:fldChar w:fldCharType="begin"/>
        </w:r>
        <w:r w:rsidR="007537A8">
          <w:rPr>
            <w:noProof/>
            <w:webHidden/>
          </w:rPr>
          <w:instrText xml:space="preserve"> PAGEREF _Toc22133255 \h </w:instrText>
        </w:r>
        <w:r w:rsidR="007537A8">
          <w:rPr>
            <w:noProof/>
            <w:webHidden/>
          </w:rPr>
        </w:r>
        <w:r w:rsidR="007537A8">
          <w:rPr>
            <w:noProof/>
            <w:webHidden/>
          </w:rPr>
          <w:fldChar w:fldCharType="separate"/>
        </w:r>
        <w:r w:rsidR="007537A8">
          <w:rPr>
            <w:noProof/>
            <w:webHidden/>
          </w:rPr>
          <w:t>166</w:t>
        </w:r>
        <w:r w:rsidR="007537A8">
          <w:rPr>
            <w:noProof/>
            <w:webHidden/>
          </w:rPr>
          <w:fldChar w:fldCharType="end"/>
        </w:r>
      </w:hyperlink>
    </w:p>
    <w:p w14:paraId="279C1880" w14:textId="540063AA" w:rsidR="007537A8" w:rsidRDefault="00091FED">
      <w:pPr>
        <w:pStyle w:val="Verzeichnis5"/>
        <w:tabs>
          <w:tab w:val="right" w:leader="dot" w:pos="7361"/>
        </w:tabs>
        <w:rPr>
          <w:rFonts w:eastAsiaTheme="minorEastAsia"/>
          <w:noProof/>
          <w:sz w:val="22"/>
          <w:szCs w:val="22"/>
          <w:lang w:eastAsia="de-DE"/>
        </w:rPr>
      </w:pPr>
      <w:hyperlink w:anchor="_Toc22133256" w:history="1">
        <w:r w:rsidR="007537A8" w:rsidRPr="002A5115">
          <w:rPr>
            <w:rStyle w:val="Hyperlink"/>
            <w:noProof/>
          </w:rPr>
          <w:t>I. Rechtmäßigkeit der Äußerungen des J</w:t>
        </w:r>
        <w:r w:rsidR="007537A8">
          <w:rPr>
            <w:noProof/>
            <w:webHidden/>
          </w:rPr>
          <w:tab/>
        </w:r>
        <w:r w:rsidR="007537A8">
          <w:rPr>
            <w:noProof/>
            <w:webHidden/>
          </w:rPr>
          <w:fldChar w:fldCharType="begin"/>
        </w:r>
        <w:r w:rsidR="007537A8">
          <w:rPr>
            <w:noProof/>
            <w:webHidden/>
          </w:rPr>
          <w:instrText xml:space="preserve"> PAGEREF _Toc22133256 \h </w:instrText>
        </w:r>
        <w:r w:rsidR="007537A8">
          <w:rPr>
            <w:noProof/>
            <w:webHidden/>
          </w:rPr>
        </w:r>
        <w:r w:rsidR="007537A8">
          <w:rPr>
            <w:noProof/>
            <w:webHidden/>
          </w:rPr>
          <w:fldChar w:fldCharType="separate"/>
        </w:r>
        <w:r w:rsidR="007537A8">
          <w:rPr>
            <w:noProof/>
            <w:webHidden/>
          </w:rPr>
          <w:t>166</w:t>
        </w:r>
        <w:r w:rsidR="007537A8">
          <w:rPr>
            <w:noProof/>
            <w:webHidden/>
          </w:rPr>
          <w:fldChar w:fldCharType="end"/>
        </w:r>
      </w:hyperlink>
    </w:p>
    <w:p w14:paraId="2A64A4EB" w14:textId="0F222F89" w:rsidR="007537A8" w:rsidRDefault="00091FED">
      <w:pPr>
        <w:pStyle w:val="Verzeichnis6"/>
        <w:tabs>
          <w:tab w:val="right" w:leader="dot" w:pos="7361"/>
        </w:tabs>
        <w:rPr>
          <w:noProof/>
          <w:sz w:val="22"/>
          <w:szCs w:val="22"/>
          <w:lang w:eastAsia="de-DE"/>
        </w:rPr>
      </w:pPr>
      <w:hyperlink w:anchor="_Toc22133257" w:history="1">
        <w:r w:rsidR="007537A8" w:rsidRPr="002A5115">
          <w:rPr>
            <w:rStyle w:val="Hyperlink"/>
            <w:noProof/>
          </w:rPr>
          <w:t>1. Ermächtigungsgrundlage</w:t>
        </w:r>
        <w:r w:rsidR="007537A8">
          <w:rPr>
            <w:noProof/>
            <w:webHidden/>
          </w:rPr>
          <w:tab/>
        </w:r>
        <w:r w:rsidR="007537A8">
          <w:rPr>
            <w:noProof/>
            <w:webHidden/>
          </w:rPr>
          <w:fldChar w:fldCharType="begin"/>
        </w:r>
        <w:r w:rsidR="007537A8">
          <w:rPr>
            <w:noProof/>
            <w:webHidden/>
          </w:rPr>
          <w:instrText xml:space="preserve"> PAGEREF _Toc22133257 \h </w:instrText>
        </w:r>
        <w:r w:rsidR="007537A8">
          <w:rPr>
            <w:noProof/>
            <w:webHidden/>
          </w:rPr>
        </w:r>
        <w:r w:rsidR="007537A8">
          <w:rPr>
            <w:noProof/>
            <w:webHidden/>
          </w:rPr>
          <w:fldChar w:fldCharType="separate"/>
        </w:r>
        <w:r w:rsidR="007537A8">
          <w:rPr>
            <w:noProof/>
            <w:webHidden/>
          </w:rPr>
          <w:t>166</w:t>
        </w:r>
        <w:r w:rsidR="007537A8">
          <w:rPr>
            <w:noProof/>
            <w:webHidden/>
          </w:rPr>
          <w:fldChar w:fldCharType="end"/>
        </w:r>
      </w:hyperlink>
    </w:p>
    <w:p w14:paraId="72178A9C" w14:textId="2CF72FE5" w:rsidR="007537A8" w:rsidRDefault="00091FED">
      <w:pPr>
        <w:pStyle w:val="Verzeichnis7"/>
        <w:tabs>
          <w:tab w:val="right" w:leader="dot" w:pos="7361"/>
        </w:tabs>
        <w:rPr>
          <w:noProof/>
          <w:sz w:val="22"/>
          <w:szCs w:val="22"/>
          <w:lang w:eastAsia="de-DE"/>
        </w:rPr>
      </w:pPr>
      <w:hyperlink w:anchor="_Toc22133258" w:history="1">
        <w:r w:rsidR="007537A8" w:rsidRPr="002A5115">
          <w:rPr>
            <w:rStyle w:val="Hyperlink"/>
            <w:noProof/>
          </w:rPr>
          <w:t>a) Eingriff in die Versammlungsfreiheit, Art. 8 I GG</w:t>
        </w:r>
        <w:r w:rsidR="007537A8">
          <w:rPr>
            <w:noProof/>
            <w:webHidden/>
          </w:rPr>
          <w:tab/>
        </w:r>
        <w:r w:rsidR="007537A8">
          <w:rPr>
            <w:noProof/>
            <w:webHidden/>
          </w:rPr>
          <w:fldChar w:fldCharType="begin"/>
        </w:r>
        <w:r w:rsidR="007537A8">
          <w:rPr>
            <w:noProof/>
            <w:webHidden/>
          </w:rPr>
          <w:instrText xml:space="preserve"> PAGEREF _Toc22133258 \h </w:instrText>
        </w:r>
        <w:r w:rsidR="007537A8">
          <w:rPr>
            <w:noProof/>
            <w:webHidden/>
          </w:rPr>
        </w:r>
        <w:r w:rsidR="007537A8">
          <w:rPr>
            <w:noProof/>
            <w:webHidden/>
          </w:rPr>
          <w:fldChar w:fldCharType="separate"/>
        </w:r>
        <w:r w:rsidR="007537A8">
          <w:rPr>
            <w:noProof/>
            <w:webHidden/>
          </w:rPr>
          <w:t>166</w:t>
        </w:r>
        <w:r w:rsidR="007537A8">
          <w:rPr>
            <w:noProof/>
            <w:webHidden/>
          </w:rPr>
          <w:fldChar w:fldCharType="end"/>
        </w:r>
      </w:hyperlink>
    </w:p>
    <w:p w14:paraId="0C2D6834" w14:textId="5474E487" w:rsidR="007537A8" w:rsidRDefault="00091FED">
      <w:pPr>
        <w:pStyle w:val="Verzeichnis7"/>
        <w:tabs>
          <w:tab w:val="right" w:leader="dot" w:pos="7361"/>
        </w:tabs>
        <w:rPr>
          <w:noProof/>
          <w:sz w:val="22"/>
          <w:szCs w:val="22"/>
          <w:lang w:eastAsia="de-DE"/>
        </w:rPr>
      </w:pPr>
      <w:hyperlink w:anchor="_Toc22133259" w:history="1">
        <w:r w:rsidR="007537A8" w:rsidRPr="002A5115">
          <w:rPr>
            <w:rStyle w:val="Hyperlink"/>
            <w:noProof/>
          </w:rPr>
          <w:t>b) Nötige Ermächtigungsgrundlage</w:t>
        </w:r>
        <w:r w:rsidR="007537A8">
          <w:rPr>
            <w:noProof/>
            <w:webHidden/>
          </w:rPr>
          <w:tab/>
        </w:r>
        <w:r w:rsidR="007537A8">
          <w:rPr>
            <w:noProof/>
            <w:webHidden/>
          </w:rPr>
          <w:fldChar w:fldCharType="begin"/>
        </w:r>
        <w:r w:rsidR="007537A8">
          <w:rPr>
            <w:noProof/>
            <w:webHidden/>
          </w:rPr>
          <w:instrText xml:space="preserve"> PAGEREF _Toc22133259 \h </w:instrText>
        </w:r>
        <w:r w:rsidR="007537A8">
          <w:rPr>
            <w:noProof/>
            <w:webHidden/>
          </w:rPr>
        </w:r>
        <w:r w:rsidR="007537A8">
          <w:rPr>
            <w:noProof/>
            <w:webHidden/>
          </w:rPr>
          <w:fldChar w:fldCharType="separate"/>
        </w:r>
        <w:r w:rsidR="007537A8">
          <w:rPr>
            <w:noProof/>
            <w:webHidden/>
          </w:rPr>
          <w:t>167</w:t>
        </w:r>
        <w:r w:rsidR="007537A8">
          <w:rPr>
            <w:noProof/>
            <w:webHidden/>
          </w:rPr>
          <w:fldChar w:fldCharType="end"/>
        </w:r>
      </w:hyperlink>
    </w:p>
    <w:p w14:paraId="45034B29" w14:textId="79ABC7A2" w:rsidR="007537A8" w:rsidRDefault="00091FED">
      <w:pPr>
        <w:pStyle w:val="Verzeichnis6"/>
        <w:tabs>
          <w:tab w:val="right" w:leader="dot" w:pos="7361"/>
        </w:tabs>
        <w:rPr>
          <w:noProof/>
          <w:sz w:val="22"/>
          <w:szCs w:val="22"/>
          <w:lang w:eastAsia="de-DE"/>
        </w:rPr>
      </w:pPr>
      <w:hyperlink w:anchor="_Toc22133260" w:history="1">
        <w:r w:rsidR="007537A8" w:rsidRPr="002A5115">
          <w:rPr>
            <w:rStyle w:val="Hyperlink"/>
            <w:noProof/>
          </w:rPr>
          <w:t>2. Rechtmäßigkeitsvoraussetzungen</w:t>
        </w:r>
        <w:r w:rsidR="007537A8">
          <w:rPr>
            <w:noProof/>
            <w:webHidden/>
          </w:rPr>
          <w:tab/>
        </w:r>
        <w:r w:rsidR="007537A8">
          <w:rPr>
            <w:noProof/>
            <w:webHidden/>
          </w:rPr>
          <w:fldChar w:fldCharType="begin"/>
        </w:r>
        <w:r w:rsidR="007537A8">
          <w:rPr>
            <w:noProof/>
            <w:webHidden/>
          </w:rPr>
          <w:instrText xml:space="preserve"> PAGEREF _Toc22133260 \h </w:instrText>
        </w:r>
        <w:r w:rsidR="007537A8">
          <w:rPr>
            <w:noProof/>
            <w:webHidden/>
          </w:rPr>
        </w:r>
        <w:r w:rsidR="007537A8">
          <w:rPr>
            <w:noProof/>
            <w:webHidden/>
          </w:rPr>
          <w:fldChar w:fldCharType="separate"/>
        </w:r>
        <w:r w:rsidR="007537A8">
          <w:rPr>
            <w:noProof/>
            <w:webHidden/>
          </w:rPr>
          <w:t>168</w:t>
        </w:r>
        <w:r w:rsidR="007537A8">
          <w:rPr>
            <w:noProof/>
            <w:webHidden/>
          </w:rPr>
          <w:fldChar w:fldCharType="end"/>
        </w:r>
      </w:hyperlink>
    </w:p>
    <w:p w14:paraId="2A674D8C" w14:textId="4E677DD6" w:rsidR="007537A8" w:rsidRDefault="00091FED">
      <w:pPr>
        <w:pStyle w:val="Verzeichnis7"/>
        <w:tabs>
          <w:tab w:val="right" w:leader="dot" w:pos="7361"/>
        </w:tabs>
        <w:rPr>
          <w:noProof/>
          <w:sz w:val="22"/>
          <w:szCs w:val="22"/>
          <w:lang w:eastAsia="de-DE"/>
        </w:rPr>
      </w:pPr>
      <w:hyperlink w:anchor="_Toc22133261" w:history="1">
        <w:r w:rsidR="007537A8" w:rsidRPr="002A5115">
          <w:rPr>
            <w:rStyle w:val="Hyperlink"/>
            <w:noProof/>
          </w:rPr>
          <w:t>a) Angelegenheiten der öffentlichen Gemeinde</w:t>
        </w:r>
        <w:r w:rsidR="007537A8">
          <w:rPr>
            <w:noProof/>
            <w:webHidden/>
          </w:rPr>
          <w:tab/>
        </w:r>
        <w:r w:rsidR="007537A8">
          <w:rPr>
            <w:noProof/>
            <w:webHidden/>
          </w:rPr>
          <w:fldChar w:fldCharType="begin"/>
        </w:r>
        <w:r w:rsidR="007537A8">
          <w:rPr>
            <w:noProof/>
            <w:webHidden/>
          </w:rPr>
          <w:instrText xml:space="preserve"> PAGEREF _Toc22133261 \h </w:instrText>
        </w:r>
        <w:r w:rsidR="007537A8">
          <w:rPr>
            <w:noProof/>
            <w:webHidden/>
          </w:rPr>
        </w:r>
        <w:r w:rsidR="007537A8">
          <w:rPr>
            <w:noProof/>
            <w:webHidden/>
          </w:rPr>
          <w:fldChar w:fldCharType="separate"/>
        </w:r>
        <w:r w:rsidR="007537A8">
          <w:rPr>
            <w:noProof/>
            <w:webHidden/>
          </w:rPr>
          <w:t>168</w:t>
        </w:r>
        <w:r w:rsidR="007537A8">
          <w:rPr>
            <w:noProof/>
            <w:webHidden/>
          </w:rPr>
          <w:fldChar w:fldCharType="end"/>
        </w:r>
      </w:hyperlink>
    </w:p>
    <w:p w14:paraId="5816ABAE" w14:textId="17243769" w:rsidR="007537A8" w:rsidRDefault="00091FED">
      <w:pPr>
        <w:pStyle w:val="Verzeichnis7"/>
        <w:tabs>
          <w:tab w:val="right" w:leader="dot" w:pos="7361"/>
        </w:tabs>
        <w:rPr>
          <w:noProof/>
          <w:sz w:val="22"/>
          <w:szCs w:val="22"/>
          <w:lang w:eastAsia="de-DE"/>
        </w:rPr>
      </w:pPr>
      <w:hyperlink w:anchor="_Toc22133262" w:history="1">
        <w:r w:rsidR="007537A8" w:rsidRPr="002A5115">
          <w:rPr>
            <w:rStyle w:val="Hyperlink"/>
            <w:noProof/>
          </w:rPr>
          <w:t>b) Neutralitätsgebot</w:t>
        </w:r>
        <w:r w:rsidR="007537A8">
          <w:rPr>
            <w:noProof/>
            <w:webHidden/>
          </w:rPr>
          <w:tab/>
        </w:r>
        <w:r w:rsidR="007537A8">
          <w:rPr>
            <w:noProof/>
            <w:webHidden/>
          </w:rPr>
          <w:fldChar w:fldCharType="begin"/>
        </w:r>
        <w:r w:rsidR="007537A8">
          <w:rPr>
            <w:noProof/>
            <w:webHidden/>
          </w:rPr>
          <w:instrText xml:space="preserve"> PAGEREF _Toc22133262 \h </w:instrText>
        </w:r>
        <w:r w:rsidR="007537A8">
          <w:rPr>
            <w:noProof/>
            <w:webHidden/>
          </w:rPr>
        </w:r>
        <w:r w:rsidR="007537A8">
          <w:rPr>
            <w:noProof/>
            <w:webHidden/>
          </w:rPr>
          <w:fldChar w:fldCharType="separate"/>
        </w:r>
        <w:r w:rsidR="007537A8">
          <w:rPr>
            <w:noProof/>
            <w:webHidden/>
          </w:rPr>
          <w:t>168</w:t>
        </w:r>
        <w:r w:rsidR="007537A8">
          <w:rPr>
            <w:noProof/>
            <w:webHidden/>
          </w:rPr>
          <w:fldChar w:fldCharType="end"/>
        </w:r>
      </w:hyperlink>
    </w:p>
    <w:p w14:paraId="78C51869" w14:textId="2F0F27A1" w:rsidR="007537A8" w:rsidRDefault="00091FED">
      <w:pPr>
        <w:pStyle w:val="Verzeichnis7"/>
        <w:tabs>
          <w:tab w:val="right" w:leader="dot" w:pos="7361"/>
        </w:tabs>
        <w:rPr>
          <w:noProof/>
          <w:sz w:val="22"/>
          <w:szCs w:val="22"/>
          <w:lang w:eastAsia="de-DE"/>
        </w:rPr>
      </w:pPr>
      <w:hyperlink w:anchor="_Toc22133263" w:history="1">
        <w:r w:rsidR="007537A8" w:rsidRPr="002A5115">
          <w:rPr>
            <w:rStyle w:val="Hyperlink"/>
            <w:noProof/>
          </w:rPr>
          <w:t>c) Sachlichkeitsgebot</w:t>
        </w:r>
        <w:r w:rsidR="007537A8">
          <w:rPr>
            <w:noProof/>
            <w:webHidden/>
          </w:rPr>
          <w:tab/>
        </w:r>
        <w:r w:rsidR="007537A8">
          <w:rPr>
            <w:noProof/>
            <w:webHidden/>
          </w:rPr>
          <w:fldChar w:fldCharType="begin"/>
        </w:r>
        <w:r w:rsidR="007537A8">
          <w:rPr>
            <w:noProof/>
            <w:webHidden/>
          </w:rPr>
          <w:instrText xml:space="preserve"> PAGEREF _Toc22133263 \h </w:instrText>
        </w:r>
        <w:r w:rsidR="007537A8">
          <w:rPr>
            <w:noProof/>
            <w:webHidden/>
          </w:rPr>
        </w:r>
        <w:r w:rsidR="007537A8">
          <w:rPr>
            <w:noProof/>
            <w:webHidden/>
          </w:rPr>
          <w:fldChar w:fldCharType="separate"/>
        </w:r>
        <w:r w:rsidR="007537A8">
          <w:rPr>
            <w:noProof/>
            <w:webHidden/>
          </w:rPr>
          <w:t>169</w:t>
        </w:r>
        <w:r w:rsidR="007537A8">
          <w:rPr>
            <w:noProof/>
            <w:webHidden/>
          </w:rPr>
          <w:fldChar w:fldCharType="end"/>
        </w:r>
      </w:hyperlink>
    </w:p>
    <w:p w14:paraId="3C466B0E" w14:textId="606A8F74" w:rsidR="007537A8" w:rsidRDefault="00091FED">
      <w:pPr>
        <w:pStyle w:val="Verzeichnis6"/>
        <w:tabs>
          <w:tab w:val="right" w:leader="dot" w:pos="7361"/>
        </w:tabs>
        <w:rPr>
          <w:noProof/>
          <w:sz w:val="22"/>
          <w:szCs w:val="22"/>
          <w:lang w:eastAsia="de-DE"/>
        </w:rPr>
      </w:pPr>
      <w:hyperlink w:anchor="_Toc22133264" w:history="1">
        <w:r w:rsidR="007537A8" w:rsidRPr="002A5115">
          <w:rPr>
            <w:rStyle w:val="Hyperlink"/>
            <w:noProof/>
          </w:rPr>
          <w:t>3. Zwischenergebnis</w:t>
        </w:r>
        <w:r w:rsidR="007537A8">
          <w:rPr>
            <w:noProof/>
            <w:webHidden/>
          </w:rPr>
          <w:tab/>
        </w:r>
        <w:r w:rsidR="007537A8">
          <w:rPr>
            <w:noProof/>
            <w:webHidden/>
          </w:rPr>
          <w:fldChar w:fldCharType="begin"/>
        </w:r>
        <w:r w:rsidR="007537A8">
          <w:rPr>
            <w:noProof/>
            <w:webHidden/>
          </w:rPr>
          <w:instrText xml:space="preserve"> PAGEREF _Toc22133264 \h </w:instrText>
        </w:r>
        <w:r w:rsidR="007537A8">
          <w:rPr>
            <w:noProof/>
            <w:webHidden/>
          </w:rPr>
        </w:r>
        <w:r w:rsidR="007537A8">
          <w:rPr>
            <w:noProof/>
            <w:webHidden/>
          </w:rPr>
          <w:fldChar w:fldCharType="separate"/>
        </w:r>
        <w:r w:rsidR="007537A8">
          <w:rPr>
            <w:noProof/>
            <w:webHidden/>
          </w:rPr>
          <w:t>170</w:t>
        </w:r>
        <w:r w:rsidR="007537A8">
          <w:rPr>
            <w:noProof/>
            <w:webHidden/>
          </w:rPr>
          <w:fldChar w:fldCharType="end"/>
        </w:r>
      </w:hyperlink>
    </w:p>
    <w:p w14:paraId="7485DC1D" w14:textId="30BBCC5A" w:rsidR="007537A8" w:rsidRDefault="00091FED">
      <w:pPr>
        <w:pStyle w:val="Verzeichnis5"/>
        <w:tabs>
          <w:tab w:val="right" w:leader="dot" w:pos="7361"/>
        </w:tabs>
        <w:rPr>
          <w:rFonts w:eastAsiaTheme="minorEastAsia"/>
          <w:noProof/>
          <w:sz w:val="22"/>
          <w:szCs w:val="22"/>
          <w:lang w:eastAsia="de-DE"/>
        </w:rPr>
      </w:pPr>
      <w:hyperlink w:anchor="_Toc22133265" w:history="1">
        <w:r w:rsidR="007537A8" w:rsidRPr="002A5115">
          <w:rPr>
            <w:rStyle w:val="Hyperlink"/>
            <w:noProof/>
          </w:rPr>
          <w:t>II. Verletzung der X in ihren Grundrechten</w:t>
        </w:r>
        <w:r w:rsidR="007537A8">
          <w:rPr>
            <w:noProof/>
            <w:webHidden/>
          </w:rPr>
          <w:tab/>
        </w:r>
        <w:r w:rsidR="007537A8">
          <w:rPr>
            <w:noProof/>
            <w:webHidden/>
          </w:rPr>
          <w:fldChar w:fldCharType="begin"/>
        </w:r>
        <w:r w:rsidR="007537A8">
          <w:rPr>
            <w:noProof/>
            <w:webHidden/>
          </w:rPr>
          <w:instrText xml:space="preserve"> PAGEREF _Toc22133265 \h </w:instrText>
        </w:r>
        <w:r w:rsidR="007537A8">
          <w:rPr>
            <w:noProof/>
            <w:webHidden/>
          </w:rPr>
        </w:r>
        <w:r w:rsidR="007537A8">
          <w:rPr>
            <w:noProof/>
            <w:webHidden/>
          </w:rPr>
          <w:fldChar w:fldCharType="separate"/>
        </w:r>
        <w:r w:rsidR="007537A8">
          <w:rPr>
            <w:noProof/>
            <w:webHidden/>
          </w:rPr>
          <w:t>170</w:t>
        </w:r>
        <w:r w:rsidR="007537A8">
          <w:rPr>
            <w:noProof/>
            <w:webHidden/>
          </w:rPr>
          <w:fldChar w:fldCharType="end"/>
        </w:r>
      </w:hyperlink>
    </w:p>
    <w:p w14:paraId="4E5A312E" w14:textId="5FF9D9B3" w:rsidR="007537A8" w:rsidRDefault="00091FED">
      <w:pPr>
        <w:pStyle w:val="Verzeichnis5"/>
        <w:tabs>
          <w:tab w:val="right" w:leader="dot" w:pos="7361"/>
        </w:tabs>
        <w:rPr>
          <w:rFonts w:eastAsiaTheme="minorEastAsia"/>
          <w:noProof/>
          <w:sz w:val="22"/>
          <w:szCs w:val="22"/>
          <w:lang w:eastAsia="de-DE"/>
        </w:rPr>
      </w:pPr>
      <w:hyperlink w:anchor="_Toc22133266" w:history="1">
        <w:r w:rsidR="007537A8" w:rsidRPr="002A5115">
          <w:rPr>
            <w:rStyle w:val="Hyperlink"/>
            <w:noProof/>
          </w:rPr>
          <w:t>III. Ergebnis</w:t>
        </w:r>
        <w:r w:rsidR="007537A8">
          <w:rPr>
            <w:noProof/>
            <w:webHidden/>
          </w:rPr>
          <w:tab/>
        </w:r>
        <w:r w:rsidR="007537A8">
          <w:rPr>
            <w:noProof/>
            <w:webHidden/>
          </w:rPr>
          <w:fldChar w:fldCharType="begin"/>
        </w:r>
        <w:r w:rsidR="007537A8">
          <w:rPr>
            <w:noProof/>
            <w:webHidden/>
          </w:rPr>
          <w:instrText xml:space="preserve"> PAGEREF _Toc22133266 \h </w:instrText>
        </w:r>
        <w:r w:rsidR="007537A8">
          <w:rPr>
            <w:noProof/>
            <w:webHidden/>
          </w:rPr>
        </w:r>
        <w:r w:rsidR="007537A8">
          <w:rPr>
            <w:noProof/>
            <w:webHidden/>
          </w:rPr>
          <w:fldChar w:fldCharType="separate"/>
        </w:r>
        <w:r w:rsidR="007537A8">
          <w:rPr>
            <w:noProof/>
            <w:webHidden/>
          </w:rPr>
          <w:t>170</w:t>
        </w:r>
        <w:r w:rsidR="007537A8">
          <w:rPr>
            <w:noProof/>
            <w:webHidden/>
          </w:rPr>
          <w:fldChar w:fldCharType="end"/>
        </w:r>
      </w:hyperlink>
    </w:p>
    <w:p w14:paraId="751D9A3C" w14:textId="0AE62E0A" w:rsidR="007537A8" w:rsidRDefault="00091FED">
      <w:pPr>
        <w:pStyle w:val="Verzeichnis4"/>
        <w:tabs>
          <w:tab w:val="right" w:leader="dot" w:pos="7361"/>
        </w:tabs>
        <w:rPr>
          <w:rFonts w:eastAsiaTheme="minorEastAsia"/>
          <w:noProof/>
          <w:sz w:val="22"/>
          <w:szCs w:val="22"/>
          <w:lang w:eastAsia="de-DE"/>
        </w:rPr>
      </w:pPr>
      <w:hyperlink w:anchor="_Toc22133267" w:history="1">
        <w:r w:rsidR="007537A8" w:rsidRPr="002A5115">
          <w:rPr>
            <w:rStyle w:val="Hyperlink"/>
            <w:noProof/>
          </w:rPr>
          <w:t>C. Gesamtergebnis</w:t>
        </w:r>
        <w:r w:rsidR="007537A8">
          <w:rPr>
            <w:noProof/>
            <w:webHidden/>
          </w:rPr>
          <w:tab/>
        </w:r>
        <w:r w:rsidR="007537A8">
          <w:rPr>
            <w:noProof/>
            <w:webHidden/>
          </w:rPr>
          <w:fldChar w:fldCharType="begin"/>
        </w:r>
        <w:r w:rsidR="007537A8">
          <w:rPr>
            <w:noProof/>
            <w:webHidden/>
          </w:rPr>
          <w:instrText xml:space="preserve"> PAGEREF _Toc22133267 \h </w:instrText>
        </w:r>
        <w:r w:rsidR="007537A8">
          <w:rPr>
            <w:noProof/>
            <w:webHidden/>
          </w:rPr>
        </w:r>
        <w:r w:rsidR="007537A8">
          <w:rPr>
            <w:noProof/>
            <w:webHidden/>
          </w:rPr>
          <w:fldChar w:fldCharType="separate"/>
        </w:r>
        <w:r w:rsidR="007537A8">
          <w:rPr>
            <w:noProof/>
            <w:webHidden/>
          </w:rPr>
          <w:t>170</w:t>
        </w:r>
        <w:r w:rsidR="007537A8">
          <w:rPr>
            <w:noProof/>
            <w:webHidden/>
          </w:rPr>
          <w:fldChar w:fldCharType="end"/>
        </w:r>
      </w:hyperlink>
    </w:p>
    <w:p w14:paraId="51C5F296" w14:textId="0BB2D88D" w:rsidR="0001383E" w:rsidRDefault="000434BF" w:rsidP="00261442">
      <w:pPr>
        <w:rPr>
          <w:rFonts w:ascii="Calibri" w:eastAsiaTheme="majorEastAsia" w:hAnsi="Calibri" w:cstheme="majorBidi"/>
          <w:sz w:val="26"/>
          <w:szCs w:val="26"/>
        </w:rPr>
      </w:pPr>
      <w:r>
        <w:rPr>
          <w:rFonts w:eastAsiaTheme="majorEastAsia"/>
        </w:rPr>
        <w:fldChar w:fldCharType="end"/>
      </w:r>
      <w:r w:rsidR="0001383E">
        <w:br w:type="page"/>
      </w:r>
    </w:p>
    <w:p w14:paraId="1D27C3C7" w14:textId="431B1440" w:rsidR="00D814E5" w:rsidRPr="009D1F42" w:rsidRDefault="00D814E5" w:rsidP="0001383E">
      <w:pPr>
        <w:pStyle w:val="berschrift3"/>
      </w:pPr>
      <w:bookmarkStart w:id="414" w:name="_Toc22133241"/>
      <w:bookmarkStart w:id="415" w:name="Fall11"/>
      <w:r w:rsidRPr="009D1F42">
        <w:t>Lösung</w:t>
      </w:r>
      <w:r w:rsidR="007F5EA3">
        <w:t>svorschlag</w:t>
      </w:r>
      <w:bookmarkEnd w:id="414"/>
      <w:r w:rsidRPr="009D1F42">
        <w:t xml:space="preserve"> </w:t>
      </w:r>
    </w:p>
    <w:p w14:paraId="69134619" w14:textId="77777777" w:rsidR="00D814E5" w:rsidRPr="00D814E5" w:rsidRDefault="00D814E5" w:rsidP="00D814E5">
      <w:pPr>
        <w:pStyle w:val="Randnummer"/>
        <w:framePr w:wrap="around"/>
      </w:pPr>
    </w:p>
    <w:p w14:paraId="05C62087" w14:textId="77777777" w:rsidR="00D814E5" w:rsidRPr="00D814E5" w:rsidRDefault="00D814E5" w:rsidP="00D814E5">
      <w:r w:rsidRPr="00D814E5">
        <w:t>Die Feststellungsklage gem. § 43 I Alt. 1 VwGO hat Aussicht auf Erfolg, wenn sie zulässig und begründet ist.</w:t>
      </w:r>
    </w:p>
    <w:p w14:paraId="1CDA8442" w14:textId="77777777" w:rsidR="00D814E5" w:rsidRPr="009D1F42" w:rsidRDefault="00D814E5" w:rsidP="005B6EF7">
      <w:pPr>
        <w:pStyle w:val="berschrift4"/>
      </w:pPr>
      <w:bookmarkStart w:id="416" w:name="_Toc22133242"/>
      <w:r w:rsidRPr="009D1F42">
        <w:t>A. Zulässigkeit</w:t>
      </w:r>
      <w:bookmarkEnd w:id="416"/>
    </w:p>
    <w:p w14:paraId="23750952" w14:textId="77777777" w:rsidR="00D814E5" w:rsidRDefault="00D814E5" w:rsidP="00D814E5">
      <w:pPr>
        <w:pStyle w:val="Randnummer"/>
        <w:framePr w:wrap="around"/>
      </w:pPr>
    </w:p>
    <w:p w14:paraId="061087B6" w14:textId="77777777" w:rsidR="00D814E5" w:rsidRPr="00D814E5" w:rsidRDefault="00D814E5" w:rsidP="00D814E5">
      <w:r w:rsidRPr="00D814E5">
        <w:t>Die Klage müsste zulässig sein.</w:t>
      </w:r>
      <w:r w:rsidRPr="00D814E5">
        <w:rPr>
          <w:u w:val="single"/>
        </w:rPr>
        <w:t xml:space="preserve"> </w:t>
      </w:r>
    </w:p>
    <w:p w14:paraId="4332F947" w14:textId="631DB9E1" w:rsidR="00D814E5" w:rsidRPr="009D1F42" w:rsidRDefault="005B6EF7" w:rsidP="005B6EF7">
      <w:pPr>
        <w:pStyle w:val="berschrift5"/>
      </w:pPr>
      <w:bookmarkStart w:id="417" w:name="_Toc22133243"/>
      <w:r>
        <w:t>I. Eröffnung d</w:t>
      </w:r>
      <w:r w:rsidR="00D814E5" w:rsidRPr="009D1F42">
        <w:t>es Verwaltungsrechtswegs, § 40 I 1 VwGO</w:t>
      </w:r>
      <w:bookmarkEnd w:id="417"/>
    </w:p>
    <w:p w14:paraId="5BF35944" w14:textId="77777777" w:rsidR="00D814E5" w:rsidRDefault="00D814E5" w:rsidP="00D814E5">
      <w:pPr>
        <w:pStyle w:val="Randnummer"/>
        <w:framePr w:wrap="around"/>
      </w:pPr>
    </w:p>
    <w:p w14:paraId="1592006C" w14:textId="77777777" w:rsidR="00D814E5" w:rsidRPr="005B6EF7" w:rsidRDefault="00D814E5" w:rsidP="00D814E5">
      <w:r w:rsidRPr="005B6EF7">
        <w:t>Der Verwaltungsrechtsweg müsste eröffnet sein. Mangels aufdrängender Sonderzuweisung richtet sich die Eröffnung des Verwaltungsrechtswegs nach § 40 I 1 VwGO. Danach ist der Verwaltungsrechtsweg für alle öffentlich-rechtlichen Streitigkeiten nichtverfassungsrechtlicher Art eröffnet.</w:t>
      </w:r>
    </w:p>
    <w:p w14:paraId="1D26EABB" w14:textId="69D87CCB" w:rsidR="00D814E5" w:rsidRPr="00D814E5" w:rsidRDefault="00D814E5" w:rsidP="00D814E5">
      <w:r w:rsidRPr="005B6EF7">
        <w:t>Eine öffentlich-rechtliche Streitigkeit liegt nach der modifizierten Subjektstheorie (</w:t>
      </w:r>
      <w:r w:rsidR="0057061A">
        <w:t>oder auch</w:t>
      </w:r>
      <w:r w:rsidRPr="005B6EF7">
        <w:t xml:space="preserve"> Sonderrechts- oder Zuordnungstheorie) vor, wenn die streitentscheidenden Normen öffentlich-rechtlich sind, </w:t>
      </w:r>
      <w:r w:rsidR="00620FA8" w:rsidRPr="005B6EF7">
        <w:t>d.h.</w:t>
      </w:r>
      <w:r w:rsidRPr="005B6EF7">
        <w:t xml:space="preserve"> einen Träger hoheitlicher Gewalt als solchen berechtigen oder verpflichten. Eine explizite und streitentscheidende Norm kommt im vorliegenden Fall jedoch nicht in Betracht. Viel</w:t>
      </w:r>
      <w:r w:rsidRPr="00D814E5">
        <w:t xml:space="preserve">mehr kommt es auf die Inanspruchnahme öffentlicher Ressourcen und die daraus folgende Außenwahrnehmung an. Laut Sachverhalt hat Oberbürgermeister J als Amtsträger öffentliche Ressourcen genutzt, um den Aufruf bekannt zu </w:t>
      </w:r>
      <w:r w:rsidR="001D7163">
        <w:t>geben</w:t>
      </w:r>
      <w:r w:rsidRPr="00D814E5">
        <w:t xml:space="preserve">. Dabei kann die Betätigung als Amtsträger allein noch nicht darauf hinweisen, dass eine öffentlich-rechtliche Streitigkeit vorliegt. J hat den Aufruf auf der Internetseite der Stadt L aber als Bürgermeister und für alle Bürger*innen der Stadt wahrnehmbar veröffentlicht. Die Gesamtschau der Umstände </w:t>
      </w:r>
      <w:r w:rsidR="0057061A">
        <w:t>lässt</w:t>
      </w:r>
      <w:r w:rsidRPr="00D814E5">
        <w:t xml:space="preserve"> auf eine öffentlich-rechtliche Streitigkeit schließen.</w:t>
      </w:r>
    </w:p>
    <w:p w14:paraId="7907C3F3" w14:textId="77777777" w:rsidR="00D814E5" w:rsidRPr="00D814E5" w:rsidRDefault="00D814E5" w:rsidP="00D814E5">
      <w:r w:rsidRPr="00D814E5">
        <w:t xml:space="preserve">Mangels doppelter Verfassungsunmittelbarkeit und abdrängender Sonderzuweisung ist der Verwaltungsrechtsweg gem. § 40 I 1 VwGO eröffnet. </w:t>
      </w:r>
    </w:p>
    <w:p w14:paraId="39F52E13" w14:textId="77777777" w:rsidR="00D814E5" w:rsidRPr="009D1F42" w:rsidRDefault="00D814E5" w:rsidP="005B6EF7">
      <w:pPr>
        <w:pStyle w:val="berschrift5"/>
      </w:pPr>
      <w:bookmarkStart w:id="418" w:name="_Toc22133244"/>
      <w:r w:rsidRPr="009D1F42">
        <w:t>II. Statthafte Klageart, § 43 I VwGO</w:t>
      </w:r>
      <w:bookmarkEnd w:id="418"/>
    </w:p>
    <w:p w14:paraId="7042D52D" w14:textId="77777777" w:rsidR="00D814E5" w:rsidRDefault="00D814E5" w:rsidP="00D814E5">
      <w:pPr>
        <w:pStyle w:val="Randnummer"/>
        <w:framePr w:wrap="around"/>
      </w:pPr>
    </w:p>
    <w:p w14:paraId="0DF55EDB" w14:textId="777DCBBF" w:rsidR="00D814E5" w:rsidRPr="00D814E5" w:rsidRDefault="00D814E5" w:rsidP="00D814E5">
      <w:r w:rsidRPr="00D814E5">
        <w:t>Es müsste eine nach der VwGO vorgesehene Klageart statthaft sein. Diese richtet sich nach dem Klagebegehren, § 88 VwGO. Die X begehrt festzustellen, dass die auf der Internetpräsenz der L vom 7.1. bis 1</w:t>
      </w:r>
      <w:r w:rsidR="001D7163">
        <w:t>2</w:t>
      </w:r>
      <w:r w:rsidRPr="00D814E5">
        <w:t>.1.2015 eingestellte Erklärung des Oberbürgermeisters sowie das tatsächliche Ausschalten der Beleuchtung an öffentlichen Gebäuden der Stadt rechtswidrig gewesen ist. Mithin kommt nur eine auf Feststellung gerichtete Klageart in Betracht.</w:t>
      </w:r>
    </w:p>
    <w:p w14:paraId="1944A3C5" w14:textId="77777777" w:rsidR="00D814E5" w:rsidRPr="009D1F42" w:rsidRDefault="00D814E5" w:rsidP="005B6EF7">
      <w:pPr>
        <w:pStyle w:val="berschrift6"/>
      </w:pPr>
      <w:bookmarkStart w:id="419" w:name="_Toc22133245"/>
      <w:r w:rsidRPr="009D1F42">
        <w:t>1. Fortsetzungsfeststellungsklage, § 113 I 4 VwGO analog</w:t>
      </w:r>
      <w:bookmarkEnd w:id="419"/>
    </w:p>
    <w:p w14:paraId="4EF90A7F" w14:textId="77777777" w:rsidR="00D814E5" w:rsidRDefault="00D814E5" w:rsidP="00D814E5">
      <w:pPr>
        <w:pStyle w:val="Randnummer"/>
        <w:framePr w:wrap="around"/>
      </w:pPr>
    </w:p>
    <w:p w14:paraId="794B767C" w14:textId="20F158FD" w:rsidR="00D814E5" w:rsidRPr="00D814E5" w:rsidRDefault="00D814E5" w:rsidP="00D814E5">
      <w:r w:rsidRPr="00D814E5">
        <w:t>Es kö</w:t>
      </w:r>
      <w:r w:rsidRPr="005B6EF7">
        <w:t xml:space="preserve">nnte eine Fortsetzungsfeststellungsklage § 113 I 4 VwGO analog statthaft sein. Diese ist statthaft, wenn die Klage der X auf Feststellung der Rechtswidrigkeit eines (erledigten) </w:t>
      </w:r>
      <w:r w:rsidR="00DA1B70" w:rsidRPr="005B6EF7">
        <w:t>Verwaltungsakts</w:t>
      </w:r>
      <w:r w:rsidRPr="005B6EF7">
        <w:t xml:space="preserve"> gerichtet ist. Die Erklärung des J auf der Internetseite der Stadt L müsste mithin ein Verwaltungsakt i. S. d. § 35 </w:t>
      </w:r>
      <w:r w:rsidR="00E91AF0" w:rsidRPr="005B6EF7">
        <w:t>1</w:t>
      </w:r>
      <w:r w:rsidRPr="005B6EF7">
        <w:t xml:space="preserve"> VwVfG gewesen sein. Fraglich erscheint insoweit das Merkmal der Regelung. Ein</w:t>
      </w:r>
      <w:r w:rsidRPr="00D814E5">
        <w:t xml:space="preserve">e solche liegt vor, wenn die Maßnahme eine einseitige, zielgerichtete, unmittelbare und </w:t>
      </w:r>
      <w:r w:rsidRPr="005B6EF7">
        <w:t>verbindliche Anordnung einer Rechtsfolge</w:t>
      </w:r>
      <w:r w:rsidRPr="00D814E5">
        <w:t xml:space="preserve"> herbeiführen soll. Im vorliegenden Fall enthält der Aufruf des J auf der Internetseite der Stadt L keine unmittelbar und verbindlich an X gerichtete Anordnung einer Rechtsfolge, sodass ein Ge- oder Verbot gegenüber der X nicht vorliegt. Mithin erfolgte das hoheitliche Handeln nicht in Form des </w:t>
      </w:r>
      <w:r w:rsidR="00DA1B70">
        <w:t>Verwaltungsakts</w:t>
      </w:r>
      <w:r w:rsidRPr="00D814E5">
        <w:t>. Die Fortsetzungsfeststellungsklage analog § 113 I 4 VwGO ist nicht statthaft.</w:t>
      </w:r>
    </w:p>
    <w:p w14:paraId="5F0D5C8B" w14:textId="77777777" w:rsidR="00D814E5" w:rsidRPr="009D1F42" w:rsidRDefault="00D814E5" w:rsidP="005B6EF7">
      <w:pPr>
        <w:pStyle w:val="berschrift6"/>
      </w:pPr>
      <w:bookmarkStart w:id="420" w:name="_Toc22133246"/>
      <w:r w:rsidRPr="009D1F42">
        <w:t>2. (Negative) Feststellungsklage i. S. d. § 43 I Alt. 1 VwGO</w:t>
      </w:r>
      <w:bookmarkEnd w:id="420"/>
    </w:p>
    <w:p w14:paraId="43147A63" w14:textId="77777777" w:rsidR="00D814E5" w:rsidRDefault="00D814E5" w:rsidP="00D814E5">
      <w:pPr>
        <w:pStyle w:val="Randnummer"/>
        <w:framePr w:wrap="around"/>
      </w:pPr>
    </w:p>
    <w:p w14:paraId="1EA4371C" w14:textId="77777777" w:rsidR="00D814E5" w:rsidRPr="00D814E5" w:rsidRDefault="00D814E5" w:rsidP="00D814E5">
      <w:pPr>
        <w:rPr>
          <w:b/>
        </w:rPr>
      </w:pPr>
      <w:r w:rsidRPr="00D814E5">
        <w:t>Mangels gegebenen Verwaltungsaktcharakters könnte die allgemeine (negative) Feststellungsklage i. S. d. § 43 I Alt. 1 VwGO richtige Klageart sein.</w:t>
      </w:r>
    </w:p>
    <w:p w14:paraId="1CE2F541" w14:textId="77777777" w:rsidR="00D814E5" w:rsidRPr="009D1F42" w:rsidRDefault="00D814E5" w:rsidP="005B6EF7">
      <w:pPr>
        <w:pStyle w:val="berschrift7"/>
      </w:pPr>
      <w:bookmarkStart w:id="421" w:name="_Toc22133247"/>
      <w:r w:rsidRPr="009D1F42">
        <w:t>a) Feststellungsfähiges Rechtsverhältnis</w:t>
      </w:r>
      <w:bookmarkEnd w:id="421"/>
    </w:p>
    <w:p w14:paraId="03A7F00D" w14:textId="77777777" w:rsidR="00D814E5" w:rsidRDefault="00D814E5" w:rsidP="00D814E5">
      <w:pPr>
        <w:pStyle w:val="Randnummer"/>
        <w:framePr w:wrap="around"/>
      </w:pPr>
    </w:p>
    <w:p w14:paraId="49E78E69" w14:textId="77777777" w:rsidR="00D814E5" w:rsidRPr="005B6EF7" w:rsidRDefault="00D814E5" w:rsidP="00D814E5">
      <w:r w:rsidRPr="00D814E5">
        <w:t xml:space="preserve">Die Feststellungsklage ist dann statthaft, wenn die X durch die Klage die Feststellung des </w:t>
      </w:r>
      <w:r w:rsidRPr="005B6EF7">
        <w:t>Bestehens oder Nichtbestehens eines Rechtsverhältnisses begehrt. Ein feststellungsfähiges Rechtsverhältnis ist eine sich aus einem konkreten Sachverhalt ergebende öffentlich-rechtliche Beziehung einer Person zu einer anderen Person oder zu einer Sache. Auch der Inhalt eines vergangenen Rechtsverhältnisses kann zum Gegenstand einer Feststellungsklage gemacht werden, also solche, die sich zum Zeitpunkt der gerichtlichen Entscheidung bereits erledigt haben.</w:t>
      </w:r>
      <w:r w:rsidRPr="005B6EF7">
        <w:rPr>
          <w:vertAlign w:val="superscript"/>
        </w:rPr>
        <w:footnoteReference w:id="309"/>
      </w:r>
    </w:p>
    <w:p w14:paraId="534F3D24" w14:textId="7A347579" w:rsidR="00D814E5" w:rsidRPr="00D814E5" w:rsidRDefault="00D814E5" w:rsidP="00D814E5">
      <w:r w:rsidRPr="005B6EF7">
        <w:t xml:space="preserve">Das Rechtsverhältnis könnte </w:t>
      </w:r>
      <w:r w:rsidR="001D7163" w:rsidRPr="005B6EF7">
        <w:t>vorliegend</w:t>
      </w:r>
      <w:r w:rsidRPr="005B6EF7">
        <w:t xml:space="preserve"> zwischen der Stadt L und der X bestehen. Feststellungsfähig ist es dann, wenn es auf einem konkreten Sachverhalt beruht, mithin wenn das Geschehen mit Blick auf einen Einzelfall zeitlich und örtlich festgelegt ist und die Beteiligten individualisiert sind, es sich mithin durch einen „Auslöser“ verdichtet hat. Laut Sachverhalt steht in Frage, ob der Oberbürgermeister der L mit den in Rede stehenden Maßnahmen unzulässig in Grundrechte der X eingegriffen hat. Sein Aufruf richtet sich unmittelbar und konkret gegen die von X angemeldete Versammlung sowie die damit verbundene Meinungskund</w:t>
      </w:r>
      <w:r w:rsidRPr="00D814E5">
        <w:t>gabe. Die Beteiligten –</w:t>
      </w:r>
      <w:r w:rsidR="00A566D1">
        <w:t xml:space="preserve"> </w:t>
      </w:r>
      <w:r w:rsidRPr="00D814E5">
        <w:t>der Oberbürgermeister und die X – sind damit individualisiert, das Geschehen ist mit den konkreten Angaben zur Versammlung auch zeitlich und örtlich festgelegt. Die Äußerungen können die X in ihren Grundrechten der Versammlungsfreiheit (Art. 8 I GG) und der Meinungsfreiheit (Art. 5 I GG) betreffen, sodass auch ein „Auslöser“ das Geschehen zu einem konkreten Sachverhalt verdichtet.</w:t>
      </w:r>
      <w:r w:rsidRPr="00D814E5">
        <w:rPr>
          <w:vertAlign w:val="superscript"/>
        </w:rPr>
        <w:footnoteReference w:id="310"/>
      </w:r>
      <w:r w:rsidRPr="00D814E5">
        <w:t xml:space="preserve"> Darüber hinaus stellt das Rechtsverhältnis eine öffentlich-rechtliche Beziehung dar, sie beruht auf einem Realakt.</w:t>
      </w:r>
      <w:r w:rsidRPr="00D814E5">
        <w:rPr>
          <w:vertAlign w:val="superscript"/>
        </w:rPr>
        <w:footnoteReference w:id="311"/>
      </w:r>
    </w:p>
    <w:p w14:paraId="21E9769B" w14:textId="77777777" w:rsidR="00D814E5" w:rsidRPr="00D814E5" w:rsidRDefault="00D814E5" w:rsidP="00D814E5">
      <w:r w:rsidRPr="00D814E5">
        <w:t>Folglich besteht ein feststellungsfähiges Rechtsverhältnis zwischen L und X, das auf einem konkreten Sachverhalt, nämlich dem möglichen unmittelbaren und konkreten Eingriff in die Grundrechte der X, beruht. Dass es bereits in der Vergangenheit liegt, schadet nicht.</w:t>
      </w:r>
      <w:r w:rsidRPr="00D814E5">
        <w:rPr>
          <w:vertAlign w:val="superscript"/>
        </w:rPr>
        <w:footnoteReference w:id="312"/>
      </w:r>
      <w:r w:rsidRPr="00D814E5">
        <w:t xml:space="preserve"> </w:t>
      </w:r>
    </w:p>
    <w:p w14:paraId="1477DAB3" w14:textId="77777777" w:rsidR="00D814E5" w:rsidRPr="009D1F42" w:rsidRDefault="00D814E5" w:rsidP="005B6EF7">
      <w:pPr>
        <w:pStyle w:val="berschrift7"/>
      </w:pPr>
      <w:bookmarkStart w:id="422" w:name="_Toc22133248"/>
      <w:r w:rsidRPr="009D1F42">
        <w:t>b) Subsidiarität, § 43 II 1 VwGO</w:t>
      </w:r>
      <w:bookmarkEnd w:id="422"/>
    </w:p>
    <w:p w14:paraId="05950588" w14:textId="77777777" w:rsidR="00D814E5" w:rsidRDefault="00D814E5" w:rsidP="00D814E5">
      <w:pPr>
        <w:pStyle w:val="Randnummer"/>
        <w:framePr w:wrap="around"/>
      </w:pPr>
    </w:p>
    <w:p w14:paraId="550DB5F4" w14:textId="77777777" w:rsidR="00D814E5" w:rsidRPr="00D814E5" w:rsidRDefault="00D814E5" w:rsidP="00D814E5">
      <w:r w:rsidRPr="00D814E5">
        <w:t xml:space="preserve">Der Statthaftigkeit der Feststellungsklage dürfte der Grundsatz der Subsidiarität gem. § 43 II 1 VwGO nicht entgegenstehen. X kann die Feststellung dann nicht begehren, wenn sie ihre Rechte durch </w:t>
      </w:r>
      <w:r w:rsidRPr="005B6EF7">
        <w:t xml:space="preserve">Gestaltungs- oder Leistungsklage </w:t>
      </w:r>
      <w:r w:rsidRPr="00D814E5">
        <w:t>(besser) verfolgen kann oder hätte verfolgen können.</w:t>
      </w:r>
    </w:p>
    <w:p w14:paraId="0A0A42F0" w14:textId="0C07F8C4" w:rsidR="00D814E5" w:rsidRPr="00D814E5" w:rsidRDefault="001D7163" w:rsidP="00D814E5">
      <w:r>
        <w:t xml:space="preserve">Dies könnte jedoch dahinstehen, wenn </w:t>
      </w:r>
      <w:r w:rsidR="00D814E5" w:rsidRPr="00D814E5">
        <w:t xml:space="preserve">der Subsidiaritätsgrundsatz bei der Klage gegen den Oberbürgermeister J als Hoheitsträger überhaupt </w:t>
      </w:r>
      <w:r>
        <w:t xml:space="preserve">keine </w:t>
      </w:r>
      <w:r w:rsidR="00D814E5" w:rsidRPr="00D814E5">
        <w:t>Anwendung</w:t>
      </w:r>
      <w:r>
        <w:t xml:space="preserve"> fände</w:t>
      </w:r>
      <w:r w:rsidR="00D814E5" w:rsidRPr="00D814E5">
        <w:t>. Nach einer Ansicht wird § 43 II 1VwGO bei Klagen gegen öffentliche Entscheidungsträger nicht angewendet. Begründet wird dies damit, dass diese Beklagten aufgrund der Rechtsbindung der Verwaltung (Art.</w:t>
      </w:r>
      <w:r w:rsidR="00A566D1">
        <w:t xml:space="preserve"> </w:t>
      </w:r>
      <w:r w:rsidR="00D814E5" w:rsidRPr="00D814E5">
        <w:t>20 III GG) das Urteil auch ohne Vollstreckungsfähigkeit akzeptieren würden (sog. „Ehrenmanntheorie“). § 43 II 1 VwGO ist hiernach ausnahmsweise nicht anzuwenden.</w:t>
      </w:r>
    </w:p>
    <w:p w14:paraId="46B696E0" w14:textId="77777777" w:rsidR="00D814E5" w:rsidRPr="00D814E5" w:rsidRDefault="00D814E5" w:rsidP="00D814E5">
      <w:r w:rsidRPr="00D814E5">
        <w:t>Nach anderer Ansicht lässt der Wortlaut des § 43 II 1 VwGO eine solche Ausnahme nicht zu. Darüber hinaus widerspreche diese Ausnahme dem Willen des Gesetzgebers, nämlich den effektiven Rechtsschutz durch die Subsidiaritätsklausel zu sichern. Nach dieser Meinung ist auch in diesem Fall § 43 II 1 VwGO anzuwenden.</w:t>
      </w:r>
      <w:r w:rsidRPr="00D814E5">
        <w:rPr>
          <w:vertAlign w:val="superscript"/>
        </w:rPr>
        <w:footnoteReference w:id="313"/>
      </w:r>
    </w:p>
    <w:p w14:paraId="162DEA40" w14:textId="7A804F32" w:rsidR="001D7163" w:rsidRPr="00D814E5" w:rsidRDefault="00D814E5" w:rsidP="00D814E5">
      <w:r w:rsidRPr="00D814E5">
        <w:t>Beide Ansichten führen zu unterschiedlichen Ergebnissen, sodass ein Streitentscheid erforderlich ist. Der zweiten Ansicht ist zugutezuhalten, dass der Wortlaut des § 43 II 1 VwGO eine solche Ausnahme nicht zulässt. Darüber hinaus kann für die zweite Ansicht § 172 VwGO als Argument herangezogen werden</w:t>
      </w:r>
      <w:r w:rsidR="001D7163">
        <w:t>.</w:t>
      </w:r>
      <w:r w:rsidRPr="00D814E5">
        <w:t xml:space="preserve"> Danach wird Behörden ein Zwangsgeld auferlegt, wenn s</w:t>
      </w:r>
      <w:r w:rsidRPr="005B6EF7">
        <w:t>ie ihren durch Urteil auferlegten Pflichten nicht nachkommen. Dies spricht dafür, dass sich hoheitliche Entscheidungsträger trotz der Rechtsbindung der Verwaltung nicht immer an Pflichten aus Urteilen halten. In der Konsequenz ist eine Feststellungsklage auch gegenüber öffentlichen Entscheidungsträgern subsidiär.</w:t>
      </w:r>
    </w:p>
    <w:p w14:paraId="1D073C79" w14:textId="77777777" w:rsidR="00D814E5" w:rsidRPr="00D814E5" w:rsidRDefault="00D814E5" w:rsidP="00D814E5">
      <w:r w:rsidRPr="00D814E5">
        <w:t>Es ist mithin zu prüfen, ob der Statthaftigkeit der Feststellungsklage der Grundsatz der Subsidiarität gem. § 43 II 1 VwGO entgegensteht.</w:t>
      </w:r>
    </w:p>
    <w:p w14:paraId="39A79D9D" w14:textId="0907242C" w:rsidR="00D814E5" w:rsidRPr="00D814E5" w:rsidRDefault="00D814E5" w:rsidP="00D814E5">
      <w:r w:rsidRPr="00D814E5">
        <w:t>Im vorliegenden Fall handelt es sich bei der in Rede stehenden Maßnahme des J, dem Aufruf auf der besagten Internetseite, die Lichter als Zeichen gegen die von X veranstaltete Demonstration auszus</w:t>
      </w:r>
      <w:r w:rsidR="00A8236D">
        <w:t>chalten, mangels Verwaltungsakt</w:t>
      </w:r>
      <w:r w:rsidRPr="00D814E5">
        <w:t>qualität, um einen Realakt.</w:t>
      </w:r>
      <w:r w:rsidRPr="00D814E5">
        <w:rPr>
          <w:vertAlign w:val="superscript"/>
        </w:rPr>
        <w:footnoteReference w:id="314"/>
      </w:r>
      <w:r w:rsidRPr="00D814E5">
        <w:t xml:space="preserve"> Somit sind weder Anfechtungs- noch Verpflichtungsklage statthaft.</w:t>
      </w:r>
    </w:p>
    <w:p w14:paraId="6E565797" w14:textId="77777777" w:rsidR="00D814E5" w:rsidRPr="00D814E5" w:rsidRDefault="00D814E5" w:rsidP="00D814E5">
      <w:r w:rsidRPr="00D814E5">
        <w:t>Es könnte jedoch eine (vorbeugende) Unterlassungsklage als Unterfall der allgemeinen Leistungsklage</w:t>
      </w:r>
      <w:r w:rsidRPr="00D814E5">
        <w:rPr>
          <w:vertAlign w:val="superscript"/>
        </w:rPr>
        <w:footnoteReference w:id="315"/>
      </w:r>
      <w:r w:rsidRPr="00D814E5">
        <w:t xml:space="preserve"> statthaft sein. Diese ist dann statthaft, wenn die Abwehr einer künftigen Rechtsverletzung durch schlicht-hoheitliches Verhalten begehrt wird. Laut Sachverhalt begehrt die X hingegen eine in der Vergangenheit liegende Handlung auf ihre Rechtmäßigkeit hin überprüfen zu lassen. Eine vorbeugende Unterlassungsklage ist nicht statthaft.</w:t>
      </w:r>
    </w:p>
    <w:p w14:paraId="016B279B" w14:textId="0310476E" w:rsidR="00D814E5" w:rsidRPr="00D814E5" w:rsidRDefault="00D814E5" w:rsidP="00D814E5">
      <w:r w:rsidRPr="00D814E5">
        <w:t>Der Grundsatz der Subsidiarität</w:t>
      </w:r>
      <w:r w:rsidRPr="00D814E5">
        <w:rPr>
          <w:vertAlign w:val="superscript"/>
        </w:rPr>
        <w:footnoteReference w:id="316"/>
      </w:r>
      <w:r w:rsidRPr="00D814E5">
        <w:t xml:space="preserve"> steht der Statthaftigkeit der Feststellungsklage somit nicht im Wege.</w:t>
      </w:r>
    </w:p>
    <w:p w14:paraId="06DB2095" w14:textId="77777777" w:rsidR="00D814E5" w:rsidRPr="009D1F42" w:rsidRDefault="00D814E5" w:rsidP="005B6EF7">
      <w:pPr>
        <w:pStyle w:val="berschrift5"/>
      </w:pPr>
      <w:bookmarkStart w:id="423" w:name="_Toc22133249"/>
      <w:r w:rsidRPr="009D1F42">
        <w:t>III. Klagebefugnis, § 42 II VwGO analog</w:t>
      </w:r>
      <w:bookmarkEnd w:id="423"/>
    </w:p>
    <w:p w14:paraId="2290F7E4" w14:textId="77777777" w:rsidR="00D814E5" w:rsidRDefault="00D814E5" w:rsidP="00D814E5">
      <w:pPr>
        <w:pStyle w:val="Randnummer"/>
        <w:framePr w:wrap="around"/>
      </w:pPr>
    </w:p>
    <w:p w14:paraId="1F7D9B3F" w14:textId="77777777" w:rsidR="00D814E5" w:rsidRPr="00D814E5" w:rsidRDefault="00D814E5" w:rsidP="00D814E5">
      <w:r w:rsidRPr="00D814E5">
        <w:t>Fraglich ist, ob X nach § 42 II VwGO analog klagebefugt sein muss.</w:t>
      </w:r>
      <w:r w:rsidRPr="00D814E5">
        <w:rPr>
          <w:vertAlign w:val="superscript"/>
        </w:rPr>
        <w:footnoteReference w:id="317"/>
      </w:r>
      <w:r w:rsidRPr="00D814E5">
        <w:t xml:space="preserve"> Klagebefugt ist die Antragsteller*in (bei Anfechtungs- und Verpflichtungsklagen) dann, wenn sie geltend macht, möglicherweise in ihren subjektiv-öffentlichen Rechten verletzt zu sein. Ob die Klagebefugnis (analog) neben dem Feststellungsinteresse des § 43 II 1 VwGO erforderlich ist, ist umstritten. </w:t>
      </w:r>
    </w:p>
    <w:p w14:paraId="30B977D2" w14:textId="652F72AB" w:rsidR="00D814E5" w:rsidRPr="00D814E5" w:rsidRDefault="00D814E5" w:rsidP="00D814E5">
      <w:r w:rsidRPr="00D814E5">
        <w:t xml:space="preserve">Nach einer Ansicht ist die Klagebefugnis analog § 42 II VwGO anzuwenden, um dem Interesse des Ausschlusses einer Popularklage auch im Rahmen der Feststellungsklage gerecht zu werden. </w:t>
      </w:r>
    </w:p>
    <w:p w14:paraId="563690C3" w14:textId="77777777" w:rsidR="00D814E5" w:rsidRPr="00D814E5" w:rsidRDefault="00D814E5" w:rsidP="00D814E5">
      <w:r w:rsidRPr="00D814E5">
        <w:t xml:space="preserve">Nach einer anderen Ansicht kann § 42 II VwGO dementgegen deshalb nicht analog angewendet werden, weil im Bereich der Feststellungsklage bereits keine Regelungslücke besteht. Popularklagen werden bereits durch das Erfordernis des Feststellungsinteresses und des konkreten feststellungsfähigen Rechtsverhältnisses ausgeschlossen. Danach ist eine Klagebefugnis grundsätzlich nicht erforderlich, wenn bereits ein qualifiziertes Rechtsschutzbedürfnis (an der Feststellung) besteht. </w:t>
      </w:r>
    </w:p>
    <w:p w14:paraId="065C6664" w14:textId="7BC59FD3" w:rsidR="00D814E5" w:rsidRPr="00D814E5" w:rsidRDefault="00D814E5" w:rsidP="00D814E5">
      <w:r w:rsidRPr="00D814E5">
        <w:t xml:space="preserve">Ein Streitentscheid kann an dieser Stelle jedoch dahinstehen. Vorliegend ist es nicht von vorneherein ausgeschlossen, dass X in ihren Grundrechten auf Versammlungsfreiheit aus Art. 8 I GG verletzt ist. Sie ist somit klagebefugt und </w:t>
      </w:r>
      <w:r w:rsidR="001D7163">
        <w:t>erfüllt die strengeren Anforderungen der Auffassung, die eine Klagebefugnis nach § 42 II VwGO analog voraussetzt</w:t>
      </w:r>
      <w:r w:rsidRPr="00D814E5">
        <w:t>.</w:t>
      </w:r>
    </w:p>
    <w:p w14:paraId="21D0C885" w14:textId="77777777" w:rsidR="00D814E5" w:rsidRPr="009D1F42" w:rsidRDefault="00D814E5" w:rsidP="005B6EF7">
      <w:pPr>
        <w:pStyle w:val="berschrift5"/>
      </w:pPr>
      <w:bookmarkStart w:id="424" w:name="_Toc22133250"/>
      <w:r w:rsidRPr="009D1F42">
        <w:t>IV. Richtige Klagegegner*in</w:t>
      </w:r>
      <w:bookmarkEnd w:id="424"/>
    </w:p>
    <w:p w14:paraId="2E82B0C3" w14:textId="77777777" w:rsidR="00D814E5" w:rsidRDefault="00D814E5" w:rsidP="00D814E5">
      <w:pPr>
        <w:pStyle w:val="Randnummer"/>
        <w:framePr w:wrap="around"/>
      </w:pPr>
    </w:p>
    <w:p w14:paraId="61A96703" w14:textId="3B8C9E84" w:rsidR="00D814E5" w:rsidRPr="00D814E5" w:rsidRDefault="00D814E5" w:rsidP="00D814E5">
      <w:r w:rsidRPr="00D814E5">
        <w:t>Die Klage der X müsste sich gegen die richtige Klagegegner*in richten. Im Rahmen der allgemeinen Feststellungsklage richtet sich dies nach dem allgemeinen Rechtsträgerprinzip.</w:t>
      </w:r>
      <w:r w:rsidRPr="00D814E5">
        <w:rPr>
          <w:vertAlign w:val="superscript"/>
        </w:rPr>
        <w:footnoteReference w:id="318"/>
      </w:r>
      <w:r w:rsidRPr="00D814E5">
        <w:t xml:space="preserve"> Danach ist die Stadt L Rechtsträgerin des Oberbürgermeisters J.</w:t>
      </w:r>
      <w:r w:rsidRPr="00D814E5">
        <w:rPr>
          <w:vertAlign w:val="superscript"/>
        </w:rPr>
        <w:footnoteReference w:id="319"/>
      </w:r>
      <w:r w:rsidRPr="00D814E5">
        <w:t xml:space="preserve"> Die Klage wurde laut Sachverhalt auch gegen L und damit die richtige Klagegegnerin gerichtet.</w:t>
      </w:r>
    </w:p>
    <w:p w14:paraId="3AE1CFFB" w14:textId="77777777" w:rsidR="00D814E5" w:rsidRPr="009D1F42" w:rsidRDefault="00D814E5" w:rsidP="005B6EF7">
      <w:pPr>
        <w:pStyle w:val="berschrift5"/>
      </w:pPr>
      <w:bookmarkStart w:id="425" w:name="_Toc22133251"/>
      <w:r w:rsidRPr="009D1F42">
        <w:t>V. Beteiligten- und Prozessfähigkeit, §§ 61 f. VwGO</w:t>
      </w:r>
      <w:bookmarkEnd w:id="425"/>
      <w:r w:rsidRPr="009D1F42">
        <w:t xml:space="preserve"> </w:t>
      </w:r>
    </w:p>
    <w:p w14:paraId="66C3E588" w14:textId="77777777" w:rsidR="00D814E5" w:rsidRDefault="00D814E5" w:rsidP="00D814E5">
      <w:pPr>
        <w:pStyle w:val="Randnummer"/>
        <w:framePr w:wrap="around"/>
      </w:pPr>
    </w:p>
    <w:p w14:paraId="03F4ADA0" w14:textId="77777777" w:rsidR="00D814E5" w:rsidRPr="00D814E5" w:rsidRDefault="00D814E5" w:rsidP="00D814E5">
      <w:r w:rsidRPr="00D814E5">
        <w:t>Die X ist nach § 61 Nr. 1 Alt. 1 VwGO beteiligten- und nach § 62 I Nr. 1 VwGO prozessfähig.</w:t>
      </w:r>
    </w:p>
    <w:p w14:paraId="5CB573A4" w14:textId="77777777" w:rsidR="00D814E5" w:rsidRPr="00D814E5" w:rsidRDefault="00D814E5" w:rsidP="00D814E5">
      <w:r w:rsidRPr="00D814E5">
        <w:t>Die Stadt L ist nach § 61 Nr. 1 Alt. 2 VwGO beteiligtenfähig. Sie ist als juristische Person nicht selbst prozessfähig. Sie wird gem. § 62 III VwGO durch den J als Oberbürgermeister</w:t>
      </w:r>
      <w:r w:rsidRPr="00D814E5">
        <w:rPr>
          <w:vertAlign w:val="superscript"/>
        </w:rPr>
        <w:footnoteReference w:id="320"/>
      </w:r>
      <w:r w:rsidRPr="00D814E5">
        <w:t xml:space="preserve"> vertreten.</w:t>
      </w:r>
    </w:p>
    <w:p w14:paraId="38225456" w14:textId="77777777" w:rsidR="00D814E5" w:rsidRPr="009D1F42" w:rsidRDefault="00D814E5" w:rsidP="005B6EF7">
      <w:pPr>
        <w:pStyle w:val="berschrift5"/>
      </w:pPr>
      <w:bookmarkStart w:id="426" w:name="_Toc22133252"/>
      <w:r w:rsidRPr="009D1F42">
        <w:t>VI. Zuständiges Gericht</w:t>
      </w:r>
      <w:bookmarkEnd w:id="426"/>
      <w:r w:rsidRPr="009D1F42">
        <w:t xml:space="preserve"> </w:t>
      </w:r>
    </w:p>
    <w:p w14:paraId="04497132" w14:textId="77777777" w:rsidR="00D814E5" w:rsidRDefault="00D814E5" w:rsidP="00D814E5">
      <w:pPr>
        <w:pStyle w:val="Randnummer"/>
        <w:framePr w:wrap="around"/>
      </w:pPr>
    </w:p>
    <w:p w14:paraId="180A4774" w14:textId="77777777" w:rsidR="00D814E5" w:rsidRPr="00D814E5" w:rsidRDefault="00D814E5" w:rsidP="00D814E5">
      <w:r w:rsidRPr="00D814E5">
        <w:t>Gem. §§ 45, 52 Nr. 5 VwGO</w:t>
      </w:r>
      <w:r w:rsidRPr="00D814E5">
        <w:rPr>
          <w:vertAlign w:val="superscript"/>
        </w:rPr>
        <w:footnoteReference w:id="321"/>
      </w:r>
      <w:r w:rsidRPr="00D814E5">
        <w:t xml:space="preserve"> i. V. m. § 2 II SächsJG ist das VG Leipzig sachlich und örtlich zuständig.</w:t>
      </w:r>
    </w:p>
    <w:p w14:paraId="5D63E94E" w14:textId="77777777" w:rsidR="00D814E5" w:rsidRPr="009D1F42" w:rsidRDefault="00D814E5" w:rsidP="005B6EF7">
      <w:pPr>
        <w:pStyle w:val="berschrift5"/>
      </w:pPr>
      <w:bookmarkStart w:id="427" w:name="_Toc22133253"/>
      <w:r w:rsidRPr="009D1F42">
        <w:t>VII. Qualifiziertes Feststellungsinteresse</w:t>
      </w:r>
      <w:bookmarkEnd w:id="427"/>
    </w:p>
    <w:p w14:paraId="10883607" w14:textId="77777777" w:rsidR="00D814E5" w:rsidRDefault="00D814E5" w:rsidP="00D814E5">
      <w:pPr>
        <w:pStyle w:val="Randnummer"/>
        <w:framePr w:wrap="around"/>
      </w:pPr>
    </w:p>
    <w:p w14:paraId="5CFA5011" w14:textId="7D74A2E6" w:rsidR="00D814E5" w:rsidRPr="00D814E5" w:rsidRDefault="00D814E5" w:rsidP="00D814E5">
      <w:r w:rsidRPr="00D814E5">
        <w:t>Weiterhin müsste die X das nach § 43 I VwGO erforderliche Feststellungsinteresse haben. Dieses kann rechtlicher, wirtschaftlicher oder ideeller Natur sein. Liegt das feststellungsfähige Rechtsverhältnis in der Vergangenheit, ist analog zur Fortsetzungsfeststellungsklage ein</w:t>
      </w:r>
      <w:r w:rsidRPr="005B6EF7">
        <w:t xml:space="preserve"> qualifiziertes Feststellungsinteresse </w:t>
      </w:r>
      <w:r w:rsidRPr="00D814E5">
        <w:t>notwendig. Ein solches ist bei Wiederholungsgefahr,</w:t>
      </w:r>
      <w:r w:rsidR="0020456D">
        <w:t xml:space="preserve"> einem</w:t>
      </w:r>
      <w:r w:rsidRPr="00D814E5">
        <w:t xml:space="preserve"> Rehabilitationsinteress</w:t>
      </w:r>
      <w:r w:rsidR="0020456D">
        <w:t xml:space="preserve">e </w:t>
      </w:r>
      <w:r w:rsidRPr="00D814E5">
        <w:t>oder einer schwerwiegenden Grundrechtsbeeinträchtigung zu bejahen. Aus dem Sachverhalt gehen bezüglich der Wiederholungsgefahr und des Rehabilitationsinteresses keine eindeutigen Hinweise hervor.</w:t>
      </w:r>
      <w:r w:rsidRPr="00D814E5">
        <w:rPr>
          <w:vertAlign w:val="superscript"/>
        </w:rPr>
        <w:footnoteReference w:id="322"/>
      </w:r>
    </w:p>
    <w:p w14:paraId="09DE8A40" w14:textId="16CDEBDB" w:rsidR="00D814E5" w:rsidRPr="00D814E5" w:rsidRDefault="00D814E5" w:rsidP="00D814E5">
      <w:r w:rsidRPr="00D814E5">
        <w:t>Ein qualifiziertes Feststellungsinteresse könnte jedoch aufgrund eines schwerwiegenden Grundrechtseingriffs verbunden mit der Rechtsschutzgarantie des Art. 19 IV GG bestehen.</w:t>
      </w:r>
      <w:r w:rsidR="00A566D1">
        <w:t xml:space="preserve"> </w:t>
      </w:r>
    </w:p>
    <w:p w14:paraId="396A6635" w14:textId="77777777" w:rsidR="00D814E5" w:rsidRPr="00D814E5" w:rsidRDefault="00D814E5" w:rsidP="00D814E5">
      <w:r w:rsidRPr="00D814E5">
        <w:t xml:space="preserve">Eine gerichtliche Entscheidung muss geeignet sein, die Rechtsposition der Kläger*in zu verbessern. Liegt das feststellungsfähige Rechtsverhältnis in der Vergangenheit, ist ein berechtigtes Interesse nach Art. 19 IV GG zu bejahen, wenn ohne die Möglichkeit einer Feststellungsklage kein wirksamer Rechtsschutz zu erlangen wäre. Effektiver Rechtsschutz verlangt, dass die Betroffenen sie in einem grundrechtlich geschützten Bereich betreffende Eingriffsmaßnahmen in einem gerichtlichen Hauptsacheverfahren überprüfen lassen können. Stehen hoheitliche Maßnahmen im Streit, die sich typischerweise so kurzfristig erledigen, dass sie ohne die Annahme eines Feststellungsinteresses regelmäßig keiner Überprüfung im gerichtlichen Hauptsacheverfahren zugeführt werden könnten, ist das Feststellungsinteresse auch für ein vergangenes Rechtsverhältnis zu bejahen. </w:t>
      </w:r>
    </w:p>
    <w:p w14:paraId="41DFD87E" w14:textId="1B8A782B" w:rsidR="00D814E5" w:rsidRPr="00D814E5" w:rsidRDefault="00D814E5" w:rsidP="00D814E5">
      <w:r w:rsidRPr="00D814E5">
        <w:t>Vorliegend rief der Oberbürgermeister zur Teilnahme an einer Gegendemonstration auf und bewertete die Kundgebung der Klägerin wenigstens implizit als „intolerant“ und „rassistisch“</w:t>
      </w:r>
      <w:r w:rsidR="008B06F5">
        <w:t>. D</w:t>
      </w:r>
      <w:r w:rsidRPr="00D814E5">
        <w:t xml:space="preserve">ies kann eine abschreckende Wirkung erzeugen und dadurch </w:t>
      </w:r>
      <w:r w:rsidR="008B06F5">
        <w:t xml:space="preserve">Bürger*innen </w:t>
      </w:r>
      <w:r w:rsidRPr="00D814E5">
        <w:t>von einer</w:t>
      </w:r>
      <w:r w:rsidR="008B06F5">
        <w:t xml:space="preserve"> potentiellen</w:t>
      </w:r>
      <w:r w:rsidRPr="00D814E5">
        <w:t xml:space="preserve"> Teilnahme an der Versammlung der Klägerin abhalten. Ein schwerwiegender Eingriff in das Grundrecht der X aus Art. 8 I GG steht damit in Rede.</w:t>
      </w:r>
      <w:r w:rsidRPr="00D814E5">
        <w:rPr>
          <w:vertAlign w:val="superscript"/>
        </w:rPr>
        <w:footnoteReference w:id="323"/>
      </w:r>
      <w:r w:rsidRPr="00D814E5">
        <w:t xml:space="preserve"> Diese Maßnahmen des Oberbürgermeisters stehen also im engen Zusammenhang mit der Versammlung der X. Sie erledigen sich typischerweise so kurzfristig, dass gerichtlicher Rechtsschutz in der Hauptsache nicht rechtzeitig erlangt werden kann.</w:t>
      </w:r>
    </w:p>
    <w:p w14:paraId="4381406D" w14:textId="77777777" w:rsidR="00D814E5" w:rsidRPr="00D814E5" w:rsidRDefault="00D814E5" w:rsidP="00D814E5">
      <w:r w:rsidRPr="00D814E5">
        <w:t xml:space="preserve">Ein qualifiziertes Feststellungsinteresse der X ist damit gegeben. </w:t>
      </w:r>
    </w:p>
    <w:p w14:paraId="50916997" w14:textId="77777777" w:rsidR="00D814E5" w:rsidRPr="009D1F42" w:rsidRDefault="00D814E5" w:rsidP="005B6EF7">
      <w:pPr>
        <w:pStyle w:val="berschrift5"/>
      </w:pPr>
      <w:bookmarkStart w:id="428" w:name="_Toc22133254"/>
      <w:r w:rsidRPr="009D1F42">
        <w:t>VIII. Ergebnis</w:t>
      </w:r>
      <w:bookmarkEnd w:id="428"/>
    </w:p>
    <w:p w14:paraId="548D5A1F" w14:textId="77777777" w:rsidR="00D814E5" w:rsidRDefault="00D814E5" w:rsidP="00D814E5">
      <w:pPr>
        <w:pStyle w:val="Randnummer"/>
        <w:framePr w:wrap="around"/>
      </w:pPr>
    </w:p>
    <w:p w14:paraId="758CB772" w14:textId="77777777" w:rsidR="00D814E5" w:rsidRDefault="00D814E5" w:rsidP="00D814E5">
      <w:r w:rsidRPr="00D814E5">
        <w:t xml:space="preserve">Die Klage ist zulässig. </w:t>
      </w:r>
    </w:p>
    <w:p w14:paraId="0670E8AC" w14:textId="77777777" w:rsidR="005B6EF7" w:rsidRPr="00D814E5" w:rsidRDefault="005B6EF7" w:rsidP="00D814E5"/>
    <w:p w14:paraId="32667857" w14:textId="77777777" w:rsidR="00D814E5" w:rsidRPr="009D1F42" w:rsidRDefault="00D814E5" w:rsidP="005B6EF7">
      <w:pPr>
        <w:pStyle w:val="berschrift4"/>
      </w:pPr>
      <w:bookmarkStart w:id="429" w:name="_Toc22133255"/>
      <w:r w:rsidRPr="009D1F42">
        <w:t>B. Begründetheit</w:t>
      </w:r>
      <w:bookmarkEnd w:id="429"/>
    </w:p>
    <w:p w14:paraId="4DC73E36" w14:textId="77777777" w:rsidR="00D814E5" w:rsidRDefault="00D814E5" w:rsidP="00D814E5">
      <w:pPr>
        <w:pStyle w:val="Randnummer"/>
        <w:framePr w:wrap="around"/>
      </w:pPr>
    </w:p>
    <w:p w14:paraId="2023790D" w14:textId="77777777" w:rsidR="00D814E5" w:rsidRPr="00D814E5" w:rsidRDefault="00D814E5" w:rsidP="00D814E5">
      <w:r w:rsidRPr="00D814E5">
        <w:t>Die Klage müsste begründet sein. Die Feststellungsklage ist dann begründet, wenn das in Rede stehende Rechtsverhältnis nicht besteht und X dadurch in ihren Rechten aus Art. 8 I GG verletzt wurde. Das Rechtsverhältnis besteht nicht, wenn die Handlungen des J nicht rechtmäßig waren.</w:t>
      </w:r>
    </w:p>
    <w:p w14:paraId="0BE79A3A" w14:textId="77777777" w:rsidR="00D814E5" w:rsidRPr="009D1F42" w:rsidRDefault="00D814E5" w:rsidP="005B6EF7">
      <w:pPr>
        <w:pStyle w:val="berschrift5"/>
      </w:pPr>
      <w:bookmarkStart w:id="430" w:name="_Toc22133256"/>
      <w:r w:rsidRPr="009D1F42">
        <w:t>I. Rechtmäßigkeit der Äußerungen des J</w:t>
      </w:r>
      <w:bookmarkEnd w:id="430"/>
    </w:p>
    <w:p w14:paraId="6FAA8D7C" w14:textId="77777777" w:rsidR="00D814E5" w:rsidRDefault="00D814E5" w:rsidP="00D814E5">
      <w:pPr>
        <w:pStyle w:val="Randnummer"/>
        <w:framePr w:wrap="around"/>
      </w:pPr>
    </w:p>
    <w:p w14:paraId="4F1466E1" w14:textId="02987B61" w:rsidR="00D814E5" w:rsidRPr="00D814E5" w:rsidRDefault="00D814E5" w:rsidP="00D814E5">
      <w:r w:rsidRPr="00D814E5">
        <w:t>Zu prüfen ist mithin, ob die öffentlichen Äußerungen des J rechtmäßig waren.</w:t>
      </w:r>
      <w:r w:rsidR="00A566D1">
        <w:t xml:space="preserve"> </w:t>
      </w:r>
    </w:p>
    <w:p w14:paraId="5CBBAE56" w14:textId="77777777" w:rsidR="00D814E5" w:rsidRPr="009D1F42" w:rsidRDefault="00D814E5" w:rsidP="005B6EF7">
      <w:pPr>
        <w:pStyle w:val="berschrift6"/>
      </w:pPr>
      <w:bookmarkStart w:id="431" w:name="_Toc22133257"/>
      <w:r w:rsidRPr="009D1F42">
        <w:t>1. Ermächtigungsgrundlage</w:t>
      </w:r>
      <w:bookmarkEnd w:id="431"/>
      <w:r w:rsidRPr="009D1F42">
        <w:t xml:space="preserve"> </w:t>
      </w:r>
    </w:p>
    <w:p w14:paraId="7D02AF27" w14:textId="77777777" w:rsidR="00D814E5" w:rsidRDefault="00D814E5" w:rsidP="00D814E5">
      <w:pPr>
        <w:pStyle w:val="Randnummer"/>
        <w:framePr w:wrap="around"/>
      </w:pPr>
    </w:p>
    <w:p w14:paraId="271C08F6" w14:textId="77777777" w:rsidR="00D814E5" w:rsidRPr="00D814E5" w:rsidRDefault="00D814E5" w:rsidP="00D814E5">
      <w:r w:rsidRPr="00D814E5">
        <w:t xml:space="preserve">Für die Äußerungen des J auf der Homepage der L könnte eine Ermächtigungsgrundlage erforderlich sein. Nach dem Grundsatz des Vorbehaltes des Gesetzes aus Art. 20 III GG dürfen (belastende) Hoheitsakte der Verwaltung nur aufgrund einer Ermächtigung durch den Gesetzgeber ergehen. Eine Ermächtigungsgrundlage ist mithin jedenfalls dann erforderlich, wenn ein Grundrechtseingriff in das Grundrecht der X auf Versammlungsfreiheit (Art. 8 I GG) vorliegt. </w:t>
      </w:r>
    </w:p>
    <w:p w14:paraId="79909889" w14:textId="77777777" w:rsidR="00D814E5" w:rsidRPr="009D1F42" w:rsidRDefault="00D814E5" w:rsidP="005B6EF7">
      <w:pPr>
        <w:pStyle w:val="berschrift7"/>
      </w:pPr>
      <w:bookmarkStart w:id="432" w:name="_Toc22133258"/>
      <w:r w:rsidRPr="009D1F42">
        <w:t>a) Eingriff in die Versammlungsfreiheit, Art. 8 I GG</w:t>
      </w:r>
      <w:bookmarkEnd w:id="432"/>
    </w:p>
    <w:p w14:paraId="6B065497" w14:textId="77777777" w:rsidR="00D814E5" w:rsidRDefault="00D814E5" w:rsidP="00D814E5">
      <w:pPr>
        <w:pStyle w:val="Randnummer"/>
        <w:framePr w:wrap="around"/>
      </w:pPr>
    </w:p>
    <w:p w14:paraId="3B38B170" w14:textId="3910EEC7" w:rsidR="00D814E5" w:rsidRPr="00D814E5" w:rsidRDefault="00D814E5" w:rsidP="00D814E5">
      <w:r w:rsidRPr="00D814E5">
        <w:t>Das Grundrecht auf Versammlungsfreiheit aus Art. 8 I GG berechtigt alle Deutschen sich friedlich und ohne Waffen zu versammeln. Eine Versammlung ist eine örtliche Zusammenkunft mehrerer Personen zur gemeinschaftlichen, auf die Teilhabe an der öffentlichen Meinungsbildung gerichteten Erörterung oder Kundgebung und umfasst auch provokative Äußerungen.</w:t>
      </w:r>
      <w:r w:rsidRPr="00D814E5">
        <w:rPr>
          <w:vertAlign w:val="superscript"/>
        </w:rPr>
        <w:footnoteReference w:id="324"/>
      </w:r>
      <w:r w:rsidRPr="00D814E5">
        <w:t xml:space="preserve"> Laut Sachverhalt meldete X eine öffentliche Versammlung mit dem Motto „Leipziger gegen die Islamisierung des Abendlandes“ an und führte diese durch.</w:t>
      </w:r>
    </w:p>
    <w:p w14:paraId="08FBDE4C" w14:textId="77777777" w:rsidR="00D814E5" w:rsidRPr="00D814E5" w:rsidRDefault="00D814E5" w:rsidP="00D814E5">
      <w:r w:rsidRPr="00D814E5">
        <w:t>Fraglich ist, ob die Versammlung der X durch den Aufruf des J beeinträchtigt wurde. Ein Eingriff i. S. d. klassischen Eingriffsbegriffs ist vorliegend nicht gegeben.</w:t>
      </w:r>
    </w:p>
    <w:p w14:paraId="418BBD76" w14:textId="77777777" w:rsidR="00D814E5" w:rsidRPr="00D814E5" w:rsidRDefault="00D814E5" w:rsidP="00D814E5">
      <w:r w:rsidRPr="00D814E5">
        <w:t>Die Äußerungen könnten jedoch als mittelbarer Eingriff bzw. Eingriffsäquivalent</w:t>
      </w:r>
      <w:r w:rsidRPr="00D814E5">
        <w:rPr>
          <w:vertAlign w:val="superscript"/>
        </w:rPr>
        <w:footnoteReference w:id="325"/>
      </w:r>
      <w:r w:rsidRPr="00D814E5">
        <w:t xml:space="preserve"> zu qualifizieren sein. Eine solche Beeinträchtigung liegt vor, wenn faktische Maßnahmen – wie Boykottaufrufe einer Amtsträger*in – in ihrer Intensität einer imperativen Maßnahme gleichstehen und eine abschreckende Wirkung entfalten.</w:t>
      </w:r>
      <w:r w:rsidRPr="00D814E5">
        <w:rPr>
          <w:vertAlign w:val="superscript"/>
        </w:rPr>
        <w:footnoteReference w:id="326"/>
      </w:r>
      <w:r w:rsidRPr="00D814E5">
        <w:t xml:space="preserve"> </w:t>
      </w:r>
    </w:p>
    <w:p w14:paraId="28F02605" w14:textId="03C12C54" w:rsidR="00D814E5" w:rsidRPr="00D814E5" w:rsidRDefault="00D814E5" w:rsidP="00D814E5">
      <w:r w:rsidRPr="00D814E5">
        <w:t xml:space="preserve">Vorliegend rief der Oberbürgermeister zur Teilnahme an einer Gegendemonstration auf und bewertete die Kundgebung der Klägerin wenigstens implizit als „intolerant“ und „rassistisch“, dies sogar soweit, als dass der Demonstration nur mit der Ausschaltung der Lichter an zahlreichen markanten Gebäuden in der Innenstadt entgegengetreten werden könnte. Der Aufruf zu dieser Aktion ist geeignet, eine abschreckende Wirkung zu erzeugen und dadurch </w:t>
      </w:r>
      <w:r w:rsidR="008B06F5">
        <w:t>Bürger*innen</w:t>
      </w:r>
      <w:r w:rsidRPr="00D814E5">
        <w:t xml:space="preserve"> von einer </w:t>
      </w:r>
      <w:r w:rsidR="008B06F5">
        <w:t xml:space="preserve">potentiellen </w:t>
      </w:r>
      <w:r w:rsidRPr="00D814E5">
        <w:t xml:space="preserve">Teilnahme an der Versammlung der Klägerin abzuhalten. Hierbei wurde der Versammlungszweck an sich und nicht nur untergeordnete Modalitäten der Demonstration betroffen. </w:t>
      </w:r>
    </w:p>
    <w:p w14:paraId="1FEF529A" w14:textId="77777777" w:rsidR="00D814E5" w:rsidRPr="00D814E5" w:rsidRDefault="00D814E5" w:rsidP="00D814E5">
      <w:r w:rsidRPr="00D814E5">
        <w:t>Eine Ermächtigungsgrundlage für die Handlungen des J ist notwendig.</w:t>
      </w:r>
    </w:p>
    <w:p w14:paraId="3B40AE0B" w14:textId="77777777" w:rsidR="00D814E5" w:rsidRPr="009D1F42" w:rsidRDefault="00D814E5" w:rsidP="005B6EF7">
      <w:pPr>
        <w:pStyle w:val="berschrift7"/>
      </w:pPr>
      <w:bookmarkStart w:id="433" w:name="_Toc22133259"/>
      <w:r w:rsidRPr="009D1F42">
        <w:t>b) Nötige Ermächtigungsgrundlage</w:t>
      </w:r>
      <w:bookmarkEnd w:id="433"/>
    </w:p>
    <w:p w14:paraId="6CE81492" w14:textId="77777777" w:rsidR="00D814E5" w:rsidRDefault="00D814E5" w:rsidP="00D814E5">
      <w:pPr>
        <w:pStyle w:val="Randnummer"/>
        <w:framePr w:wrap="around"/>
      </w:pPr>
    </w:p>
    <w:p w14:paraId="3B61BC81" w14:textId="6C84DAAE" w:rsidR="00D814E5" w:rsidRPr="00D814E5" w:rsidRDefault="00D814E5" w:rsidP="00D814E5">
      <w:r w:rsidRPr="00D814E5">
        <w:t>Art. 28 II 1 GG könnte eine Ermächtigungsgrundlage für die Handlungen des J darstellen. Die Befugnis des J</w:t>
      </w:r>
      <w:r w:rsidR="008B06F5">
        <w:t>,</w:t>
      </w:r>
      <w:r w:rsidRPr="00D814E5">
        <w:t xml:space="preserve"> Informations- und Öffentlichkeitsarbeit zu tätigen, ist nicht explizit normiert. Die Zuweisung einer Aufgabe berechtigt aber grundsätzlich zur Informationstätigkeit im jeweilige</w:t>
      </w:r>
      <w:r w:rsidR="001D7163">
        <w:t xml:space="preserve">n Aufgabenbereich. </w:t>
      </w:r>
      <w:r w:rsidRPr="00D814E5">
        <w:t>Der Oberbürgermeister nimmt hier die Aufgabe der Leitung der Gemeindeverwaltung als Stadtoberhaupt aus Art. 28 II 1 GG wahr. Er wird in allgemeiner, freier, gleicher, unmittelbarer und geheimer Wahl gewählt, sodass ihm neben den Aufgaben als Stadtoberhaupt auch politische Funktionen zukommen. Die anerkannte staatliche Informations- und Öffentlichkeitsarbeit der Regierung kann daher entsprechend für die Tätigkeit des Bürgermeisters e</w:t>
      </w:r>
      <w:r w:rsidR="00D9735B">
        <w:t>iner Gemeinde angenommen werden.</w:t>
      </w:r>
      <w:r w:rsidRPr="00D814E5">
        <w:rPr>
          <w:vertAlign w:val="superscript"/>
        </w:rPr>
        <w:footnoteReference w:id="327"/>
      </w:r>
      <w:r w:rsidRPr="00D814E5">
        <w:t xml:space="preserve"> Aufgrund seiner politischen Funktion ist er daher grundsätzlich befugt, sich am politischen Diskurs über spezifisch örtliche Angelegenheiten zu beteiligen.</w:t>
      </w:r>
      <w:r w:rsidRPr="00D814E5">
        <w:rPr>
          <w:vertAlign w:val="superscript"/>
        </w:rPr>
        <w:footnoteReference w:id="328"/>
      </w:r>
    </w:p>
    <w:p w14:paraId="2F8978E8" w14:textId="77777777" w:rsidR="00D814E5" w:rsidRPr="009D1F42" w:rsidRDefault="00D814E5" w:rsidP="005B6EF7">
      <w:pPr>
        <w:pStyle w:val="berschrift6"/>
      </w:pPr>
      <w:bookmarkStart w:id="434" w:name="_Toc22133260"/>
      <w:r w:rsidRPr="009D1F42">
        <w:t>2. Rechtmäßigkeitsvoraussetzungen</w:t>
      </w:r>
      <w:bookmarkEnd w:id="434"/>
      <w:r w:rsidRPr="009D1F42">
        <w:t xml:space="preserve"> </w:t>
      </w:r>
    </w:p>
    <w:p w14:paraId="682698A6" w14:textId="77777777" w:rsidR="00D814E5" w:rsidRDefault="00D814E5" w:rsidP="00D814E5">
      <w:pPr>
        <w:pStyle w:val="Randnummer"/>
        <w:framePr w:wrap="around"/>
      </w:pPr>
    </w:p>
    <w:p w14:paraId="47F0202B" w14:textId="77777777" w:rsidR="00D814E5" w:rsidRPr="00D814E5" w:rsidRDefault="00D814E5" w:rsidP="00D814E5">
      <w:r w:rsidRPr="00D814E5">
        <w:t>J müsste den Rahmen der ihm durch Art. 28 II 1 GG zugewiesenen Aufgaben eingehalten haben.</w:t>
      </w:r>
    </w:p>
    <w:p w14:paraId="620EDAD3" w14:textId="77777777" w:rsidR="00D814E5" w:rsidRPr="009D1F42" w:rsidRDefault="00D814E5" w:rsidP="005B6EF7">
      <w:pPr>
        <w:pStyle w:val="berschrift7"/>
      </w:pPr>
      <w:bookmarkStart w:id="435" w:name="_Toc22133261"/>
      <w:r w:rsidRPr="009D1F42">
        <w:t>a) Angelegenheiten der öffentlichen Gemeinde</w:t>
      </w:r>
      <w:bookmarkEnd w:id="435"/>
    </w:p>
    <w:p w14:paraId="2BBB0A0C" w14:textId="77777777" w:rsidR="00D814E5" w:rsidRDefault="00D814E5" w:rsidP="00D814E5">
      <w:pPr>
        <w:pStyle w:val="Randnummer"/>
        <w:framePr w:wrap="around"/>
      </w:pPr>
    </w:p>
    <w:p w14:paraId="6EEDBC3F" w14:textId="77777777" w:rsidR="00D814E5" w:rsidRPr="00D814E5" w:rsidRDefault="00D814E5" w:rsidP="00D814E5">
      <w:r w:rsidRPr="00D814E5">
        <w:t>Fraglich ist, ob die Äußerungen des J noch in die Angelegenheiten der öffentlichen Gemeinde i. S. d. Art. 28 II 1 GG fallen. Art. 28 II 1 GG gewährleistet der Gemeinde das Recht, alle Angelegenheiten der örtlichen Gemeinschaft im Rahmen der Gesetze in eigener Verantwortung zu regeln. Daraus erwächst der Gemeinde die Befugnis, sich aller Angelegenheiten der örtlichen Gemeinschaft, die nicht durch Gesetz bereits anderen Trägern öffentlicher Gewalt überantwortet sind, ohne besonderen Kompetenztitel anzunehmen. Angelegenheiten der örtlichen Gemeinschaft i. S. v. Art. 28 II 1 GG sind diejenigen Bedürfnisse und Interessen, die in der örtlichen Gemeinschaft wurzeln oder auf sie einen spezifischen Bezug haben, die also den Gemeindeeinwohnern gerade als solchen gemeinsam sind, indem sie das Zusammenleben und -wohnen der Menschen in der Gemeinde betreffen. Die Stellungnahme eines kommunalen Amtsträgers muss demnach in spezifischer Weise ortsbezogen sein.</w:t>
      </w:r>
      <w:r w:rsidRPr="00D814E5">
        <w:rPr>
          <w:vertAlign w:val="superscript"/>
        </w:rPr>
        <w:footnoteReference w:id="329"/>
      </w:r>
      <w:r w:rsidRPr="00D814E5">
        <w:t xml:space="preserve"> </w:t>
      </w:r>
    </w:p>
    <w:p w14:paraId="315BB6CC" w14:textId="77777777" w:rsidR="00D814E5" w:rsidRPr="00D814E5" w:rsidRDefault="00D814E5" w:rsidP="00D814E5">
      <w:bookmarkStart w:id="436" w:name="Y-300-Z-NVWZ-B-2018-S-433-N-1-RN-19"/>
      <w:bookmarkEnd w:id="436"/>
      <w:r w:rsidRPr="00D814E5">
        <w:t>Vorliegend steht die Erklärung des J im unmittelbaren Zusammenhang mit der von der X angemeldeten Versammlung und der diese Veranstaltung tragenden politischen Gruppierung. Sie ist als Gegenposition zu dem von der X benannten Thema ihrer Versammlung „Leipziger gegen die Islamisierung des Abendlandes“ zu verstehen und befasst sich thematisch mit der Integration von Ausländern und dem Zusammenleben mit Muslimen in der örtlichen Gemeinschaft der Stadt L. Dabei wendet sich der Oberbürgermeister ausdrücklich an seine Mitbürger*innen, an örtliche Unternehmen und Geschäftsleute und charakterisiert L als weltoffene Stadt. Darüber hinaus erhalten die Aussagen des Oberbürgermeisters durch die Wahl der Stadt L als Veranstaltungsort der Versammlung der X sowie der Gegendemonstration einen spezifisch örtlichen Bezug. Die die Äußerungen des J fallen mithin in die Angelegenheiten der öffentlichen Gemeinde i. S. d. Art. 28 II 1 GG.</w:t>
      </w:r>
    </w:p>
    <w:p w14:paraId="268077F8" w14:textId="77777777" w:rsidR="00D814E5" w:rsidRPr="009D1F42" w:rsidRDefault="00D814E5" w:rsidP="005B6EF7">
      <w:pPr>
        <w:pStyle w:val="berschrift7"/>
      </w:pPr>
      <w:bookmarkStart w:id="437" w:name="_Toc22133262"/>
      <w:r w:rsidRPr="009D1F42">
        <w:t>b) Neutralitätsgebot</w:t>
      </w:r>
      <w:bookmarkEnd w:id="437"/>
    </w:p>
    <w:p w14:paraId="417D3DDC" w14:textId="77777777" w:rsidR="00D814E5" w:rsidRDefault="00D814E5" w:rsidP="00D814E5">
      <w:pPr>
        <w:pStyle w:val="Randnummer"/>
        <w:framePr w:wrap="around"/>
      </w:pPr>
      <w:bookmarkStart w:id="438" w:name="Y-300-Z-NVWZ-B-2018-S-433-N-1-RN-21"/>
      <w:bookmarkStart w:id="439" w:name="Y-300-Z-NVWZ-B-2018-S-433-N-1-RN-22"/>
      <w:bookmarkStart w:id="440" w:name="Y-300-Z-NVWZ-B-2018-S-433-N-1-RN-23"/>
      <w:bookmarkEnd w:id="438"/>
      <w:bookmarkEnd w:id="439"/>
      <w:bookmarkEnd w:id="440"/>
    </w:p>
    <w:p w14:paraId="29871FFD" w14:textId="6A9D2B1E" w:rsidR="00D814E5" w:rsidRPr="00D814E5" w:rsidRDefault="00D814E5" w:rsidP="00D814E5">
      <w:r w:rsidRPr="00D814E5">
        <w:t>J könnte die Befugnis der Informations- und Öffentlichkeitsarbeit dennoch überschritten haben, wenn seine Äußerungen gegen das Neutralitätsgebot</w:t>
      </w:r>
      <w:bookmarkStart w:id="441" w:name="Y-300-Z-NVWZ-B-2018-S-433-N-1-RN-24"/>
      <w:bookmarkEnd w:id="441"/>
      <w:r w:rsidRPr="00D814E5">
        <w:t xml:space="preserve"> verstoßen. Dieses ergibt sich aus dem Recht der politischen Parteien auf Chancengleichheit (Art. 21 I 1 i. V. m. 3 I GG). Parteien haben das Recht</w:t>
      </w:r>
      <w:r w:rsidR="008B06F5">
        <w:t>,</w:t>
      </w:r>
      <w:r w:rsidRPr="00D814E5">
        <w:t xml:space="preserve"> gleichberechtigt am Prozess der Meinungs- und Willensbildung des Volkes teilzunehmen. Dieses darf nicht verletzt werden, indem Staatsorgane als solche parteiergreifend zugunsten oder zulasten einer politischen Partei oder von Wahlbewerbern auf die politische Willensbildung des Volkes einwirken. Das gilt nicht nur im Wahlkampf, sondern darüber hinaus auch für den politischen Meinungskampf und Wettbewerb im Allgemeinen. Gleiches gilt auf kommunaler Ebene. Im Ergebnis gilt das Neutralitätsgebot nur im Verhältnis zu politischen Parteien.</w:t>
      </w:r>
      <w:r w:rsidRPr="00D814E5">
        <w:rPr>
          <w:vertAlign w:val="superscript"/>
        </w:rPr>
        <w:footnoteReference w:id="330"/>
      </w:r>
      <w:r w:rsidRPr="00D814E5">
        <w:t xml:space="preserve"> </w:t>
      </w:r>
    </w:p>
    <w:p w14:paraId="3FE2FDE8" w14:textId="77777777" w:rsidR="00D814E5" w:rsidRDefault="00D814E5" w:rsidP="00D814E5">
      <w:r w:rsidRPr="00D814E5">
        <w:t>Vorliegend handelt es sich um Legida, die zwar eine politische Gruppierung darstellt, jedoch nicht als politische Partei organisiert ist. Das Neutralitätsgebot kann Art. 8 I GG der X mithin nicht einschränken.</w:t>
      </w:r>
    </w:p>
    <w:p w14:paraId="023394B0" w14:textId="77777777" w:rsidR="00D814E5" w:rsidRPr="009D1F42" w:rsidRDefault="00D814E5" w:rsidP="005B6EF7">
      <w:pPr>
        <w:pStyle w:val="berschrift7"/>
      </w:pPr>
      <w:bookmarkStart w:id="442" w:name="_Toc22133263"/>
      <w:r w:rsidRPr="009D1F42">
        <w:t>c) Sachlichkeitsgebot</w:t>
      </w:r>
      <w:bookmarkEnd w:id="442"/>
    </w:p>
    <w:p w14:paraId="7CBAF00B" w14:textId="77777777" w:rsidR="00D814E5" w:rsidRDefault="00D814E5" w:rsidP="00D814E5">
      <w:pPr>
        <w:pStyle w:val="Randnummer"/>
        <w:framePr w:wrap="around"/>
      </w:pPr>
    </w:p>
    <w:p w14:paraId="0FDBCA87" w14:textId="77777777" w:rsidR="00D814E5" w:rsidRPr="00D814E5" w:rsidRDefault="00D814E5" w:rsidP="00D814E5">
      <w:r w:rsidRPr="00D814E5">
        <w:t>Das sich aus dem Rechtsstaatsprinzip aus Art. 20 II, III GG ergebende Sachlichkeitsgebot</w:t>
      </w:r>
      <w:r w:rsidRPr="00D814E5">
        <w:rPr>
          <w:vertAlign w:val="superscript"/>
        </w:rPr>
        <w:footnoteReference w:id="331"/>
      </w:r>
      <w:r w:rsidRPr="00D814E5">
        <w:t xml:space="preserve"> könnte jedoch die Äußerungsbefugnis des J einschränken.</w:t>
      </w:r>
    </w:p>
    <w:p w14:paraId="7DF5656C" w14:textId="0C9A7D3C" w:rsidR="00D814E5" w:rsidRPr="00D814E5" w:rsidRDefault="00D814E5" w:rsidP="00D814E5">
      <w:bookmarkStart w:id="443" w:name="Y-300-Z-NVWZ-B-2018-S-433-N-1-RN-26"/>
      <w:bookmarkStart w:id="444" w:name="Y-300-Z-NVWZ-B-2018-S-433-N-1-RN-27"/>
      <w:bookmarkEnd w:id="443"/>
      <w:bookmarkEnd w:id="444"/>
      <w:r w:rsidRPr="00D814E5">
        <w:t xml:space="preserve">Staatliche Amtsträger*innen unterstehen nicht allein dem Rechtsstaatsgebot, sondern auch dem Demokratieprinzip. Die freie Bildung der öffentlichen Meinung ist Ausdruck des demokratischen Staatswesens (Art. 20 I GG), in dem sich die Willensbildung des Volkes frei, offen, unreglementiert und grundsätzlich „staatsfrei“ vollzieht. Einer Amtsträger*in in Wahrnehmung ihrer hoheitlichen Funktion ist deshalb eine lenkende oder steuernde Einflussnahme auf den politischen Meinungsbildungsprozess der Bevölkerung verwehrt. Äußerungen einer Amtsträger*in, die sich in Wahrnehmung ihrer hoheitlichen Funktion am politischen Meinungskampf beteiligt, unterliegen mithin nicht demselben Maßstab, der bei Meinungsäußerungen von Bürger*innen untereinander anzulegen ist. Während sich Bürger*innen auf die Wahrnehmung ihres Grundrechts der Meinungsfreiheit stützen </w:t>
      </w:r>
      <w:r w:rsidR="008B06F5">
        <w:t>können</w:t>
      </w:r>
      <w:r w:rsidRPr="00D814E5">
        <w:t>, ist dem Staat die Berufung auf Art. 5 I GG gegenüber seinen Bürger*innen verwehrt. Damit ist eine lenkende Einflussnahme des Staates unvereinbar.</w:t>
      </w:r>
      <w:r w:rsidRPr="00D814E5">
        <w:rPr>
          <w:vertAlign w:val="superscript"/>
        </w:rPr>
        <w:footnoteReference w:id="332"/>
      </w:r>
    </w:p>
    <w:p w14:paraId="4A40E2E9" w14:textId="77777777" w:rsidR="00D814E5" w:rsidRPr="00D814E5" w:rsidRDefault="00D814E5" w:rsidP="00D814E5">
      <w:bookmarkStart w:id="445" w:name="Y-300-Z-NVWZ-B-2018-S-433-N-1-RN-29"/>
      <w:bookmarkEnd w:id="445"/>
      <w:r w:rsidRPr="00D814E5">
        <w:t>Eine Amtswalter*in, die am politischen Diskurs teilnimmt, hat deshalb ihre Äußerungen an dem Gebot eines rationalen und sachlichen Diskurses auszurichten. Das schließt eine Meinungskundgabe durch symbolische Handlungen nicht aus, fordert aber den Austausch rationaler Argumente, die die Ebene argumentativer Auseinandersetzung nicht verlassen. Staatliche Amtsträger*innen dürfen ferner in der öffentlichen Diskussion Vertreter*innen anderer Meinungen weder ausgrenzen noch gezielt diskreditieren, solange deren Positionen die für alle geltenden rechtlichen Grenzen nicht überschreiten. Nur so kann die Integrationsfunktion des Staates sichergestellt werden, die ebenfalls im Demokratieprinzip wurzelt.</w:t>
      </w:r>
      <w:r w:rsidRPr="00D814E5">
        <w:rPr>
          <w:vertAlign w:val="superscript"/>
        </w:rPr>
        <w:footnoteReference w:id="333"/>
      </w:r>
    </w:p>
    <w:p w14:paraId="364DD618" w14:textId="77777777" w:rsidR="00D814E5" w:rsidRPr="00D814E5" w:rsidRDefault="00D814E5" w:rsidP="00D814E5">
      <w:bookmarkStart w:id="446" w:name="Y-300-Z-NVWZ-B-2018-S-433-N-1-RN-30"/>
      <w:bookmarkEnd w:id="446"/>
      <w:r w:rsidRPr="00D814E5">
        <w:t>Das Verdunkeln der Gebäude der L kann für sich genommen noch keine Aufschlüsse über eine evtl. Missbilligung der Gründe für die Versammlung der X geben. Die mit beiden Maßnahmen des J verbundene negative Symbolik des öffentlichen Lichtlöschens bringt jedoch in drastischer Weise die Missbilligung der mit der Versammlung der X verfolgten politischen Ziele zum Ausdruck. Sie verlässt die Ebene eines rationalen und sachlichen Diskurses, ohne für eine weitere diskursive Auseinandersetzung mit den politischen Zielen der von der X angemeldeten Versammlung offen zu sein.</w:t>
      </w:r>
    </w:p>
    <w:p w14:paraId="631B1B34" w14:textId="77777777" w:rsidR="00D814E5" w:rsidRPr="00D814E5" w:rsidRDefault="00D814E5" w:rsidP="00D814E5">
      <w:r w:rsidRPr="00D814E5">
        <w:rPr>
          <w:iCs/>
        </w:rPr>
        <w:t>Darüber hinaus verletzt</w:t>
      </w:r>
      <w:r w:rsidRPr="00D814E5">
        <w:rPr>
          <w:i/>
        </w:rPr>
        <w:t xml:space="preserve"> </w:t>
      </w:r>
      <w:r w:rsidRPr="00D814E5">
        <w:t>auch der Aufruf des Oberbürgermeisters der Stadt L, an einer friedlichen Gegendemonstration teilzunehmen, das Sachlichkeitsgebot. Der Aufruf verfolgte das Ziel, die Versammlung der X in ihrer Wirkung zu schwächen und die Gegendemonstration zu stärken. Er greift unzulässig in den Wettstreit der politischen Meinungen der Bürger*innen ein, welcher nicht staatlich beeinflusst werden darf.</w:t>
      </w:r>
      <w:r w:rsidRPr="00D814E5">
        <w:rPr>
          <w:vertAlign w:val="superscript"/>
        </w:rPr>
        <w:footnoteReference w:id="334"/>
      </w:r>
      <w:r w:rsidRPr="00D814E5">
        <w:t xml:space="preserve"> Ein Verstoß gegen das Sachlichkeitsgebot liegt damit vor. Der J hat seine Befugnisse zur Informations- und Öffentlichkeitsarbeit</w:t>
      </w:r>
      <w:r w:rsidRPr="00D814E5">
        <w:rPr>
          <w:b/>
        </w:rPr>
        <w:t xml:space="preserve"> </w:t>
      </w:r>
      <w:r w:rsidRPr="00D814E5">
        <w:t>aus Art. 28 II 1 GG überschritten.</w:t>
      </w:r>
    </w:p>
    <w:p w14:paraId="21EF747B" w14:textId="77777777" w:rsidR="00D814E5" w:rsidRPr="009D1F42" w:rsidRDefault="00D814E5" w:rsidP="005B6EF7">
      <w:pPr>
        <w:pStyle w:val="berschrift6"/>
      </w:pPr>
      <w:bookmarkStart w:id="447" w:name="_Toc22133264"/>
      <w:r w:rsidRPr="009D1F42">
        <w:t>3. Zwischenergebnis</w:t>
      </w:r>
      <w:bookmarkEnd w:id="447"/>
    </w:p>
    <w:p w14:paraId="2A97CF02" w14:textId="77777777" w:rsidR="00D814E5" w:rsidRDefault="00D814E5" w:rsidP="00D814E5">
      <w:pPr>
        <w:pStyle w:val="Randnummer"/>
        <w:framePr w:wrap="around"/>
      </w:pPr>
    </w:p>
    <w:p w14:paraId="7A545D4F" w14:textId="57C626A9" w:rsidR="00D814E5" w:rsidRPr="00D814E5" w:rsidRDefault="00D814E5" w:rsidP="00D814E5">
      <w:r w:rsidRPr="00D814E5">
        <w:t>Nach diesen Maßstäben ist der Aufruf des Oberbürgermei</w:t>
      </w:r>
      <w:r w:rsidR="00E6415E">
        <w:t xml:space="preserve">sters, das Licht auszuschalten </w:t>
      </w:r>
      <w:r w:rsidRPr="00D814E5">
        <w:t xml:space="preserve">und an einer friedlichen Gegendemonstration teilzunehmen, rechtswidrig. Das Rechtsverhältnis besteht mithin nicht. </w:t>
      </w:r>
    </w:p>
    <w:p w14:paraId="118C9C9C" w14:textId="77777777" w:rsidR="00D814E5" w:rsidRPr="009D1F42" w:rsidRDefault="00D814E5" w:rsidP="005B6EF7">
      <w:pPr>
        <w:pStyle w:val="berschrift5"/>
      </w:pPr>
      <w:bookmarkStart w:id="448" w:name="_Toc22133265"/>
      <w:r w:rsidRPr="009D1F42">
        <w:t>II. Verletzung der X in ihren Grundrechten</w:t>
      </w:r>
      <w:bookmarkEnd w:id="448"/>
    </w:p>
    <w:p w14:paraId="1CED40B1" w14:textId="77777777" w:rsidR="00D814E5" w:rsidRDefault="00D814E5" w:rsidP="00D814E5">
      <w:pPr>
        <w:pStyle w:val="Randnummer"/>
        <w:framePr w:wrap="around"/>
      </w:pPr>
    </w:p>
    <w:p w14:paraId="5A60B85B" w14:textId="77777777" w:rsidR="00D814E5" w:rsidRPr="00D814E5" w:rsidRDefault="00D814E5" w:rsidP="00D814E5">
      <w:r w:rsidRPr="00D814E5">
        <w:t xml:space="preserve">Damit liegt auch eine Verletzung der X in ihrem Grundrecht aus Art. 8 I GG vor. </w:t>
      </w:r>
    </w:p>
    <w:p w14:paraId="4B8D50ED" w14:textId="77777777" w:rsidR="00D814E5" w:rsidRPr="009D1F42" w:rsidRDefault="00D814E5" w:rsidP="005B6EF7">
      <w:pPr>
        <w:pStyle w:val="berschrift5"/>
      </w:pPr>
      <w:bookmarkStart w:id="449" w:name="_Toc22133266"/>
      <w:r w:rsidRPr="009D1F42">
        <w:t>III. Ergebnis</w:t>
      </w:r>
      <w:bookmarkEnd w:id="449"/>
      <w:r w:rsidRPr="009D1F42">
        <w:t xml:space="preserve"> </w:t>
      </w:r>
    </w:p>
    <w:p w14:paraId="54D78C48" w14:textId="77777777" w:rsidR="00D814E5" w:rsidRDefault="00D814E5" w:rsidP="00D814E5">
      <w:pPr>
        <w:pStyle w:val="Randnummer"/>
        <w:framePr w:wrap="around"/>
      </w:pPr>
    </w:p>
    <w:p w14:paraId="07667416" w14:textId="77777777" w:rsidR="00D814E5" w:rsidRDefault="00D814E5" w:rsidP="00D814E5">
      <w:r w:rsidRPr="00D814E5">
        <w:t>Die allgemeine Feststellungsklage ist begründet.</w:t>
      </w:r>
    </w:p>
    <w:p w14:paraId="349AD298" w14:textId="77777777" w:rsidR="005B6EF7" w:rsidRPr="00D814E5" w:rsidRDefault="005B6EF7" w:rsidP="00D814E5"/>
    <w:p w14:paraId="00801742" w14:textId="77777777" w:rsidR="00D814E5" w:rsidRPr="009D1F42" w:rsidRDefault="00D814E5" w:rsidP="005B6EF7">
      <w:pPr>
        <w:pStyle w:val="berschrift4"/>
      </w:pPr>
      <w:bookmarkStart w:id="450" w:name="_Toc22133267"/>
      <w:r w:rsidRPr="009D1F42">
        <w:t>C. Gesamtergebnis</w:t>
      </w:r>
      <w:bookmarkEnd w:id="450"/>
    </w:p>
    <w:p w14:paraId="6C2D9905" w14:textId="77777777" w:rsidR="00D814E5" w:rsidRDefault="00D814E5" w:rsidP="00D814E5">
      <w:pPr>
        <w:pStyle w:val="Randnummer"/>
        <w:framePr w:wrap="around"/>
      </w:pPr>
    </w:p>
    <w:p w14:paraId="4D08F958" w14:textId="06AAC26C" w:rsidR="005B6EF7" w:rsidRDefault="00D814E5" w:rsidP="00D814E5">
      <w:r w:rsidRPr="00D814E5">
        <w:t>Die Klage der X hat Aussicht auf Erfolg, da sie zulässig und begründet ist.</w:t>
      </w:r>
      <w:bookmarkEnd w:id="415"/>
      <w:r w:rsidRPr="00D814E5">
        <w:t xml:space="preserve"> </w:t>
      </w:r>
    </w:p>
    <w:p w14:paraId="5FF16673" w14:textId="77777777" w:rsidR="005B6EF7" w:rsidRDefault="005B6EF7">
      <w:pPr>
        <w:jc w:val="left"/>
      </w:pPr>
      <w:r>
        <w:br w:type="page"/>
      </w:r>
    </w:p>
    <w:p w14:paraId="3FE3E858" w14:textId="42055D5C" w:rsidR="00D814E5" w:rsidRDefault="00D814E5" w:rsidP="008779DD">
      <w:pPr>
        <w:pStyle w:val="berschrift2"/>
      </w:pPr>
      <w:bookmarkStart w:id="451" w:name="Y-200-Ge-BVERWG-Az-10C616-D-2017-09-13-R"/>
      <w:bookmarkStart w:id="452" w:name="Y-200-ecli-ECLI:DE:BVERWG:2017:130917U10"/>
      <w:bookmarkStart w:id="453" w:name="Y-300-Z-NVWZ-B-2018-S-433-N-1-RN-31"/>
      <w:bookmarkStart w:id="454" w:name="_Toc10464240"/>
      <w:bookmarkStart w:id="455" w:name="_Toc13819095"/>
      <w:bookmarkStart w:id="456" w:name="_Toc22132786"/>
      <w:bookmarkEnd w:id="451"/>
      <w:bookmarkEnd w:id="452"/>
      <w:bookmarkEnd w:id="453"/>
      <w:r>
        <w:t xml:space="preserve">Fall </w:t>
      </w:r>
      <w:r w:rsidR="00F1012B">
        <w:t>1</w:t>
      </w:r>
      <w:r>
        <w:t>2: Nichtigkeitsfeststellungsklage</w:t>
      </w:r>
      <w:r w:rsidR="00CE648A">
        <w:t xml:space="preserve"> </w:t>
      </w:r>
      <w:r w:rsidR="004D7C04">
        <w:t xml:space="preserve">bei fehlerhafter Gaststättenerlaubnis </w:t>
      </w:r>
      <w:r w:rsidR="00CE648A">
        <w:t>(Tobias Brings-Wiesen)</w:t>
      </w:r>
      <w:bookmarkEnd w:id="454"/>
      <w:bookmarkEnd w:id="455"/>
      <w:bookmarkEnd w:id="456"/>
    </w:p>
    <w:p w14:paraId="0C1CAF27" w14:textId="4378143B" w:rsidR="0017745A" w:rsidRPr="0017745A" w:rsidRDefault="0017745A" w:rsidP="0017745A">
      <w:pPr>
        <w:pStyle w:val="Autorin"/>
      </w:pPr>
      <w:r>
        <w:t>Tobias Brings-Wiesen</w:t>
      </w:r>
    </w:p>
    <w:p w14:paraId="61A3CB34" w14:textId="77777777" w:rsidR="00CE648A" w:rsidRPr="00CE648A" w:rsidRDefault="00CE648A" w:rsidP="00CE648A">
      <w:pPr>
        <w:pStyle w:val="Randnummer"/>
        <w:framePr w:wrap="around"/>
      </w:pPr>
    </w:p>
    <w:bookmarkEnd w:id="412"/>
    <w:p w14:paraId="569A8E5B" w14:textId="77777777" w:rsidR="005416FC" w:rsidRDefault="005416FC" w:rsidP="005416FC">
      <w:r>
        <w:t>Lernziele/Schwerpunkte: Nichtigkeitsfeststellungsklage gemäß § 43 I Var. 3 VwGO; Ausgeschlossene Person gemäß § 20 VwVfG; Anhörung gemäß § 28 VwVfG; Nebenbestimmungen gemäß § 36 VwVfG (Bedingung und Auflage); Nichtigkeit gemäß § 44 VwVfG (inkl. Teilnichtigkeit gemäß § 44 IV VwVfG)</w:t>
      </w:r>
    </w:p>
    <w:p w14:paraId="09150579" w14:textId="77777777" w:rsidR="00772351" w:rsidRPr="00CE648A" w:rsidRDefault="00772351" w:rsidP="005416FC"/>
    <w:p w14:paraId="02542B67" w14:textId="77777777" w:rsidR="005416FC" w:rsidRPr="009D1F42" w:rsidRDefault="005416FC" w:rsidP="0001383E">
      <w:pPr>
        <w:pStyle w:val="berschrift3"/>
      </w:pPr>
      <w:r w:rsidRPr="009D1F42">
        <w:t>Sachverhalt</w:t>
      </w:r>
    </w:p>
    <w:p w14:paraId="7211C8EF" w14:textId="77777777" w:rsidR="005416FC" w:rsidRPr="00CE648A" w:rsidRDefault="005416FC" w:rsidP="005416FC">
      <w:pPr>
        <w:pStyle w:val="Randnummer"/>
        <w:framePr w:wrap="around"/>
      </w:pPr>
    </w:p>
    <w:p w14:paraId="2F5673B6" w14:textId="77777777" w:rsidR="005416FC" w:rsidRPr="00CE648A" w:rsidRDefault="005416FC" w:rsidP="005416FC">
      <w:r w:rsidRPr="00CE648A">
        <w:t xml:space="preserve">A möchte in unmittelbarer Nähe zur Universität zu Köln im Keller eines Gebäudes auf der Zülpicher Str. (in einem „urbanen Gebiet“ i.S.v. § 6a BauNVO) einen Electro-Club namens „Turn Up“ eröffnen. Er kommt aus einer Familie von Gastronomen und will auf diesem Wege diese „kölsche Dynastie“ in einer modernen Variante weiterführen. Sein Vater V hatte über fast drei Jahrzehnte das Brauhaus „Et kromme Eck“ in der Kölner Altstadt betrieben. Zuletzt war er jedoch gezwungen, den Betrieb einzustellen. Im Zuge spürbarer Umsatzeinbußen innerhalb der letzten Jahre </w:t>
      </w:r>
      <w:r>
        <w:t>hatte er</w:t>
      </w:r>
      <w:r w:rsidRPr="00CE648A">
        <w:t xml:space="preserve"> sich immer mehr selbst dem Alkohol zu</w:t>
      </w:r>
      <w:r>
        <w:t>gewandt</w:t>
      </w:r>
      <w:r w:rsidRPr="00CE648A">
        <w:t xml:space="preserve">. Er </w:t>
      </w:r>
      <w:r>
        <w:t>hatte</w:t>
      </w:r>
      <w:r w:rsidRPr="00CE648A">
        <w:t xml:space="preserve"> fast nur noch alkoholisiert</w:t>
      </w:r>
      <w:r>
        <w:t xml:space="preserve"> gearbeitet</w:t>
      </w:r>
      <w:r w:rsidRPr="00CE648A">
        <w:t>, gar mehrfach körperliche Auseinandersetzungen an</w:t>
      </w:r>
      <w:r>
        <w:t>gezettelt</w:t>
      </w:r>
      <w:r w:rsidRPr="00CE648A">
        <w:t xml:space="preserve">, die nicht selten von der Polizei aufgelöst werden mussten. Seinen traurigen Höhepunkt fand diese Entwicklung vor einem Jahr, als der V mit 2,5 Promille fast eine Passantin überfahren hätte. Nachdem seine Verurteilung zu einer Bewährungsstrafe von zwei Jahren wegen Gefährdung des Straßenverkehrs gemäß § 315c StGB rechtskräftig geworden war, widerrief die Ordnungsbehörde der Stadt Köln seine Gaststättenerlaubnis gemäß § 15 II GastG wegen Unzuverlässigkeit. Dies hat den V </w:t>
      </w:r>
      <w:r>
        <w:t xml:space="preserve">jedoch seither </w:t>
      </w:r>
      <w:r w:rsidRPr="00CE648A">
        <w:t xml:space="preserve">noch tiefer in die Verzweiflung stürzen und noch tiefer ins Glas schauen lassen. Die Sorgen seiner Familien lassen ihn kalt, eine Suchttherapie lehnt er </w:t>
      </w:r>
      <w:r>
        <w:t xml:space="preserve">bis heute </w:t>
      </w:r>
      <w:r w:rsidRPr="00CE648A">
        <w:t>kategorisch ab.</w:t>
      </w:r>
    </w:p>
    <w:p w14:paraId="22A1D37A" w14:textId="77777777" w:rsidR="005416FC" w:rsidRPr="00CE648A" w:rsidRDefault="005416FC" w:rsidP="005416FC">
      <w:r w:rsidRPr="00CE648A">
        <w:t xml:space="preserve">All dies hat den A mitgenommen, ihn aber keineswegs davon abgehalten, für seinen eigenen Club zu planen. Er hat sich gut vorbereitet, die ideale Immobilie gekauft, sich die nötigen Kenntnisse und Fähigkeiten erarbeitet. Ende April 2019 reicht er seinen Antrag </w:t>
      </w:r>
      <w:r>
        <w:t>für</w:t>
      </w:r>
      <w:r w:rsidRPr="00CE648A">
        <w:t xml:space="preserve"> eine Gaststättenerlaubnis ab dem 28.12.2019 – er will das „Turn Up“ mit einer denkwürdigen Silvesterparty eröffnen – beim Amt für öffentliche Ordnung der Stadt Köln, Abteilung „Gewerbeangelegenheiten – Gaststätten“ ein.</w:t>
      </w:r>
    </w:p>
    <w:p w14:paraId="353AB84D" w14:textId="77777777" w:rsidR="005416FC" w:rsidRPr="00CE648A" w:rsidRDefault="005416FC" w:rsidP="005416FC">
      <w:r w:rsidRPr="00CE648A">
        <w:t xml:space="preserve">Genau dort arbeitet auch der Schwiegervater S des A, auf dessen Schreibtisch der Antrag landet. Dieser erkennt bereits auf dem Briefumschlag Name und Adresse seines Schwiegersohns und gerät ins Grübeln. Insgeheim hält er den A schon seit langem für einen absoluten Nichtsnutz, für seine wundervolle Tochter vollkommen ungeeignet. „Mit Ach und Krach durchs Studium kommen und sich jetzt direkt mit so </w:t>
      </w:r>
      <w:r>
        <w:t>'</w:t>
      </w:r>
      <w:r w:rsidRPr="00CE648A">
        <w:t xml:space="preserve">ner Drogenklitsche selbstständig machen? Das kann doch nur nach hinten losgehen.“, denkt er sich. Er möchte seine Tochter unbedingt davor schützen, dass ihr Ehemann mit seinem Club baden geht. Der S beschließt, die Gelegenheit beim Schopfe zu packen und den Antrag des A besonders kritisch selbst zu bearbeiten. Doch auch nach mehrfacher Durchsicht hat der S keinen Kritikpunkt gefunden. Der A hat </w:t>
      </w:r>
      <w:r>
        <w:t>ganze</w:t>
      </w:r>
      <w:r w:rsidRPr="00CE648A">
        <w:t xml:space="preserve"> Arbeit geleistet: Sowohl er persönlich als Betreiber als auch Zustand und örtliche Lage seines geplanten Betriebs entsprechen uneingeschränkt den rechtlichen Vorgaben. Vor diesem Hintergrund kann S die Genehmigung nicht versagen, das würfe nur unangenehme Fragen auf. Er beschließt</w:t>
      </w:r>
      <w:r>
        <w:t xml:space="preserve"> jedoch</w:t>
      </w:r>
      <w:r w:rsidRPr="00CE648A">
        <w:t xml:space="preserve">, das Vorhaben „Turn Up“ subtiler zu steuern. </w:t>
      </w:r>
    </w:p>
    <w:p w14:paraId="28BD38AB" w14:textId="067DCD3C" w:rsidR="005416FC" w:rsidRPr="00CE648A" w:rsidRDefault="005416FC" w:rsidP="005416FC">
      <w:r w:rsidRPr="00CE648A">
        <w:t xml:space="preserve">Er ergänzt die Erlaubnis dafür um den Zusatz, dass der Betrieb erst dann aufgenommen werden darf, wenn durch Ergreifen geeigneter Lärmschutzmaßnahmen der Immissionsrichtwert von 10 dB(A) in den Nachbargebäuden im Regelbetrieb zur Nachtzeit nicht mehr überschritten wird. S begründet dies damit, dass die in </w:t>
      </w:r>
      <w:r w:rsidR="00A8236D">
        <w:t>der Nähe zur Universität wohnen</w:t>
      </w:r>
      <w:r w:rsidRPr="00CE648A">
        <w:t xml:space="preserve">den, hart arbeitenden Studentinnen und Studenten eines besonderen Schutzes ihrer Nachtruhe bedürften. In Wahrheit erhofft er sich davon, dass der A die </w:t>
      </w:r>
      <w:r>
        <w:t xml:space="preserve">mit einer derartigen Nachrüstung </w:t>
      </w:r>
      <w:r w:rsidRPr="00CE648A">
        <w:t>notwendigerweise verbundenen zusätzlichen Kosten scheut und von seinen Plänen für den Electro-Club Abstand nimmt.</w:t>
      </w:r>
    </w:p>
    <w:p w14:paraId="7E33B1AA" w14:textId="77777777" w:rsidR="005416FC" w:rsidRPr="00CE648A" w:rsidRDefault="005416FC" w:rsidP="005416FC">
      <w:r w:rsidRPr="00CE648A">
        <w:t xml:space="preserve">Sollte der A sich wider Erwarten doch nicht abbringen lassen, möchte S wenigstens dafür sorgen, dass A den Laden nicht vor die Wand fährt. Mit dem V versteht sich S nicht nur blendend, er hat auch – trotz der Vorfälle der letzten Jahre – volles Vertrauen in dessen Unternehmerqualitäten. Daher fügt er der Erlaubnis das Gebot bei, der V müsse innerhalb der ersten sechs Monate </w:t>
      </w:r>
      <w:r>
        <w:t>hinter der Theke</w:t>
      </w:r>
      <w:r w:rsidRPr="00CE648A">
        <w:t xml:space="preserve"> im Club mitarbeiten, „um durch seine jahrzehntela</w:t>
      </w:r>
      <w:r>
        <w:t>n</w:t>
      </w:r>
      <w:r w:rsidRPr="00CE648A">
        <w:t xml:space="preserve">ge Erfahrung im Gaststättengewerbe zum Schutz der Gäste beizutragen“. </w:t>
      </w:r>
    </w:p>
    <w:p w14:paraId="2033B3C8" w14:textId="3E2A7CDA" w:rsidR="005416FC" w:rsidRPr="00CE648A" w:rsidRDefault="005416FC" w:rsidP="005416FC">
      <w:r w:rsidRPr="00CE648A">
        <w:t>Am 7.5.2019 geht der S persönlich beim A vorbei, um ihm den schriftlichen und mit Begründung wie ordnungsgemäßer Rechtsbehelfsbelehrung versehenen Bescheid zu übergeben. Als A den Umschlag öffnet, ist er schrecklich erleichtert. Er hatte befürchtet, man werde ihn aufgrund der Vorfälle betreffend seinen Vater „in Sippenhaft nehmen“ und die Erlaubnis versagen. Die einschränkenden Vorgaben nimmt er zwar zu</w:t>
      </w:r>
      <w:r w:rsidR="003C75EA">
        <w:t>r</w:t>
      </w:r>
      <w:r w:rsidRPr="00CE648A">
        <w:t xml:space="preserve"> Kenntnis, ist sich aber sicher, dass sich das bis Ende des Jahres „schon irgendwie wuppen lassen wird“. Bevor er am 29.5.2019 für sechs Wochen auf Reisen geht – ein letztes Mal, bevor der Ernst des Unternehmerlebens beginnt –, beauftragt er gleichwohl noch einen Sachverständigen mit der Prüfung der Einrichtung </w:t>
      </w:r>
      <w:r>
        <w:t>der erwarteten</w:t>
      </w:r>
      <w:r w:rsidRPr="00CE648A">
        <w:t xml:space="preserve"> Lärmschutzmaßnahmen. </w:t>
      </w:r>
    </w:p>
    <w:p w14:paraId="7A84BE38" w14:textId="77777777" w:rsidR="005416FC" w:rsidRPr="00CE648A" w:rsidRDefault="005416FC" w:rsidP="005416FC">
      <w:r w:rsidRPr="00CE648A">
        <w:t xml:space="preserve">Als A am 10.7.2019 zurückkehrt, liegt ihm </w:t>
      </w:r>
      <w:r>
        <w:t>dessen Gutachten</w:t>
      </w:r>
      <w:r w:rsidRPr="00CE648A">
        <w:t xml:space="preserve"> vor – indes mit einem für ihn überraschenden Ergebnis: Der Sachverständige resümiert, dass – was den Tatsachen entspricht – nach dem aktuellen Stand von Wissenschaft und Technik keine Lärmschutzmaßnahmen bekannt sind, die den Lärmpegel eines Electro-Clubs (von durchschnittlich rund 100 dB[A]</w:t>
      </w:r>
      <w:r>
        <w:t>, was zutrifft</w:t>
      </w:r>
      <w:r w:rsidRPr="00CE648A">
        <w:t>) in diesen Räumlichkeiten derart reduzieren könnten, dass dem geforderten Immissionsrichtwert von 10 dB(A) entsprochen werden könnte. Zynisch schließt er mit den Worten: „Musik auf Zimmerlautstärke oder ein gediegener Lese- und Gesprächszirkel sollten jedoch realisierbar sein.“</w:t>
      </w:r>
    </w:p>
    <w:p w14:paraId="51825DE2" w14:textId="497CF9D9" w:rsidR="005416FC" w:rsidRPr="00CE648A" w:rsidRDefault="005416FC" w:rsidP="005416FC">
      <w:r w:rsidRPr="00CE648A">
        <w:t>Noch am selben Abend trifft der A sich auf ein Bier mit seiner alten Freundin F, die mittlerweile erfolgreiche Fachanwält</w:t>
      </w:r>
      <w:r w:rsidR="003C75EA">
        <w:t>i</w:t>
      </w:r>
      <w:r w:rsidRPr="00CE648A">
        <w:t xml:space="preserve">n im Verwaltungsrecht ist. Er erzählt ihr von seinen Plänen für das „Turn Up“ und wie sie nun wohl durch die Einschränkungen zur ihm erteilten Erlaubnis zunichte gemacht würden. Die nötigen Immissionsrichtwerte könnten schlicht nicht eingehalten werden und seinen Vater V könnte er in seinem aktuellen Zustand unter keinen Umständen hinter die Theke seines Clubs lassen. Er wolle auf jeden Fall vor Gericht ziehen. F bietet an, direkt am nächsten Tag einen prüfenden Blick auf den Vorgang zu werfen. </w:t>
      </w:r>
    </w:p>
    <w:p w14:paraId="1158848A" w14:textId="2C414E03" w:rsidR="005416FC" w:rsidRPr="00CE648A" w:rsidRDefault="005416FC" w:rsidP="005416FC">
      <w:pPr>
        <w:rPr>
          <w:b/>
        </w:rPr>
      </w:pPr>
      <w:r w:rsidRPr="00CE648A">
        <w:rPr>
          <w:b/>
        </w:rPr>
        <w:t>Welche Möglichkeiten bieten sich dem A</w:t>
      </w:r>
      <w:r w:rsidR="003C75EA">
        <w:rPr>
          <w:b/>
        </w:rPr>
        <w:t xml:space="preserve"> aktuell</w:t>
      </w:r>
      <w:r w:rsidRPr="00CE648A">
        <w:rPr>
          <w:b/>
        </w:rPr>
        <w:t>, um gegen die Einschränkungen vor Gericht vorzugehen?</w:t>
      </w:r>
    </w:p>
    <w:p w14:paraId="0BE16905" w14:textId="77777777" w:rsidR="005416FC" w:rsidRDefault="005416FC" w:rsidP="005416FC"/>
    <w:p w14:paraId="0296120B" w14:textId="6CD1E5BB" w:rsidR="005416FC" w:rsidRDefault="00095F85" w:rsidP="005416FC">
      <w:r>
        <w:rPr>
          <w:b/>
        </w:rPr>
        <w:t>Bearbeitungs</w:t>
      </w:r>
      <w:r w:rsidR="005416FC" w:rsidRPr="00095F85">
        <w:rPr>
          <w:b/>
        </w:rPr>
        <w:t>vermerk:</w:t>
      </w:r>
      <w:r w:rsidR="005416FC">
        <w:t xml:space="preserve"> Auf das Gaststättengesetz und die Sechste Allgemeine Verwaltungsvorschrift zum Bundes-Immissionsschutzgesetz (Technische Anleitung zum Schutz gegen Lä</w:t>
      </w:r>
      <w:r w:rsidR="0001383E">
        <w:t>rm – TA Lärm) wird hingewiesen.</w:t>
      </w:r>
    </w:p>
    <w:p w14:paraId="7E6B8E0E" w14:textId="77777777" w:rsidR="0001383E" w:rsidRDefault="0001383E">
      <w:pPr>
        <w:jc w:val="left"/>
        <w:rPr>
          <w:rFonts w:ascii="Calibri" w:eastAsiaTheme="majorEastAsia" w:hAnsi="Calibri" w:cstheme="majorBidi"/>
          <w:sz w:val="26"/>
          <w:szCs w:val="26"/>
        </w:rPr>
      </w:pPr>
      <w:r>
        <w:br w:type="page"/>
      </w:r>
    </w:p>
    <w:p w14:paraId="523EEC2A" w14:textId="4133E1D5" w:rsidR="005416FC" w:rsidRPr="00252B37" w:rsidRDefault="005416FC" w:rsidP="0001383E">
      <w:pPr>
        <w:pStyle w:val="berschrift3"/>
      </w:pPr>
      <w:r w:rsidRPr="00252B37">
        <w:t>Lösungsgliederung</w:t>
      </w:r>
    </w:p>
    <w:p w14:paraId="52F6DBA1" w14:textId="77777777" w:rsidR="005416FC" w:rsidRDefault="005416FC" w:rsidP="005416FC">
      <w:pPr>
        <w:pStyle w:val="Randnummer"/>
        <w:framePr w:wrap="around"/>
      </w:pPr>
    </w:p>
    <w:p w14:paraId="66CA497B" w14:textId="5C516817" w:rsidR="007537A8" w:rsidRDefault="000434BF">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"Fall12" </w:instrText>
      </w:r>
      <w:r>
        <w:rPr>
          <w:rFonts w:eastAsiaTheme="majorEastAsia"/>
        </w:rPr>
        <w:fldChar w:fldCharType="separate"/>
      </w:r>
      <w:hyperlink w:anchor="_Toc22133268" w:history="1">
        <w:r w:rsidR="007537A8" w:rsidRPr="00600467">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_Toc22133268 \h </w:instrText>
        </w:r>
        <w:r w:rsidR="007537A8">
          <w:rPr>
            <w:noProof/>
            <w:webHidden/>
          </w:rPr>
        </w:r>
        <w:r w:rsidR="007537A8">
          <w:rPr>
            <w:noProof/>
            <w:webHidden/>
          </w:rPr>
          <w:fldChar w:fldCharType="separate"/>
        </w:r>
        <w:r w:rsidR="007537A8">
          <w:rPr>
            <w:noProof/>
            <w:webHidden/>
          </w:rPr>
          <w:t>176</w:t>
        </w:r>
        <w:r w:rsidR="007537A8">
          <w:rPr>
            <w:noProof/>
            <w:webHidden/>
          </w:rPr>
          <w:fldChar w:fldCharType="end"/>
        </w:r>
      </w:hyperlink>
    </w:p>
    <w:p w14:paraId="7971DDC7" w14:textId="2E0CF5BC" w:rsidR="007537A8" w:rsidRDefault="00091FED">
      <w:pPr>
        <w:pStyle w:val="Verzeichnis4"/>
        <w:tabs>
          <w:tab w:val="right" w:leader="dot" w:pos="7361"/>
        </w:tabs>
        <w:rPr>
          <w:rFonts w:eastAsiaTheme="minorEastAsia"/>
          <w:noProof/>
          <w:sz w:val="22"/>
          <w:szCs w:val="22"/>
          <w:lang w:eastAsia="de-DE"/>
        </w:rPr>
      </w:pPr>
      <w:hyperlink w:anchor="_Toc22133269" w:history="1">
        <w:r w:rsidR="007537A8" w:rsidRPr="00600467">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_Toc22133269 \h </w:instrText>
        </w:r>
        <w:r w:rsidR="007537A8">
          <w:rPr>
            <w:noProof/>
            <w:webHidden/>
          </w:rPr>
        </w:r>
        <w:r w:rsidR="007537A8">
          <w:rPr>
            <w:noProof/>
            <w:webHidden/>
          </w:rPr>
          <w:fldChar w:fldCharType="separate"/>
        </w:r>
        <w:r w:rsidR="007537A8">
          <w:rPr>
            <w:noProof/>
            <w:webHidden/>
          </w:rPr>
          <w:t>176</w:t>
        </w:r>
        <w:r w:rsidR="007537A8">
          <w:rPr>
            <w:noProof/>
            <w:webHidden/>
          </w:rPr>
          <w:fldChar w:fldCharType="end"/>
        </w:r>
      </w:hyperlink>
    </w:p>
    <w:p w14:paraId="2056234A" w14:textId="60DA834F" w:rsidR="007537A8" w:rsidRDefault="00091FED">
      <w:pPr>
        <w:pStyle w:val="Verzeichnis5"/>
        <w:tabs>
          <w:tab w:val="right" w:leader="dot" w:pos="7361"/>
        </w:tabs>
        <w:rPr>
          <w:rFonts w:eastAsiaTheme="minorEastAsia"/>
          <w:noProof/>
          <w:sz w:val="22"/>
          <w:szCs w:val="22"/>
          <w:lang w:eastAsia="de-DE"/>
        </w:rPr>
      </w:pPr>
      <w:hyperlink w:anchor="_Toc22133270" w:history="1">
        <w:r w:rsidR="007537A8" w:rsidRPr="00600467">
          <w:rPr>
            <w:rStyle w:val="Hyperlink"/>
            <w:noProof/>
          </w:rPr>
          <w:t>I. Eröffnung des Verwaltungsrechtsweges</w:t>
        </w:r>
        <w:r w:rsidR="007537A8">
          <w:rPr>
            <w:noProof/>
            <w:webHidden/>
          </w:rPr>
          <w:tab/>
        </w:r>
        <w:r w:rsidR="007537A8">
          <w:rPr>
            <w:noProof/>
            <w:webHidden/>
          </w:rPr>
          <w:fldChar w:fldCharType="begin"/>
        </w:r>
        <w:r w:rsidR="007537A8">
          <w:rPr>
            <w:noProof/>
            <w:webHidden/>
          </w:rPr>
          <w:instrText xml:space="preserve"> PAGEREF _Toc22133270 \h </w:instrText>
        </w:r>
        <w:r w:rsidR="007537A8">
          <w:rPr>
            <w:noProof/>
            <w:webHidden/>
          </w:rPr>
        </w:r>
        <w:r w:rsidR="007537A8">
          <w:rPr>
            <w:noProof/>
            <w:webHidden/>
          </w:rPr>
          <w:fldChar w:fldCharType="separate"/>
        </w:r>
        <w:r w:rsidR="007537A8">
          <w:rPr>
            <w:noProof/>
            <w:webHidden/>
          </w:rPr>
          <w:t>176</w:t>
        </w:r>
        <w:r w:rsidR="007537A8">
          <w:rPr>
            <w:noProof/>
            <w:webHidden/>
          </w:rPr>
          <w:fldChar w:fldCharType="end"/>
        </w:r>
      </w:hyperlink>
    </w:p>
    <w:p w14:paraId="23949B70" w14:textId="5F8F9317" w:rsidR="007537A8" w:rsidRDefault="00091FED">
      <w:pPr>
        <w:pStyle w:val="Verzeichnis5"/>
        <w:tabs>
          <w:tab w:val="right" w:leader="dot" w:pos="7361"/>
        </w:tabs>
        <w:rPr>
          <w:rFonts w:eastAsiaTheme="minorEastAsia"/>
          <w:noProof/>
          <w:sz w:val="22"/>
          <w:szCs w:val="22"/>
          <w:lang w:eastAsia="de-DE"/>
        </w:rPr>
      </w:pPr>
      <w:hyperlink w:anchor="_Toc22133271" w:history="1">
        <w:r w:rsidR="007537A8" w:rsidRPr="00600467">
          <w:rPr>
            <w:rStyle w:val="Hyperlink"/>
            <w:noProof/>
          </w:rPr>
          <w:t>II. Statthafte Klageart</w:t>
        </w:r>
        <w:r w:rsidR="007537A8">
          <w:rPr>
            <w:noProof/>
            <w:webHidden/>
          </w:rPr>
          <w:tab/>
        </w:r>
        <w:r w:rsidR="007537A8">
          <w:rPr>
            <w:noProof/>
            <w:webHidden/>
          </w:rPr>
          <w:fldChar w:fldCharType="begin"/>
        </w:r>
        <w:r w:rsidR="007537A8">
          <w:rPr>
            <w:noProof/>
            <w:webHidden/>
          </w:rPr>
          <w:instrText xml:space="preserve"> PAGEREF _Toc22133271 \h </w:instrText>
        </w:r>
        <w:r w:rsidR="007537A8">
          <w:rPr>
            <w:noProof/>
            <w:webHidden/>
          </w:rPr>
        </w:r>
        <w:r w:rsidR="007537A8">
          <w:rPr>
            <w:noProof/>
            <w:webHidden/>
          </w:rPr>
          <w:fldChar w:fldCharType="separate"/>
        </w:r>
        <w:r w:rsidR="007537A8">
          <w:rPr>
            <w:noProof/>
            <w:webHidden/>
          </w:rPr>
          <w:t>177</w:t>
        </w:r>
        <w:r w:rsidR="007537A8">
          <w:rPr>
            <w:noProof/>
            <w:webHidden/>
          </w:rPr>
          <w:fldChar w:fldCharType="end"/>
        </w:r>
      </w:hyperlink>
    </w:p>
    <w:p w14:paraId="171BCB17" w14:textId="36E958C8" w:rsidR="007537A8" w:rsidRDefault="00091FED">
      <w:pPr>
        <w:pStyle w:val="Verzeichnis5"/>
        <w:tabs>
          <w:tab w:val="right" w:leader="dot" w:pos="7361"/>
        </w:tabs>
        <w:rPr>
          <w:rFonts w:eastAsiaTheme="minorEastAsia"/>
          <w:noProof/>
          <w:sz w:val="22"/>
          <w:szCs w:val="22"/>
          <w:lang w:eastAsia="de-DE"/>
        </w:rPr>
      </w:pPr>
      <w:hyperlink w:anchor="_Toc22133272" w:history="1">
        <w:r w:rsidR="007537A8" w:rsidRPr="00600467">
          <w:rPr>
            <w:rStyle w:val="Hyperlink"/>
            <w:noProof/>
          </w:rPr>
          <w:t>III. Berechtigtes Interesse und Klagebefugnis</w:t>
        </w:r>
        <w:r w:rsidR="007537A8">
          <w:rPr>
            <w:noProof/>
            <w:webHidden/>
          </w:rPr>
          <w:tab/>
        </w:r>
        <w:r w:rsidR="007537A8">
          <w:rPr>
            <w:noProof/>
            <w:webHidden/>
          </w:rPr>
          <w:fldChar w:fldCharType="begin"/>
        </w:r>
        <w:r w:rsidR="007537A8">
          <w:rPr>
            <w:noProof/>
            <w:webHidden/>
          </w:rPr>
          <w:instrText xml:space="preserve"> PAGEREF _Toc22133272 \h </w:instrText>
        </w:r>
        <w:r w:rsidR="007537A8">
          <w:rPr>
            <w:noProof/>
            <w:webHidden/>
          </w:rPr>
        </w:r>
        <w:r w:rsidR="007537A8">
          <w:rPr>
            <w:noProof/>
            <w:webHidden/>
          </w:rPr>
          <w:fldChar w:fldCharType="separate"/>
        </w:r>
        <w:r w:rsidR="007537A8">
          <w:rPr>
            <w:noProof/>
            <w:webHidden/>
          </w:rPr>
          <w:t>179</w:t>
        </w:r>
        <w:r w:rsidR="007537A8">
          <w:rPr>
            <w:noProof/>
            <w:webHidden/>
          </w:rPr>
          <w:fldChar w:fldCharType="end"/>
        </w:r>
      </w:hyperlink>
    </w:p>
    <w:p w14:paraId="204AFC10" w14:textId="41E7BCE1" w:rsidR="007537A8" w:rsidRDefault="00091FED">
      <w:pPr>
        <w:pStyle w:val="Verzeichnis5"/>
        <w:tabs>
          <w:tab w:val="right" w:leader="dot" w:pos="7361"/>
        </w:tabs>
        <w:rPr>
          <w:rFonts w:eastAsiaTheme="minorEastAsia"/>
          <w:noProof/>
          <w:sz w:val="22"/>
          <w:szCs w:val="22"/>
          <w:lang w:eastAsia="de-DE"/>
        </w:rPr>
      </w:pPr>
      <w:hyperlink w:anchor="_Toc22133273" w:history="1">
        <w:r w:rsidR="007537A8" w:rsidRPr="00600467">
          <w:rPr>
            <w:rStyle w:val="Hyperlink"/>
            <w:noProof/>
          </w:rPr>
          <w:t>IV. Vorverfahren und Klagefrist</w:t>
        </w:r>
        <w:r w:rsidR="007537A8">
          <w:rPr>
            <w:noProof/>
            <w:webHidden/>
          </w:rPr>
          <w:tab/>
        </w:r>
        <w:r w:rsidR="007537A8">
          <w:rPr>
            <w:noProof/>
            <w:webHidden/>
          </w:rPr>
          <w:fldChar w:fldCharType="begin"/>
        </w:r>
        <w:r w:rsidR="007537A8">
          <w:rPr>
            <w:noProof/>
            <w:webHidden/>
          </w:rPr>
          <w:instrText xml:space="preserve"> PAGEREF _Toc22133273 \h </w:instrText>
        </w:r>
        <w:r w:rsidR="007537A8">
          <w:rPr>
            <w:noProof/>
            <w:webHidden/>
          </w:rPr>
        </w:r>
        <w:r w:rsidR="007537A8">
          <w:rPr>
            <w:noProof/>
            <w:webHidden/>
          </w:rPr>
          <w:fldChar w:fldCharType="separate"/>
        </w:r>
        <w:r w:rsidR="007537A8">
          <w:rPr>
            <w:noProof/>
            <w:webHidden/>
          </w:rPr>
          <w:t>180</w:t>
        </w:r>
        <w:r w:rsidR="007537A8">
          <w:rPr>
            <w:noProof/>
            <w:webHidden/>
          </w:rPr>
          <w:fldChar w:fldCharType="end"/>
        </w:r>
      </w:hyperlink>
    </w:p>
    <w:p w14:paraId="77B4A8F5" w14:textId="0578ABA1" w:rsidR="007537A8" w:rsidRDefault="00091FED">
      <w:pPr>
        <w:pStyle w:val="Verzeichnis5"/>
        <w:tabs>
          <w:tab w:val="right" w:leader="dot" w:pos="7361"/>
        </w:tabs>
        <w:rPr>
          <w:rFonts w:eastAsiaTheme="minorEastAsia"/>
          <w:noProof/>
          <w:sz w:val="22"/>
          <w:szCs w:val="22"/>
          <w:lang w:eastAsia="de-DE"/>
        </w:rPr>
      </w:pPr>
      <w:hyperlink w:anchor="_Toc22133274" w:history="1">
        <w:r w:rsidR="007537A8" w:rsidRPr="00600467">
          <w:rPr>
            <w:rStyle w:val="Hyperlink"/>
            <w:noProof/>
          </w:rPr>
          <w:t>V. Allgemeines Rechtsschutzbedürfnis</w:t>
        </w:r>
        <w:r w:rsidR="007537A8">
          <w:rPr>
            <w:noProof/>
            <w:webHidden/>
          </w:rPr>
          <w:tab/>
        </w:r>
        <w:r w:rsidR="007537A8">
          <w:rPr>
            <w:noProof/>
            <w:webHidden/>
          </w:rPr>
          <w:fldChar w:fldCharType="begin"/>
        </w:r>
        <w:r w:rsidR="007537A8">
          <w:rPr>
            <w:noProof/>
            <w:webHidden/>
          </w:rPr>
          <w:instrText xml:space="preserve"> PAGEREF _Toc22133274 \h </w:instrText>
        </w:r>
        <w:r w:rsidR="007537A8">
          <w:rPr>
            <w:noProof/>
            <w:webHidden/>
          </w:rPr>
        </w:r>
        <w:r w:rsidR="007537A8">
          <w:rPr>
            <w:noProof/>
            <w:webHidden/>
          </w:rPr>
          <w:fldChar w:fldCharType="separate"/>
        </w:r>
        <w:r w:rsidR="007537A8">
          <w:rPr>
            <w:noProof/>
            <w:webHidden/>
          </w:rPr>
          <w:t>180</w:t>
        </w:r>
        <w:r w:rsidR="007537A8">
          <w:rPr>
            <w:noProof/>
            <w:webHidden/>
          </w:rPr>
          <w:fldChar w:fldCharType="end"/>
        </w:r>
      </w:hyperlink>
    </w:p>
    <w:p w14:paraId="68C2B337" w14:textId="25BD755C" w:rsidR="007537A8" w:rsidRDefault="00091FED">
      <w:pPr>
        <w:pStyle w:val="Verzeichnis5"/>
        <w:tabs>
          <w:tab w:val="right" w:leader="dot" w:pos="7361"/>
        </w:tabs>
        <w:rPr>
          <w:rFonts w:eastAsiaTheme="minorEastAsia"/>
          <w:noProof/>
          <w:sz w:val="22"/>
          <w:szCs w:val="22"/>
          <w:lang w:eastAsia="de-DE"/>
        </w:rPr>
      </w:pPr>
      <w:hyperlink w:anchor="_Toc22133275" w:history="1">
        <w:r w:rsidR="007537A8" w:rsidRPr="00600467">
          <w:rPr>
            <w:rStyle w:val="Hyperlink"/>
            <w:noProof/>
          </w:rPr>
          <w:t>VI. Zwischenergebnis</w:t>
        </w:r>
        <w:r w:rsidR="007537A8">
          <w:rPr>
            <w:noProof/>
            <w:webHidden/>
          </w:rPr>
          <w:tab/>
        </w:r>
        <w:r w:rsidR="007537A8">
          <w:rPr>
            <w:noProof/>
            <w:webHidden/>
          </w:rPr>
          <w:fldChar w:fldCharType="begin"/>
        </w:r>
        <w:r w:rsidR="007537A8">
          <w:rPr>
            <w:noProof/>
            <w:webHidden/>
          </w:rPr>
          <w:instrText xml:space="preserve"> PAGEREF _Toc22133275 \h </w:instrText>
        </w:r>
        <w:r w:rsidR="007537A8">
          <w:rPr>
            <w:noProof/>
            <w:webHidden/>
          </w:rPr>
        </w:r>
        <w:r w:rsidR="007537A8">
          <w:rPr>
            <w:noProof/>
            <w:webHidden/>
          </w:rPr>
          <w:fldChar w:fldCharType="separate"/>
        </w:r>
        <w:r w:rsidR="007537A8">
          <w:rPr>
            <w:noProof/>
            <w:webHidden/>
          </w:rPr>
          <w:t>181</w:t>
        </w:r>
        <w:r w:rsidR="007537A8">
          <w:rPr>
            <w:noProof/>
            <w:webHidden/>
          </w:rPr>
          <w:fldChar w:fldCharType="end"/>
        </w:r>
      </w:hyperlink>
    </w:p>
    <w:p w14:paraId="10623AB2" w14:textId="61A27C31" w:rsidR="007537A8" w:rsidRDefault="00091FED">
      <w:pPr>
        <w:pStyle w:val="Verzeichnis4"/>
        <w:tabs>
          <w:tab w:val="right" w:leader="dot" w:pos="7361"/>
        </w:tabs>
        <w:rPr>
          <w:rFonts w:eastAsiaTheme="minorEastAsia"/>
          <w:noProof/>
          <w:sz w:val="22"/>
          <w:szCs w:val="22"/>
          <w:lang w:eastAsia="de-DE"/>
        </w:rPr>
      </w:pPr>
      <w:hyperlink w:anchor="_Toc22133276" w:history="1">
        <w:r w:rsidR="007537A8" w:rsidRPr="00600467">
          <w:rPr>
            <w:rStyle w:val="Hyperlink"/>
            <w:noProof/>
          </w:rPr>
          <w:t>B. Begründetheit</w:t>
        </w:r>
        <w:r w:rsidR="007537A8">
          <w:rPr>
            <w:noProof/>
            <w:webHidden/>
          </w:rPr>
          <w:tab/>
        </w:r>
        <w:r w:rsidR="007537A8">
          <w:rPr>
            <w:noProof/>
            <w:webHidden/>
          </w:rPr>
          <w:fldChar w:fldCharType="begin"/>
        </w:r>
        <w:r w:rsidR="007537A8">
          <w:rPr>
            <w:noProof/>
            <w:webHidden/>
          </w:rPr>
          <w:instrText xml:space="preserve"> PAGEREF _Toc22133276 \h </w:instrText>
        </w:r>
        <w:r w:rsidR="007537A8">
          <w:rPr>
            <w:noProof/>
            <w:webHidden/>
          </w:rPr>
        </w:r>
        <w:r w:rsidR="007537A8">
          <w:rPr>
            <w:noProof/>
            <w:webHidden/>
          </w:rPr>
          <w:fldChar w:fldCharType="separate"/>
        </w:r>
        <w:r w:rsidR="007537A8">
          <w:rPr>
            <w:noProof/>
            <w:webHidden/>
          </w:rPr>
          <w:t>181</w:t>
        </w:r>
        <w:r w:rsidR="007537A8">
          <w:rPr>
            <w:noProof/>
            <w:webHidden/>
          </w:rPr>
          <w:fldChar w:fldCharType="end"/>
        </w:r>
      </w:hyperlink>
    </w:p>
    <w:p w14:paraId="23727FDB" w14:textId="058FD6AC" w:rsidR="007537A8" w:rsidRDefault="00091FED">
      <w:pPr>
        <w:pStyle w:val="Verzeichnis5"/>
        <w:tabs>
          <w:tab w:val="right" w:leader="dot" w:pos="7361"/>
        </w:tabs>
        <w:rPr>
          <w:rFonts w:eastAsiaTheme="minorEastAsia"/>
          <w:noProof/>
          <w:sz w:val="22"/>
          <w:szCs w:val="22"/>
          <w:lang w:eastAsia="de-DE"/>
        </w:rPr>
      </w:pPr>
      <w:hyperlink w:anchor="_Toc22133277" w:history="1">
        <w:r w:rsidR="007537A8" w:rsidRPr="00600467">
          <w:rPr>
            <w:rStyle w:val="Hyperlink"/>
            <w:noProof/>
          </w:rPr>
          <w:t>I. Nichtigkeit des Verwaltungsakts</w:t>
        </w:r>
        <w:r w:rsidR="007537A8">
          <w:rPr>
            <w:noProof/>
            <w:webHidden/>
          </w:rPr>
          <w:tab/>
        </w:r>
        <w:r w:rsidR="007537A8">
          <w:rPr>
            <w:noProof/>
            <w:webHidden/>
          </w:rPr>
          <w:fldChar w:fldCharType="begin"/>
        </w:r>
        <w:r w:rsidR="007537A8">
          <w:rPr>
            <w:noProof/>
            <w:webHidden/>
          </w:rPr>
          <w:instrText xml:space="preserve"> PAGEREF _Toc22133277 \h </w:instrText>
        </w:r>
        <w:r w:rsidR="007537A8">
          <w:rPr>
            <w:noProof/>
            <w:webHidden/>
          </w:rPr>
        </w:r>
        <w:r w:rsidR="007537A8">
          <w:rPr>
            <w:noProof/>
            <w:webHidden/>
          </w:rPr>
          <w:fldChar w:fldCharType="separate"/>
        </w:r>
        <w:r w:rsidR="007537A8">
          <w:rPr>
            <w:noProof/>
            <w:webHidden/>
          </w:rPr>
          <w:t>181</w:t>
        </w:r>
        <w:r w:rsidR="007537A8">
          <w:rPr>
            <w:noProof/>
            <w:webHidden/>
          </w:rPr>
          <w:fldChar w:fldCharType="end"/>
        </w:r>
      </w:hyperlink>
    </w:p>
    <w:p w14:paraId="7A9FA915" w14:textId="6677C4D4" w:rsidR="007537A8" w:rsidRDefault="00091FED">
      <w:pPr>
        <w:pStyle w:val="Verzeichnis6"/>
        <w:tabs>
          <w:tab w:val="right" w:leader="dot" w:pos="7361"/>
        </w:tabs>
        <w:rPr>
          <w:noProof/>
          <w:sz w:val="22"/>
          <w:szCs w:val="22"/>
          <w:lang w:eastAsia="de-DE"/>
        </w:rPr>
      </w:pPr>
      <w:hyperlink w:anchor="_Toc22133278" w:history="1">
        <w:r w:rsidR="007537A8" w:rsidRPr="00600467">
          <w:rPr>
            <w:rStyle w:val="Hyperlink"/>
            <w:noProof/>
          </w:rPr>
          <w:t>1. Fehlende Anhörung des A</w:t>
        </w:r>
        <w:r w:rsidR="007537A8">
          <w:rPr>
            <w:noProof/>
            <w:webHidden/>
          </w:rPr>
          <w:tab/>
        </w:r>
        <w:r w:rsidR="007537A8">
          <w:rPr>
            <w:noProof/>
            <w:webHidden/>
          </w:rPr>
          <w:fldChar w:fldCharType="begin"/>
        </w:r>
        <w:r w:rsidR="007537A8">
          <w:rPr>
            <w:noProof/>
            <w:webHidden/>
          </w:rPr>
          <w:instrText xml:space="preserve"> PAGEREF _Toc22133278 \h </w:instrText>
        </w:r>
        <w:r w:rsidR="007537A8">
          <w:rPr>
            <w:noProof/>
            <w:webHidden/>
          </w:rPr>
        </w:r>
        <w:r w:rsidR="007537A8">
          <w:rPr>
            <w:noProof/>
            <w:webHidden/>
          </w:rPr>
          <w:fldChar w:fldCharType="separate"/>
        </w:r>
        <w:r w:rsidR="007537A8">
          <w:rPr>
            <w:noProof/>
            <w:webHidden/>
          </w:rPr>
          <w:t>181</w:t>
        </w:r>
        <w:r w:rsidR="007537A8">
          <w:rPr>
            <w:noProof/>
            <w:webHidden/>
          </w:rPr>
          <w:fldChar w:fldCharType="end"/>
        </w:r>
      </w:hyperlink>
    </w:p>
    <w:p w14:paraId="5A267121" w14:textId="33730F9C" w:rsidR="007537A8" w:rsidRDefault="00091FED">
      <w:pPr>
        <w:pStyle w:val="Verzeichnis6"/>
        <w:tabs>
          <w:tab w:val="right" w:leader="dot" w:pos="7361"/>
        </w:tabs>
        <w:rPr>
          <w:noProof/>
          <w:sz w:val="22"/>
          <w:szCs w:val="22"/>
          <w:lang w:eastAsia="de-DE"/>
        </w:rPr>
      </w:pPr>
      <w:hyperlink w:anchor="_Toc22133279" w:history="1">
        <w:r w:rsidR="007537A8" w:rsidRPr="00600467">
          <w:rPr>
            <w:rStyle w:val="Hyperlink"/>
            <w:noProof/>
          </w:rPr>
          <w:t>2. Mitwirkung des O im Verwaltungsverfahren um die Gaststättenerlaubnis für A</w:t>
        </w:r>
        <w:r w:rsidR="007537A8">
          <w:rPr>
            <w:noProof/>
            <w:webHidden/>
          </w:rPr>
          <w:tab/>
        </w:r>
        <w:r w:rsidR="007537A8">
          <w:rPr>
            <w:noProof/>
            <w:webHidden/>
          </w:rPr>
          <w:fldChar w:fldCharType="begin"/>
        </w:r>
        <w:r w:rsidR="007537A8">
          <w:rPr>
            <w:noProof/>
            <w:webHidden/>
          </w:rPr>
          <w:instrText xml:space="preserve"> PAGEREF _Toc22133279 \h </w:instrText>
        </w:r>
        <w:r w:rsidR="007537A8">
          <w:rPr>
            <w:noProof/>
            <w:webHidden/>
          </w:rPr>
        </w:r>
        <w:r w:rsidR="007537A8">
          <w:rPr>
            <w:noProof/>
            <w:webHidden/>
          </w:rPr>
          <w:fldChar w:fldCharType="separate"/>
        </w:r>
        <w:r w:rsidR="007537A8">
          <w:rPr>
            <w:noProof/>
            <w:webHidden/>
          </w:rPr>
          <w:t>183</w:t>
        </w:r>
        <w:r w:rsidR="007537A8">
          <w:rPr>
            <w:noProof/>
            <w:webHidden/>
          </w:rPr>
          <w:fldChar w:fldCharType="end"/>
        </w:r>
      </w:hyperlink>
    </w:p>
    <w:p w14:paraId="0FCEEB6A" w14:textId="4C9F58E7" w:rsidR="007537A8" w:rsidRDefault="00091FED">
      <w:pPr>
        <w:pStyle w:val="Verzeichnis7"/>
        <w:tabs>
          <w:tab w:val="right" w:leader="dot" w:pos="7361"/>
        </w:tabs>
        <w:rPr>
          <w:noProof/>
          <w:sz w:val="22"/>
          <w:szCs w:val="22"/>
          <w:lang w:eastAsia="de-DE"/>
        </w:rPr>
      </w:pPr>
      <w:hyperlink w:anchor="_Toc22133280" w:history="1">
        <w:r w:rsidR="007537A8" w:rsidRPr="00600467">
          <w:rPr>
            <w:rStyle w:val="Hyperlink"/>
            <w:noProof/>
          </w:rPr>
          <w:t>a) Vorliegen eines Rechtsfehlers</w:t>
        </w:r>
        <w:r w:rsidR="007537A8">
          <w:rPr>
            <w:noProof/>
            <w:webHidden/>
          </w:rPr>
          <w:tab/>
        </w:r>
        <w:r w:rsidR="007537A8">
          <w:rPr>
            <w:noProof/>
            <w:webHidden/>
          </w:rPr>
          <w:fldChar w:fldCharType="begin"/>
        </w:r>
        <w:r w:rsidR="007537A8">
          <w:rPr>
            <w:noProof/>
            <w:webHidden/>
          </w:rPr>
          <w:instrText xml:space="preserve"> PAGEREF _Toc22133280 \h </w:instrText>
        </w:r>
        <w:r w:rsidR="007537A8">
          <w:rPr>
            <w:noProof/>
            <w:webHidden/>
          </w:rPr>
        </w:r>
        <w:r w:rsidR="007537A8">
          <w:rPr>
            <w:noProof/>
            <w:webHidden/>
          </w:rPr>
          <w:fldChar w:fldCharType="separate"/>
        </w:r>
        <w:r w:rsidR="007537A8">
          <w:rPr>
            <w:noProof/>
            <w:webHidden/>
          </w:rPr>
          <w:t>183</w:t>
        </w:r>
        <w:r w:rsidR="007537A8">
          <w:rPr>
            <w:noProof/>
            <w:webHidden/>
          </w:rPr>
          <w:fldChar w:fldCharType="end"/>
        </w:r>
      </w:hyperlink>
    </w:p>
    <w:p w14:paraId="1029EE9E" w14:textId="110782E4" w:rsidR="007537A8" w:rsidRDefault="00091FED">
      <w:pPr>
        <w:pStyle w:val="Verzeichnis7"/>
        <w:tabs>
          <w:tab w:val="right" w:leader="dot" w:pos="7361"/>
        </w:tabs>
        <w:rPr>
          <w:noProof/>
          <w:sz w:val="22"/>
          <w:szCs w:val="22"/>
          <w:lang w:eastAsia="de-DE"/>
        </w:rPr>
      </w:pPr>
      <w:hyperlink w:anchor="_Toc22133281" w:history="1">
        <w:r w:rsidR="007537A8" w:rsidRPr="00600467">
          <w:rPr>
            <w:rStyle w:val="Hyperlink"/>
            <w:noProof/>
          </w:rPr>
          <w:t>b) Nichtigkeit gemäß § 44 I VwVfG NRW</w:t>
        </w:r>
        <w:r w:rsidR="007537A8">
          <w:rPr>
            <w:noProof/>
            <w:webHidden/>
          </w:rPr>
          <w:tab/>
        </w:r>
        <w:r w:rsidR="007537A8">
          <w:rPr>
            <w:noProof/>
            <w:webHidden/>
          </w:rPr>
          <w:fldChar w:fldCharType="begin"/>
        </w:r>
        <w:r w:rsidR="007537A8">
          <w:rPr>
            <w:noProof/>
            <w:webHidden/>
          </w:rPr>
          <w:instrText xml:space="preserve"> PAGEREF _Toc22133281 \h </w:instrText>
        </w:r>
        <w:r w:rsidR="007537A8">
          <w:rPr>
            <w:noProof/>
            <w:webHidden/>
          </w:rPr>
        </w:r>
        <w:r w:rsidR="007537A8">
          <w:rPr>
            <w:noProof/>
            <w:webHidden/>
          </w:rPr>
          <w:fldChar w:fldCharType="separate"/>
        </w:r>
        <w:r w:rsidR="007537A8">
          <w:rPr>
            <w:noProof/>
            <w:webHidden/>
          </w:rPr>
          <w:t>183</w:t>
        </w:r>
        <w:r w:rsidR="007537A8">
          <w:rPr>
            <w:noProof/>
            <w:webHidden/>
          </w:rPr>
          <w:fldChar w:fldCharType="end"/>
        </w:r>
      </w:hyperlink>
    </w:p>
    <w:p w14:paraId="33B3E436" w14:textId="2B471A74" w:rsidR="007537A8" w:rsidRDefault="00091FED">
      <w:pPr>
        <w:pStyle w:val="Verzeichnis8"/>
        <w:tabs>
          <w:tab w:val="right" w:leader="dot" w:pos="7361"/>
        </w:tabs>
        <w:rPr>
          <w:noProof/>
          <w:sz w:val="22"/>
          <w:szCs w:val="22"/>
          <w:lang w:eastAsia="de-DE"/>
        </w:rPr>
      </w:pPr>
      <w:hyperlink w:anchor="_Toc22133282" w:history="1">
        <w:r w:rsidR="007537A8" w:rsidRPr="00600467">
          <w:rPr>
            <w:rStyle w:val="Hyperlink"/>
            <w:noProof/>
          </w:rPr>
          <w:t>aa) Ausschlusstatbestand gemäß § 44 III VwVfG NRW</w:t>
        </w:r>
        <w:r w:rsidR="007537A8">
          <w:rPr>
            <w:noProof/>
            <w:webHidden/>
          </w:rPr>
          <w:tab/>
        </w:r>
        <w:r w:rsidR="007537A8">
          <w:rPr>
            <w:noProof/>
            <w:webHidden/>
          </w:rPr>
          <w:fldChar w:fldCharType="begin"/>
        </w:r>
        <w:r w:rsidR="007537A8">
          <w:rPr>
            <w:noProof/>
            <w:webHidden/>
          </w:rPr>
          <w:instrText xml:space="preserve"> PAGEREF _Toc22133282 \h </w:instrText>
        </w:r>
        <w:r w:rsidR="007537A8">
          <w:rPr>
            <w:noProof/>
            <w:webHidden/>
          </w:rPr>
        </w:r>
        <w:r w:rsidR="007537A8">
          <w:rPr>
            <w:noProof/>
            <w:webHidden/>
          </w:rPr>
          <w:fldChar w:fldCharType="separate"/>
        </w:r>
        <w:r w:rsidR="007537A8">
          <w:rPr>
            <w:noProof/>
            <w:webHidden/>
          </w:rPr>
          <w:t>184</w:t>
        </w:r>
        <w:r w:rsidR="007537A8">
          <w:rPr>
            <w:noProof/>
            <w:webHidden/>
          </w:rPr>
          <w:fldChar w:fldCharType="end"/>
        </w:r>
      </w:hyperlink>
    </w:p>
    <w:p w14:paraId="1746CA08" w14:textId="29F66117" w:rsidR="007537A8" w:rsidRDefault="00091FED">
      <w:pPr>
        <w:pStyle w:val="Verzeichnis8"/>
        <w:tabs>
          <w:tab w:val="right" w:leader="dot" w:pos="7361"/>
        </w:tabs>
        <w:rPr>
          <w:noProof/>
          <w:sz w:val="22"/>
          <w:szCs w:val="22"/>
          <w:lang w:eastAsia="de-DE"/>
        </w:rPr>
      </w:pPr>
      <w:hyperlink w:anchor="_Toc22133283" w:history="1">
        <w:r w:rsidR="007537A8" w:rsidRPr="00600467">
          <w:rPr>
            <w:rStyle w:val="Hyperlink"/>
            <w:noProof/>
          </w:rPr>
          <w:t>bb) Besonders schwerwiegender Fehler</w:t>
        </w:r>
        <w:r w:rsidR="007537A8">
          <w:rPr>
            <w:noProof/>
            <w:webHidden/>
          </w:rPr>
          <w:tab/>
        </w:r>
        <w:r w:rsidR="007537A8">
          <w:rPr>
            <w:noProof/>
            <w:webHidden/>
          </w:rPr>
          <w:fldChar w:fldCharType="begin"/>
        </w:r>
        <w:r w:rsidR="007537A8">
          <w:rPr>
            <w:noProof/>
            <w:webHidden/>
          </w:rPr>
          <w:instrText xml:space="preserve"> PAGEREF _Toc22133283 \h </w:instrText>
        </w:r>
        <w:r w:rsidR="007537A8">
          <w:rPr>
            <w:noProof/>
            <w:webHidden/>
          </w:rPr>
        </w:r>
        <w:r w:rsidR="007537A8">
          <w:rPr>
            <w:noProof/>
            <w:webHidden/>
          </w:rPr>
          <w:fldChar w:fldCharType="separate"/>
        </w:r>
        <w:r w:rsidR="007537A8">
          <w:rPr>
            <w:noProof/>
            <w:webHidden/>
          </w:rPr>
          <w:t>184</w:t>
        </w:r>
        <w:r w:rsidR="007537A8">
          <w:rPr>
            <w:noProof/>
            <w:webHidden/>
          </w:rPr>
          <w:fldChar w:fldCharType="end"/>
        </w:r>
      </w:hyperlink>
    </w:p>
    <w:p w14:paraId="11C1434A" w14:textId="3ACCF904" w:rsidR="007537A8" w:rsidRDefault="00091FED">
      <w:pPr>
        <w:pStyle w:val="Verzeichnis8"/>
        <w:tabs>
          <w:tab w:val="right" w:leader="dot" w:pos="7361"/>
        </w:tabs>
        <w:rPr>
          <w:noProof/>
          <w:sz w:val="22"/>
          <w:szCs w:val="22"/>
          <w:lang w:eastAsia="de-DE"/>
        </w:rPr>
      </w:pPr>
      <w:hyperlink w:anchor="_Toc22133284" w:history="1">
        <w:r w:rsidR="007537A8" w:rsidRPr="00600467">
          <w:rPr>
            <w:rStyle w:val="Hyperlink"/>
            <w:noProof/>
          </w:rPr>
          <w:t>cc) Offenkundigkeit</w:t>
        </w:r>
        <w:r w:rsidR="007537A8">
          <w:rPr>
            <w:noProof/>
            <w:webHidden/>
          </w:rPr>
          <w:tab/>
        </w:r>
        <w:r w:rsidR="007537A8">
          <w:rPr>
            <w:noProof/>
            <w:webHidden/>
          </w:rPr>
          <w:fldChar w:fldCharType="begin"/>
        </w:r>
        <w:r w:rsidR="007537A8">
          <w:rPr>
            <w:noProof/>
            <w:webHidden/>
          </w:rPr>
          <w:instrText xml:space="preserve"> PAGEREF _Toc22133284 \h </w:instrText>
        </w:r>
        <w:r w:rsidR="007537A8">
          <w:rPr>
            <w:noProof/>
            <w:webHidden/>
          </w:rPr>
        </w:r>
        <w:r w:rsidR="007537A8">
          <w:rPr>
            <w:noProof/>
            <w:webHidden/>
          </w:rPr>
          <w:fldChar w:fldCharType="separate"/>
        </w:r>
        <w:r w:rsidR="007537A8">
          <w:rPr>
            <w:noProof/>
            <w:webHidden/>
          </w:rPr>
          <w:t>185</w:t>
        </w:r>
        <w:r w:rsidR="007537A8">
          <w:rPr>
            <w:noProof/>
            <w:webHidden/>
          </w:rPr>
          <w:fldChar w:fldCharType="end"/>
        </w:r>
      </w:hyperlink>
    </w:p>
    <w:p w14:paraId="3E3F3211" w14:textId="574E9AD2" w:rsidR="007537A8" w:rsidRDefault="00091FED">
      <w:pPr>
        <w:pStyle w:val="Verzeichnis6"/>
        <w:tabs>
          <w:tab w:val="right" w:leader="dot" w:pos="7361"/>
        </w:tabs>
        <w:rPr>
          <w:noProof/>
          <w:sz w:val="22"/>
          <w:szCs w:val="22"/>
          <w:lang w:eastAsia="de-DE"/>
        </w:rPr>
      </w:pPr>
      <w:hyperlink w:anchor="_Toc22133285" w:history="1">
        <w:r w:rsidR="007537A8" w:rsidRPr="00600467">
          <w:rPr>
            <w:rStyle w:val="Hyperlink"/>
            <w:noProof/>
          </w:rPr>
          <w:t>3. Vorgabe der Erfüllung der angegebenen Immissionsrichtwerte durch Lärmschutzmaßnahmen</w:t>
        </w:r>
        <w:r w:rsidR="007537A8">
          <w:rPr>
            <w:noProof/>
            <w:webHidden/>
          </w:rPr>
          <w:tab/>
        </w:r>
        <w:r w:rsidR="007537A8">
          <w:rPr>
            <w:noProof/>
            <w:webHidden/>
          </w:rPr>
          <w:fldChar w:fldCharType="begin"/>
        </w:r>
        <w:r w:rsidR="007537A8">
          <w:rPr>
            <w:noProof/>
            <w:webHidden/>
          </w:rPr>
          <w:instrText xml:space="preserve"> PAGEREF _Toc22133285 \h </w:instrText>
        </w:r>
        <w:r w:rsidR="007537A8">
          <w:rPr>
            <w:noProof/>
            <w:webHidden/>
          </w:rPr>
        </w:r>
        <w:r w:rsidR="007537A8">
          <w:rPr>
            <w:noProof/>
            <w:webHidden/>
          </w:rPr>
          <w:fldChar w:fldCharType="separate"/>
        </w:r>
        <w:r w:rsidR="007537A8">
          <w:rPr>
            <w:noProof/>
            <w:webHidden/>
          </w:rPr>
          <w:t>186</w:t>
        </w:r>
        <w:r w:rsidR="007537A8">
          <w:rPr>
            <w:noProof/>
            <w:webHidden/>
          </w:rPr>
          <w:fldChar w:fldCharType="end"/>
        </w:r>
      </w:hyperlink>
    </w:p>
    <w:p w14:paraId="19709B42" w14:textId="7703B7CC" w:rsidR="007537A8" w:rsidRDefault="00091FED">
      <w:pPr>
        <w:pStyle w:val="Verzeichnis7"/>
        <w:tabs>
          <w:tab w:val="right" w:leader="dot" w:pos="7361"/>
        </w:tabs>
        <w:rPr>
          <w:noProof/>
          <w:sz w:val="22"/>
          <w:szCs w:val="22"/>
          <w:lang w:eastAsia="de-DE"/>
        </w:rPr>
      </w:pPr>
      <w:hyperlink w:anchor="_Toc22133286" w:history="1">
        <w:r w:rsidR="007537A8" w:rsidRPr="00600467">
          <w:rPr>
            <w:rStyle w:val="Hyperlink"/>
            <w:noProof/>
          </w:rPr>
          <w:t>a) Nichtigkeit gemäß § 44 II Nr. 4 VwVfG NRW</w:t>
        </w:r>
        <w:r w:rsidR="007537A8">
          <w:rPr>
            <w:noProof/>
            <w:webHidden/>
          </w:rPr>
          <w:tab/>
        </w:r>
        <w:r w:rsidR="007537A8">
          <w:rPr>
            <w:noProof/>
            <w:webHidden/>
          </w:rPr>
          <w:fldChar w:fldCharType="begin"/>
        </w:r>
        <w:r w:rsidR="007537A8">
          <w:rPr>
            <w:noProof/>
            <w:webHidden/>
          </w:rPr>
          <w:instrText xml:space="preserve"> PAGEREF _Toc22133286 \h </w:instrText>
        </w:r>
        <w:r w:rsidR="007537A8">
          <w:rPr>
            <w:noProof/>
            <w:webHidden/>
          </w:rPr>
        </w:r>
        <w:r w:rsidR="007537A8">
          <w:rPr>
            <w:noProof/>
            <w:webHidden/>
          </w:rPr>
          <w:fldChar w:fldCharType="separate"/>
        </w:r>
        <w:r w:rsidR="007537A8">
          <w:rPr>
            <w:noProof/>
            <w:webHidden/>
          </w:rPr>
          <w:t>186</w:t>
        </w:r>
        <w:r w:rsidR="007537A8">
          <w:rPr>
            <w:noProof/>
            <w:webHidden/>
          </w:rPr>
          <w:fldChar w:fldCharType="end"/>
        </w:r>
      </w:hyperlink>
    </w:p>
    <w:p w14:paraId="1000E7BB" w14:textId="3386EDC8" w:rsidR="007537A8" w:rsidRDefault="00091FED">
      <w:pPr>
        <w:pStyle w:val="Verzeichnis7"/>
        <w:tabs>
          <w:tab w:val="right" w:leader="dot" w:pos="7361"/>
        </w:tabs>
        <w:rPr>
          <w:noProof/>
          <w:sz w:val="22"/>
          <w:szCs w:val="22"/>
          <w:lang w:eastAsia="de-DE"/>
        </w:rPr>
      </w:pPr>
      <w:hyperlink w:anchor="_Toc22133287" w:history="1">
        <w:r w:rsidR="007537A8" w:rsidRPr="00600467">
          <w:rPr>
            <w:rStyle w:val="Hyperlink"/>
            <w:noProof/>
          </w:rPr>
          <w:t>b) Nichtigkeit gemäß § 44 I VwVfG NRW</w:t>
        </w:r>
        <w:r w:rsidR="007537A8">
          <w:rPr>
            <w:noProof/>
            <w:webHidden/>
          </w:rPr>
          <w:tab/>
        </w:r>
        <w:r w:rsidR="007537A8">
          <w:rPr>
            <w:noProof/>
            <w:webHidden/>
          </w:rPr>
          <w:fldChar w:fldCharType="begin"/>
        </w:r>
        <w:r w:rsidR="007537A8">
          <w:rPr>
            <w:noProof/>
            <w:webHidden/>
          </w:rPr>
          <w:instrText xml:space="preserve"> PAGEREF _Toc22133287 \h </w:instrText>
        </w:r>
        <w:r w:rsidR="007537A8">
          <w:rPr>
            <w:noProof/>
            <w:webHidden/>
          </w:rPr>
        </w:r>
        <w:r w:rsidR="007537A8">
          <w:rPr>
            <w:noProof/>
            <w:webHidden/>
          </w:rPr>
          <w:fldChar w:fldCharType="separate"/>
        </w:r>
        <w:r w:rsidR="007537A8">
          <w:rPr>
            <w:noProof/>
            <w:webHidden/>
          </w:rPr>
          <w:t>187</w:t>
        </w:r>
        <w:r w:rsidR="007537A8">
          <w:rPr>
            <w:noProof/>
            <w:webHidden/>
          </w:rPr>
          <w:fldChar w:fldCharType="end"/>
        </w:r>
      </w:hyperlink>
    </w:p>
    <w:p w14:paraId="0DC69F9E" w14:textId="1E0840B2" w:rsidR="007537A8" w:rsidRDefault="00091FED">
      <w:pPr>
        <w:pStyle w:val="Verzeichnis8"/>
        <w:tabs>
          <w:tab w:val="right" w:leader="dot" w:pos="7361"/>
        </w:tabs>
        <w:rPr>
          <w:noProof/>
          <w:sz w:val="22"/>
          <w:szCs w:val="22"/>
          <w:lang w:eastAsia="de-DE"/>
        </w:rPr>
      </w:pPr>
      <w:hyperlink w:anchor="_Toc22133288" w:history="1">
        <w:r w:rsidR="007537A8" w:rsidRPr="00600467">
          <w:rPr>
            <w:rStyle w:val="Hyperlink"/>
            <w:noProof/>
          </w:rPr>
          <w:t>aa) Vorliegen eines Rechtsfehlers</w:t>
        </w:r>
        <w:r w:rsidR="007537A8">
          <w:rPr>
            <w:noProof/>
            <w:webHidden/>
          </w:rPr>
          <w:tab/>
        </w:r>
        <w:r w:rsidR="007537A8">
          <w:rPr>
            <w:noProof/>
            <w:webHidden/>
          </w:rPr>
          <w:fldChar w:fldCharType="begin"/>
        </w:r>
        <w:r w:rsidR="007537A8">
          <w:rPr>
            <w:noProof/>
            <w:webHidden/>
          </w:rPr>
          <w:instrText xml:space="preserve"> PAGEREF _Toc22133288 \h </w:instrText>
        </w:r>
        <w:r w:rsidR="007537A8">
          <w:rPr>
            <w:noProof/>
            <w:webHidden/>
          </w:rPr>
        </w:r>
        <w:r w:rsidR="007537A8">
          <w:rPr>
            <w:noProof/>
            <w:webHidden/>
          </w:rPr>
          <w:fldChar w:fldCharType="separate"/>
        </w:r>
        <w:r w:rsidR="007537A8">
          <w:rPr>
            <w:noProof/>
            <w:webHidden/>
          </w:rPr>
          <w:t>187</w:t>
        </w:r>
        <w:r w:rsidR="007537A8">
          <w:rPr>
            <w:noProof/>
            <w:webHidden/>
          </w:rPr>
          <w:fldChar w:fldCharType="end"/>
        </w:r>
      </w:hyperlink>
    </w:p>
    <w:p w14:paraId="17E62A19" w14:textId="176FBCF0" w:rsidR="007537A8" w:rsidRDefault="00091FED">
      <w:pPr>
        <w:pStyle w:val="Verzeichnis8"/>
        <w:tabs>
          <w:tab w:val="right" w:leader="dot" w:pos="7361"/>
        </w:tabs>
        <w:rPr>
          <w:noProof/>
          <w:sz w:val="22"/>
          <w:szCs w:val="22"/>
          <w:lang w:eastAsia="de-DE"/>
        </w:rPr>
      </w:pPr>
      <w:hyperlink w:anchor="_Toc22133289" w:history="1">
        <w:r w:rsidR="007537A8" w:rsidRPr="00600467">
          <w:rPr>
            <w:rStyle w:val="Hyperlink"/>
            <w:noProof/>
          </w:rPr>
          <w:t>bb) Besondere Schwere des Rechtsfehlers und Offenkundigkeit</w:t>
        </w:r>
        <w:r w:rsidR="007537A8">
          <w:rPr>
            <w:noProof/>
            <w:webHidden/>
          </w:rPr>
          <w:tab/>
        </w:r>
        <w:r w:rsidR="007537A8">
          <w:rPr>
            <w:noProof/>
            <w:webHidden/>
          </w:rPr>
          <w:fldChar w:fldCharType="begin"/>
        </w:r>
        <w:r w:rsidR="007537A8">
          <w:rPr>
            <w:noProof/>
            <w:webHidden/>
          </w:rPr>
          <w:instrText xml:space="preserve"> PAGEREF _Toc22133289 \h </w:instrText>
        </w:r>
        <w:r w:rsidR="007537A8">
          <w:rPr>
            <w:noProof/>
            <w:webHidden/>
          </w:rPr>
        </w:r>
        <w:r w:rsidR="007537A8">
          <w:rPr>
            <w:noProof/>
            <w:webHidden/>
          </w:rPr>
          <w:fldChar w:fldCharType="separate"/>
        </w:r>
        <w:r w:rsidR="007537A8">
          <w:rPr>
            <w:noProof/>
            <w:webHidden/>
          </w:rPr>
          <w:t>188</w:t>
        </w:r>
        <w:r w:rsidR="007537A8">
          <w:rPr>
            <w:noProof/>
            <w:webHidden/>
          </w:rPr>
          <w:fldChar w:fldCharType="end"/>
        </w:r>
      </w:hyperlink>
    </w:p>
    <w:p w14:paraId="73E9AF4F" w14:textId="6B66E4A1" w:rsidR="007537A8" w:rsidRDefault="00091FED">
      <w:pPr>
        <w:pStyle w:val="Verzeichnis6"/>
        <w:tabs>
          <w:tab w:val="right" w:leader="dot" w:pos="7361"/>
        </w:tabs>
        <w:rPr>
          <w:noProof/>
          <w:sz w:val="22"/>
          <w:szCs w:val="22"/>
          <w:lang w:eastAsia="de-DE"/>
        </w:rPr>
      </w:pPr>
      <w:hyperlink w:anchor="_Toc22133290" w:history="1">
        <w:r w:rsidR="007537A8" w:rsidRPr="00600467">
          <w:rPr>
            <w:rStyle w:val="Hyperlink"/>
            <w:noProof/>
          </w:rPr>
          <w:t>4. Gebot der Mitarbeit des V in den ersten sechs Monaten</w:t>
        </w:r>
        <w:r w:rsidR="007537A8">
          <w:rPr>
            <w:noProof/>
            <w:webHidden/>
          </w:rPr>
          <w:tab/>
        </w:r>
        <w:r w:rsidR="007537A8">
          <w:rPr>
            <w:noProof/>
            <w:webHidden/>
          </w:rPr>
          <w:fldChar w:fldCharType="begin"/>
        </w:r>
        <w:r w:rsidR="007537A8">
          <w:rPr>
            <w:noProof/>
            <w:webHidden/>
          </w:rPr>
          <w:instrText xml:space="preserve"> PAGEREF _Toc22133290 \h </w:instrText>
        </w:r>
        <w:r w:rsidR="007537A8">
          <w:rPr>
            <w:noProof/>
            <w:webHidden/>
          </w:rPr>
        </w:r>
        <w:r w:rsidR="007537A8">
          <w:rPr>
            <w:noProof/>
            <w:webHidden/>
          </w:rPr>
          <w:fldChar w:fldCharType="separate"/>
        </w:r>
        <w:r w:rsidR="007537A8">
          <w:rPr>
            <w:noProof/>
            <w:webHidden/>
          </w:rPr>
          <w:t>189</w:t>
        </w:r>
        <w:r w:rsidR="007537A8">
          <w:rPr>
            <w:noProof/>
            <w:webHidden/>
          </w:rPr>
          <w:fldChar w:fldCharType="end"/>
        </w:r>
      </w:hyperlink>
    </w:p>
    <w:p w14:paraId="66F76CAC" w14:textId="7F4A2AC0" w:rsidR="007537A8" w:rsidRDefault="00091FED">
      <w:pPr>
        <w:pStyle w:val="Verzeichnis7"/>
        <w:tabs>
          <w:tab w:val="right" w:leader="dot" w:pos="7361"/>
        </w:tabs>
        <w:rPr>
          <w:noProof/>
          <w:sz w:val="22"/>
          <w:szCs w:val="22"/>
          <w:lang w:eastAsia="de-DE"/>
        </w:rPr>
      </w:pPr>
      <w:hyperlink w:anchor="_Toc22133291" w:history="1">
        <w:r w:rsidR="007537A8" w:rsidRPr="00600467">
          <w:rPr>
            <w:rStyle w:val="Hyperlink"/>
            <w:noProof/>
          </w:rPr>
          <w:t>a) Nichtigkeit gemäß § 44 II Nr. 5 VwVfG NRW</w:t>
        </w:r>
        <w:r w:rsidR="007537A8">
          <w:rPr>
            <w:noProof/>
            <w:webHidden/>
          </w:rPr>
          <w:tab/>
        </w:r>
        <w:r w:rsidR="007537A8">
          <w:rPr>
            <w:noProof/>
            <w:webHidden/>
          </w:rPr>
          <w:fldChar w:fldCharType="begin"/>
        </w:r>
        <w:r w:rsidR="007537A8">
          <w:rPr>
            <w:noProof/>
            <w:webHidden/>
          </w:rPr>
          <w:instrText xml:space="preserve"> PAGEREF _Toc22133291 \h </w:instrText>
        </w:r>
        <w:r w:rsidR="007537A8">
          <w:rPr>
            <w:noProof/>
            <w:webHidden/>
          </w:rPr>
        </w:r>
        <w:r w:rsidR="007537A8">
          <w:rPr>
            <w:noProof/>
            <w:webHidden/>
          </w:rPr>
          <w:fldChar w:fldCharType="separate"/>
        </w:r>
        <w:r w:rsidR="007537A8">
          <w:rPr>
            <w:noProof/>
            <w:webHidden/>
          </w:rPr>
          <w:t>189</w:t>
        </w:r>
        <w:r w:rsidR="007537A8">
          <w:rPr>
            <w:noProof/>
            <w:webHidden/>
          </w:rPr>
          <w:fldChar w:fldCharType="end"/>
        </w:r>
      </w:hyperlink>
    </w:p>
    <w:p w14:paraId="3D10EFCE" w14:textId="28C49E9A" w:rsidR="007537A8" w:rsidRDefault="00091FED">
      <w:pPr>
        <w:pStyle w:val="Verzeichnis7"/>
        <w:tabs>
          <w:tab w:val="right" w:leader="dot" w:pos="7361"/>
        </w:tabs>
        <w:rPr>
          <w:noProof/>
          <w:sz w:val="22"/>
          <w:szCs w:val="22"/>
          <w:lang w:eastAsia="de-DE"/>
        </w:rPr>
      </w:pPr>
      <w:hyperlink w:anchor="_Toc22133292" w:history="1">
        <w:r w:rsidR="007537A8" w:rsidRPr="00600467">
          <w:rPr>
            <w:rStyle w:val="Hyperlink"/>
            <w:noProof/>
          </w:rPr>
          <w:t>b) Nichtigkeit gemäß § 44 I VwVfG NRW</w:t>
        </w:r>
        <w:r w:rsidR="007537A8">
          <w:rPr>
            <w:noProof/>
            <w:webHidden/>
          </w:rPr>
          <w:tab/>
        </w:r>
        <w:r w:rsidR="007537A8">
          <w:rPr>
            <w:noProof/>
            <w:webHidden/>
          </w:rPr>
          <w:fldChar w:fldCharType="begin"/>
        </w:r>
        <w:r w:rsidR="007537A8">
          <w:rPr>
            <w:noProof/>
            <w:webHidden/>
          </w:rPr>
          <w:instrText xml:space="preserve"> PAGEREF _Toc22133292 \h </w:instrText>
        </w:r>
        <w:r w:rsidR="007537A8">
          <w:rPr>
            <w:noProof/>
            <w:webHidden/>
          </w:rPr>
        </w:r>
        <w:r w:rsidR="007537A8">
          <w:rPr>
            <w:noProof/>
            <w:webHidden/>
          </w:rPr>
          <w:fldChar w:fldCharType="separate"/>
        </w:r>
        <w:r w:rsidR="007537A8">
          <w:rPr>
            <w:noProof/>
            <w:webHidden/>
          </w:rPr>
          <w:t>190</w:t>
        </w:r>
        <w:r w:rsidR="007537A8">
          <w:rPr>
            <w:noProof/>
            <w:webHidden/>
          </w:rPr>
          <w:fldChar w:fldCharType="end"/>
        </w:r>
      </w:hyperlink>
    </w:p>
    <w:p w14:paraId="4DCC8C33" w14:textId="113E8896" w:rsidR="007537A8" w:rsidRDefault="00091FED">
      <w:pPr>
        <w:pStyle w:val="Verzeichnis8"/>
        <w:tabs>
          <w:tab w:val="right" w:leader="dot" w:pos="7361"/>
        </w:tabs>
        <w:rPr>
          <w:noProof/>
          <w:sz w:val="22"/>
          <w:szCs w:val="22"/>
          <w:lang w:eastAsia="de-DE"/>
        </w:rPr>
      </w:pPr>
      <w:hyperlink w:anchor="_Toc22133293" w:history="1">
        <w:r w:rsidR="007537A8" w:rsidRPr="00600467">
          <w:rPr>
            <w:rStyle w:val="Hyperlink"/>
            <w:noProof/>
          </w:rPr>
          <w:t>aa) Vorliegen eines Rechtsfehlers</w:t>
        </w:r>
        <w:r w:rsidR="007537A8">
          <w:rPr>
            <w:noProof/>
            <w:webHidden/>
          </w:rPr>
          <w:tab/>
        </w:r>
        <w:r w:rsidR="007537A8">
          <w:rPr>
            <w:noProof/>
            <w:webHidden/>
          </w:rPr>
          <w:fldChar w:fldCharType="begin"/>
        </w:r>
        <w:r w:rsidR="007537A8">
          <w:rPr>
            <w:noProof/>
            <w:webHidden/>
          </w:rPr>
          <w:instrText xml:space="preserve"> PAGEREF _Toc22133293 \h </w:instrText>
        </w:r>
        <w:r w:rsidR="007537A8">
          <w:rPr>
            <w:noProof/>
            <w:webHidden/>
          </w:rPr>
        </w:r>
        <w:r w:rsidR="007537A8">
          <w:rPr>
            <w:noProof/>
            <w:webHidden/>
          </w:rPr>
          <w:fldChar w:fldCharType="separate"/>
        </w:r>
        <w:r w:rsidR="007537A8">
          <w:rPr>
            <w:noProof/>
            <w:webHidden/>
          </w:rPr>
          <w:t>190</w:t>
        </w:r>
        <w:r w:rsidR="007537A8">
          <w:rPr>
            <w:noProof/>
            <w:webHidden/>
          </w:rPr>
          <w:fldChar w:fldCharType="end"/>
        </w:r>
      </w:hyperlink>
    </w:p>
    <w:p w14:paraId="3B2B5C9D" w14:textId="66B3CB0A" w:rsidR="007537A8" w:rsidRDefault="00091FED">
      <w:pPr>
        <w:pStyle w:val="Verzeichnis8"/>
        <w:tabs>
          <w:tab w:val="right" w:leader="dot" w:pos="7361"/>
        </w:tabs>
        <w:rPr>
          <w:noProof/>
          <w:sz w:val="22"/>
          <w:szCs w:val="22"/>
          <w:lang w:eastAsia="de-DE"/>
        </w:rPr>
      </w:pPr>
      <w:hyperlink w:anchor="_Toc22133294" w:history="1">
        <w:r w:rsidR="007537A8" w:rsidRPr="00600467">
          <w:rPr>
            <w:rStyle w:val="Hyperlink"/>
            <w:noProof/>
          </w:rPr>
          <w:t>bb) Besondere Schwere des Rechtsfehlers und Offenkundigkeit</w:t>
        </w:r>
        <w:r w:rsidR="007537A8">
          <w:rPr>
            <w:noProof/>
            <w:webHidden/>
          </w:rPr>
          <w:tab/>
        </w:r>
        <w:r w:rsidR="007537A8">
          <w:rPr>
            <w:noProof/>
            <w:webHidden/>
          </w:rPr>
          <w:fldChar w:fldCharType="begin"/>
        </w:r>
        <w:r w:rsidR="007537A8">
          <w:rPr>
            <w:noProof/>
            <w:webHidden/>
          </w:rPr>
          <w:instrText xml:space="preserve"> PAGEREF _Toc22133294 \h </w:instrText>
        </w:r>
        <w:r w:rsidR="007537A8">
          <w:rPr>
            <w:noProof/>
            <w:webHidden/>
          </w:rPr>
        </w:r>
        <w:r w:rsidR="007537A8">
          <w:rPr>
            <w:noProof/>
            <w:webHidden/>
          </w:rPr>
          <w:fldChar w:fldCharType="separate"/>
        </w:r>
        <w:r w:rsidR="007537A8">
          <w:rPr>
            <w:noProof/>
            <w:webHidden/>
          </w:rPr>
          <w:t>192</w:t>
        </w:r>
        <w:r w:rsidR="007537A8">
          <w:rPr>
            <w:noProof/>
            <w:webHidden/>
          </w:rPr>
          <w:fldChar w:fldCharType="end"/>
        </w:r>
      </w:hyperlink>
    </w:p>
    <w:p w14:paraId="098CD5F2" w14:textId="01731BAB" w:rsidR="007537A8" w:rsidRDefault="00091FED">
      <w:pPr>
        <w:pStyle w:val="Verzeichnis6"/>
        <w:tabs>
          <w:tab w:val="right" w:leader="dot" w:pos="7361"/>
        </w:tabs>
        <w:rPr>
          <w:noProof/>
          <w:sz w:val="22"/>
          <w:szCs w:val="22"/>
          <w:lang w:eastAsia="de-DE"/>
        </w:rPr>
      </w:pPr>
      <w:hyperlink w:anchor="_Toc22133295" w:history="1">
        <w:r w:rsidR="007537A8" w:rsidRPr="00600467">
          <w:rPr>
            <w:rStyle w:val="Hyperlink"/>
            <w:noProof/>
          </w:rPr>
          <w:t>5. Teilnichtigkeit oder Gesamtnichtigkeit, § 44 IV VwVfG NRW</w:t>
        </w:r>
        <w:r w:rsidR="007537A8">
          <w:rPr>
            <w:noProof/>
            <w:webHidden/>
          </w:rPr>
          <w:tab/>
        </w:r>
        <w:r w:rsidR="007537A8">
          <w:rPr>
            <w:noProof/>
            <w:webHidden/>
          </w:rPr>
          <w:fldChar w:fldCharType="begin"/>
        </w:r>
        <w:r w:rsidR="007537A8">
          <w:rPr>
            <w:noProof/>
            <w:webHidden/>
          </w:rPr>
          <w:instrText xml:space="preserve"> PAGEREF _Toc22133295 \h </w:instrText>
        </w:r>
        <w:r w:rsidR="007537A8">
          <w:rPr>
            <w:noProof/>
            <w:webHidden/>
          </w:rPr>
        </w:r>
        <w:r w:rsidR="007537A8">
          <w:rPr>
            <w:noProof/>
            <w:webHidden/>
          </w:rPr>
          <w:fldChar w:fldCharType="separate"/>
        </w:r>
        <w:r w:rsidR="007537A8">
          <w:rPr>
            <w:noProof/>
            <w:webHidden/>
          </w:rPr>
          <w:t>193</w:t>
        </w:r>
        <w:r w:rsidR="007537A8">
          <w:rPr>
            <w:noProof/>
            <w:webHidden/>
          </w:rPr>
          <w:fldChar w:fldCharType="end"/>
        </w:r>
      </w:hyperlink>
    </w:p>
    <w:p w14:paraId="7AF84F65" w14:textId="7BBA7DD0" w:rsidR="007537A8" w:rsidRDefault="00091FED">
      <w:pPr>
        <w:pStyle w:val="Verzeichnis5"/>
        <w:tabs>
          <w:tab w:val="right" w:leader="dot" w:pos="7361"/>
        </w:tabs>
        <w:rPr>
          <w:rFonts w:eastAsiaTheme="minorEastAsia"/>
          <w:noProof/>
          <w:sz w:val="22"/>
          <w:szCs w:val="22"/>
          <w:lang w:eastAsia="de-DE"/>
        </w:rPr>
      </w:pPr>
      <w:hyperlink w:anchor="_Toc22133296" w:history="1">
        <w:r w:rsidR="007537A8" w:rsidRPr="00600467">
          <w:rPr>
            <w:rStyle w:val="Hyperlink"/>
            <w:noProof/>
          </w:rPr>
          <w:t>II. Betroffenheit in subjektiven Rechten</w:t>
        </w:r>
        <w:r w:rsidR="007537A8">
          <w:rPr>
            <w:noProof/>
            <w:webHidden/>
          </w:rPr>
          <w:tab/>
        </w:r>
        <w:r w:rsidR="007537A8">
          <w:rPr>
            <w:noProof/>
            <w:webHidden/>
          </w:rPr>
          <w:fldChar w:fldCharType="begin"/>
        </w:r>
        <w:r w:rsidR="007537A8">
          <w:rPr>
            <w:noProof/>
            <w:webHidden/>
          </w:rPr>
          <w:instrText xml:space="preserve"> PAGEREF _Toc22133296 \h </w:instrText>
        </w:r>
        <w:r w:rsidR="007537A8">
          <w:rPr>
            <w:noProof/>
            <w:webHidden/>
          </w:rPr>
        </w:r>
        <w:r w:rsidR="007537A8">
          <w:rPr>
            <w:noProof/>
            <w:webHidden/>
          </w:rPr>
          <w:fldChar w:fldCharType="separate"/>
        </w:r>
        <w:r w:rsidR="007537A8">
          <w:rPr>
            <w:noProof/>
            <w:webHidden/>
          </w:rPr>
          <w:t>193</w:t>
        </w:r>
        <w:r w:rsidR="007537A8">
          <w:rPr>
            <w:noProof/>
            <w:webHidden/>
          </w:rPr>
          <w:fldChar w:fldCharType="end"/>
        </w:r>
      </w:hyperlink>
    </w:p>
    <w:p w14:paraId="230AD585" w14:textId="576BACB3" w:rsidR="007537A8" w:rsidRDefault="00091FED">
      <w:pPr>
        <w:pStyle w:val="Verzeichnis4"/>
        <w:tabs>
          <w:tab w:val="right" w:leader="dot" w:pos="7361"/>
        </w:tabs>
        <w:rPr>
          <w:rFonts w:eastAsiaTheme="minorEastAsia"/>
          <w:noProof/>
          <w:sz w:val="22"/>
          <w:szCs w:val="22"/>
          <w:lang w:eastAsia="de-DE"/>
        </w:rPr>
      </w:pPr>
      <w:hyperlink w:anchor="_Toc22133297" w:history="1">
        <w:r w:rsidR="007537A8" w:rsidRPr="00600467">
          <w:rPr>
            <w:rStyle w:val="Hyperlink"/>
            <w:noProof/>
          </w:rPr>
          <w:t>C. Endergebnis</w:t>
        </w:r>
        <w:r w:rsidR="007537A8">
          <w:rPr>
            <w:noProof/>
            <w:webHidden/>
          </w:rPr>
          <w:tab/>
        </w:r>
        <w:r w:rsidR="007537A8">
          <w:rPr>
            <w:noProof/>
            <w:webHidden/>
          </w:rPr>
          <w:fldChar w:fldCharType="begin"/>
        </w:r>
        <w:r w:rsidR="007537A8">
          <w:rPr>
            <w:noProof/>
            <w:webHidden/>
          </w:rPr>
          <w:instrText xml:space="preserve"> PAGEREF _Toc22133297 \h </w:instrText>
        </w:r>
        <w:r w:rsidR="007537A8">
          <w:rPr>
            <w:noProof/>
            <w:webHidden/>
          </w:rPr>
        </w:r>
        <w:r w:rsidR="007537A8">
          <w:rPr>
            <w:noProof/>
            <w:webHidden/>
          </w:rPr>
          <w:fldChar w:fldCharType="separate"/>
        </w:r>
        <w:r w:rsidR="007537A8">
          <w:rPr>
            <w:noProof/>
            <w:webHidden/>
          </w:rPr>
          <w:t>194</w:t>
        </w:r>
        <w:r w:rsidR="007537A8">
          <w:rPr>
            <w:noProof/>
            <w:webHidden/>
          </w:rPr>
          <w:fldChar w:fldCharType="end"/>
        </w:r>
      </w:hyperlink>
    </w:p>
    <w:p w14:paraId="423D3555" w14:textId="71AE24A8" w:rsidR="0001383E" w:rsidRDefault="000434BF" w:rsidP="00261442">
      <w:pPr>
        <w:rPr>
          <w:rFonts w:ascii="Calibri" w:eastAsiaTheme="majorEastAsia" w:hAnsi="Calibri" w:cstheme="majorBidi"/>
          <w:sz w:val="26"/>
          <w:szCs w:val="26"/>
        </w:rPr>
      </w:pPr>
      <w:r>
        <w:rPr>
          <w:rFonts w:eastAsiaTheme="majorEastAsia"/>
        </w:rPr>
        <w:fldChar w:fldCharType="end"/>
      </w:r>
      <w:r w:rsidR="0001383E">
        <w:br w:type="page"/>
      </w:r>
    </w:p>
    <w:p w14:paraId="386FD256" w14:textId="07FAF95E" w:rsidR="005416FC" w:rsidRDefault="005416FC" w:rsidP="0001383E">
      <w:pPr>
        <w:pStyle w:val="berschrift3"/>
      </w:pPr>
      <w:bookmarkStart w:id="457" w:name="_Toc22133268"/>
      <w:bookmarkStart w:id="458" w:name="Fall12"/>
      <w:r w:rsidRPr="00252B37">
        <w:t>Lösung</w:t>
      </w:r>
      <w:r w:rsidR="0001383E">
        <w:t>svorschlag</w:t>
      </w:r>
      <w:bookmarkEnd w:id="457"/>
    </w:p>
    <w:p w14:paraId="4B129D06" w14:textId="77777777" w:rsidR="005416FC" w:rsidRPr="00252B37" w:rsidRDefault="005416FC" w:rsidP="005416FC">
      <w:pPr>
        <w:pStyle w:val="Randnummer"/>
        <w:framePr w:wrap="around"/>
      </w:pPr>
    </w:p>
    <w:p w14:paraId="34E4F2B4" w14:textId="72FD9AAD" w:rsidR="005416FC" w:rsidRPr="00CE648A" w:rsidRDefault="005416FC" w:rsidP="005416FC">
      <w:r w:rsidRPr="00CE648A">
        <w:t xml:space="preserve">Zu begutachten ist, welche Möglichkeiten dem A </w:t>
      </w:r>
      <w:r w:rsidR="003C75EA">
        <w:t xml:space="preserve">aktuell </w:t>
      </w:r>
      <w:r w:rsidRPr="00CE648A">
        <w:t>zur Verfügung stehen, um gerichtlich</w:t>
      </w:r>
      <w:r w:rsidRPr="00CE648A">
        <w:rPr>
          <w:vertAlign w:val="superscript"/>
        </w:rPr>
        <w:footnoteReference w:id="335"/>
      </w:r>
      <w:r w:rsidRPr="00CE648A">
        <w:t xml:space="preserve"> gegen die Einschränkungen zur ihm erteilten Gaststättenerlaubnis vorzugehen. Um Erfolg zu haben, müsste eine potentiell zu erhebende Klage zulässig und begründet sein.</w:t>
      </w:r>
    </w:p>
    <w:p w14:paraId="4E3FA57A" w14:textId="358A2772" w:rsidR="005416FC" w:rsidRDefault="005416FC" w:rsidP="005416FC">
      <w:pPr>
        <w:rPr>
          <w:i/>
        </w:rPr>
      </w:pPr>
      <w:r w:rsidRPr="00CE648A">
        <w:rPr>
          <w:i/>
        </w:rPr>
        <w:t>Lösungshinweis:</w:t>
      </w:r>
      <w:r w:rsidRPr="00CE648A">
        <w:t xml:space="preserve"> </w:t>
      </w:r>
      <w:r w:rsidRPr="00CE648A">
        <w:rPr>
          <w:i/>
        </w:rPr>
        <w:t xml:space="preserve">Der Lösung liegt das VwVfG NRW zugrunde. Die </w:t>
      </w:r>
      <w:r w:rsidR="003C75EA">
        <w:rPr>
          <w:i/>
        </w:rPr>
        <w:t>nachfolgende Bearbeitung</w:t>
      </w:r>
      <w:r w:rsidRPr="00CE648A">
        <w:rPr>
          <w:i/>
        </w:rPr>
        <w:t xml:space="preserve"> enthält jedoch Hinweise auf die parallelen Vorschriften des Bundes-VwVfG, sodass die Lösung auch anhand dieser Vorschriften nachvollzogen werden kann.</w:t>
      </w:r>
    </w:p>
    <w:p w14:paraId="7113BCBD" w14:textId="77777777" w:rsidR="00A512B6" w:rsidRPr="00CE648A" w:rsidRDefault="00A512B6" w:rsidP="005416FC">
      <w:pPr>
        <w:rPr>
          <w:i/>
        </w:rPr>
      </w:pPr>
    </w:p>
    <w:p w14:paraId="7ABC1B19" w14:textId="77777777" w:rsidR="005416FC" w:rsidRPr="00252B37" w:rsidRDefault="005416FC" w:rsidP="005B6EF7">
      <w:pPr>
        <w:pStyle w:val="berschrift4"/>
      </w:pPr>
      <w:bookmarkStart w:id="459" w:name="_Toc22133269"/>
      <w:r w:rsidRPr="00252B37">
        <w:t>A. Zulässigkeit</w:t>
      </w:r>
      <w:bookmarkEnd w:id="459"/>
    </w:p>
    <w:p w14:paraId="241EDC5A" w14:textId="77777777" w:rsidR="005416FC" w:rsidRDefault="005416FC" w:rsidP="005416FC">
      <w:pPr>
        <w:pStyle w:val="Randnummer"/>
        <w:framePr w:wrap="around"/>
      </w:pPr>
    </w:p>
    <w:p w14:paraId="1D688FDC" w14:textId="77777777" w:rsidR="005416FC" w:rsidRPr="00CE648A" w:rsidRDefault="005416FC" w:rsidP="005416FC">
      <w:r w:rsidRPr="00CE648A">
        <w:t>Eine Klage des A müsste zulässig sein.</w:t>
      </w:r>
    </w:p>
    <w:p w14:paraId="4F63B57A" w14:textId="77777777" w:rsidR="005416FC" w:rsidRPr="00252B37" w:rsidRDefault="005416FC" w:rsidP="005B6EF7">
      <w:pPr>
        <w:pStyle w:val="berschrift5"/>
      </w:pPr>
      <w:bookmarkStart w:id="460" w:name="_Toc22133270"/>
      <w:r w:rsidRPr="00252B37">
        <w:t>I. Eröffnung des Verwaltungsrechtsweges</w:t>
      </w:r>
      <w:bookmarkEnd w:id="460"/>
    </w:p>
    <w:p w14:paraId="4EF8351F" w14:textId="77777777" w:rsidR="005416FC" w:rsidRDefault="005416FC" w:rsidP="005416FC">
      <w:pPr>
        <w:pStyle w:val="Randnummer"/>
        <w:framePr w:wrap="around"/>
      </w:pPr>
    </w:p>
    <w:p w14:paraId="3F35D8E5" w14:textId="77777777" w:rsidR="005416FC" w:rsidRPr="005B6EF7" w:rsidRDefault="005416FC" w:rsidP="005416FC">
      <w:r w:rsidRPr="00CE648A">
        <w:t>Fü</w:t>
      </w:r>
      <w:r w:rsidRPr="005B6EF7">
        <w:t>r eine derartige Klage könnte der Verwaltungsrechtsweg eröffnet sein. Mangels aufdrängender Sonderzuweisung richtet sich dies nach der Generalklausel des § 40 I VwGO, wonach der Verwaltungsrechtsweg in allen öffentlich-rechtlichen Streitigkeiten nichtverfassungsrechtlicher Art gegeben ist, soweit diese nicht durch ein Bundes- oder Landesgesetz ausdrücklich einem anderen Gericht zugewiesen sind (abdrängende Sonderzuweisung).</w:t>
      </w:r>
    </w:p>
    <w:p w14:paraId="0FCE9F4A" w14:textId="77777777" w:rsidR="005416FC" w:rsidRPr="005B6EF7" w:rsidRDefault="005416FC" w:rsidP="005416FC">
      <w:r w:rsidRPr="005B6EF7">
        <w:t>Öffentlich-rechtlichen Charakters ist eine Streitigkeit, wenn die streitentscheidenden Normen solche des öffentlichen Rechts sind. Dies sind sie nach der sog. modifizierten Subjektstheorie oder auch Sonderrechtstheorie, wenn sie gerade Träger öffentlicher Gewalt berechtigen und/oder verpflichten. Streitentscheidend wären vorliegend Vorschriften des GastG</w:t>
      </w:r>
      <w:r w:rsidRPr="005B6EF7">
        <w:rPr>
          <w:vertAlign w:val="superscript"/>
        </w:rPr>
        <w:footnoteReference w:id="336"/>
      </w:r>
      <w:r w:rsidRPr="005B6EF7">
        <w:t xml:space="preserve"> und des VwVfG NRW. Dabei handelt es sich zum einen um Vorschriften des besonderen Gefahrenabwehrrechts,</w:t>
      </w:r>
      <w:r w:rsidRPr="005B6EF7">
        <w:rPr>
          <w:vertAlign w:val="superscript"/>
        </w:rPr>
        <w:footnoteReference w:id="337"/>
      </w:r>
      <w:r w:rsidRPr="005B6EF7">
        <w:t xml:space="preserve"> zum anderen um allgemeine Regelungen des Verwaltungsverfahrens, die gerade Träger öffentlicher Gewalt adressieren und daher als Normen des öffentlichen Rechts zu qualifizieren sind. </w:t>
      </w:r>
    </w:p>
    <w:p w14:paraId="04C1820C" w14:textId="77777777" w:rsidR="005416FC" w:rsidRPr="00CE648A" w:rsidRDefault="005416FC" w:rsidP="005416FC">
      <w:r w:rsidRPr="005B6EF7">
        <w:t xml:space="preserve">Ein Streit verfassungsrechtlicher Art liegt dann vor, wenn auf beiden Seiten des Streits unmittelbar am Verfassungsleben beteiligte Rechtsträger beteiligt sind und inhaltlich der </w:t>
      </w:r>
      <w:r w:rsidRPr="005B6EF7">
        <w:rPr>
          <w:i/>
        </w:rPr>
        <w:t>unmittelbare</w:t>
      </w:r>
      <w:r w:rsidRPr="005B6EF7">
        <w:t xml:space="preserve"> rechtliche An</w:t>
      </w:r>
      <w:r w:rsidRPr="00CE648A">
        <w:t>knüpfungspunkt der Streitigkeit im Verfassungsrecht liegt.</w:t>
      </w:r>
      <w:r w:rsidRPr="00CE648A">
        <w:rPr>
          <w:vertAlign w:val="superscript"/>
        </w:rPr>
        <w:footnoteReference w:id="338"/>
      </w:r>
      <w:r w:rsidRPr="00CE648A">
        <w:t xml:space="preserve"> Dies wäre nicht der Fall. </w:t>
      </w:r>
    </w:p>
    <w:p w14:paraId="0EA6C7A0" w14:textId="77777777" w:rsidR="005416FC" w:rsidRPr="00CE648A" w:rsidRDefault="005416FC" w:rsidP="005416FC">
      <w:r w:rsidRPr="00CE648A">
        <w:t xml:space="preserve">Überdies ist eine abdrängende Sonderzuweisung nicht ersichtlich. </w:t>
      </w:r>
    </w:p>
    <w:p w14:paraId="2F45009F" w14:textId="77777777" w:rsidR="005416FC" w:rsidRPr="00CE648A" w:rsidRDefault="005416FC" w:rsidP="005416FC">
      <w:r w:rsidRPr="00CE648A">
        <w:t>Für eine Klage des A in dieser Angelegenheit wäre mithin der Verwaltungsrechtsweg eröffnet.</w:t>
      </w:r>
    </w:p>
    <w:p w14:paraId="05358FC8" w14:textId="77777777" w:rsidR="005416FC" w:rsidRPr="00252B37" w:rsidRDefault="005416FC" w:rsidP="005B6EF7">
      <w:pPr>
        <w:pStyle w:val="berschrift5"/>
      </w:pPr>
      <w:bookmarkStart w:id="461" w:name="_Toc22133271"/>
      <w:r w:rsidRPr="00252B37">
        <w:t>II. Statthafte Klageart</w:t>
      </w:r>
      <w:bookmarkEnd w:id="461"/>
    </w:p>
    <w:p w14:paraId="231ACA98" w14:textId="77777777" w:rsidR="005416FC" w:rsidRDefault="005416FC" w:rsidP="005416FC">
      <w:pPr>
        <w:pStyle w:val="Randnummer"/>
        <w:framePr w:wrap="around"/>
      </w:pPr>
    </w:p>
    <w:p w14:paraId="72D9B216" w14:textId="77777777" w:rsidR="005416FC" w:rsidRPr="005B6EF7" w:rsidRDefault="005416FC" w:rsidP="005416FC">
      <w:r w:rsidRPr="00CE648A">
        <w:t>Die s</w:t>
      </w:r>
      <w:r w:rsidRPr="005B6EF7">
        <w:t>tatthafte Klageart richtet sich nach dem Begehren des Klägers, vgl. § 88 VwGO. Vorliegend ist es A ein Anliegen, die Erlaubnis für den Betrieb seines Electro-Clubs zu behalten, dafür aber die mit ihr verbundenen Einschränkungen abzuwehren.</w:t>
      </w:r>
    </w:p>
    <w:p w14:paraId="2491EC4E" w14:textId="62F9489E" w:rsidR="005416FC" w:rsidRPr="005B6EF7" w:rsidRDefault="005416FC" w:rsidP="005416FC">
      <w:r w:rsidRPr="005B6EF7">
        <w:t>Die statthafte Klageart hängt von der Rechtsnatur besagter Einschränkungen ab. Die Gaststättenerlaubnis ist die einseitig bestimmende Erlaubnis des Betriebs eines bestimmten Gewerbes durch die zuständige Ordnungsbehörde gegenüber dem Bürger im Einzelfall und somit ein Verwaltungsakt i.S.v. § 35 S</w:t>
      </w:r>
      <w:r w:rsidR="003B30F4" w:rsidRPr="005B6EF7">
        <w:t>.</w:t>
      </w:r>
      <w:r w:rsidRPr="005B6EF7">
        <w:t> 1 VwVfG</w:t>
      </w:r>
      <w:r w:rsidRPr="005B6EF7">
        <w:rPr>
          <w:vertAlign w:val="superscript"/>
        </w:rPr>
        <w:footnoteReference w:id="339"/>
      </w:r>
      <w:r w:rsidRPr="005B6EF7">
        <w:t>.</w:t>
      </w:r>
      <w:r w:rsidRPr="005B6EF7">
        <w:rPr>
          <w:vertAlign w:val="superscript"/>
        </w:rPr>
        <w:footnoteReference w:id="340"/>
      </w:r>
      <w:r w:rsidRPr="005B6EF7">
        <w:t xml:space="preserve"> Bei den monierten Einschränkungen handelt es sich um </w:t>
      </w:r>
      <w:r w:rsidRPr="005B6EF7">
        <w:rPr>
          <w:i/>
        </w:rPr>
        <w:t>zusätzliche</w:t>
      </w:r>
      <w:r w:rsidRPr="005B6EF7">
        <w:t xml:space="preserve"> Bestimmungen zu der Regelung dieses </w:t>
      </w:r>
      <w:r w:rsidR="00DA1B70" w:rsidRPr="005B6EF7">
        <w:t>Verwaltungsakts</w:t>
      </w:r>
      <w:r w:rsidRPr="005B6EF7">
        <w:t>.</w:t>
      </w:r>
      <w:r w:rsidRPr="005B6EF7">
        <w:rPr>
          <w:vertAlign w:val="superscript"/>
        </w:rPr>
        <w:footnoteReference w:id="341"/>
      </w:r>
      <w:r w:rsidRPr="005B6EF7">
        <w:t xml:space="preserve"> Die Einschränkung betreffend die Lärmschutzmaßnahmen untersagt die Aufnahme des Betriebs und unterbindet somit die innere Wirksamkeit der Erlaubnis bis zu dem Zeitpunkt, an dem das entsprechende Gebot umgesetzt ist – es handelt sich demnach um eine aufschiebende Bedingung i.S.v. § 36 II Nr. 2 VwVfG, die Bestandteil des </w:t>
      </w:r>
      <w:r w:rsidR="00DA1B70" w:rsidRPr="005B6EF7">
        <w:t>Verwaltungsakts</w:t>
      </w:r>
      <w:r w:rsidRPr="005B6EF7">
        <w:t xml:space="preserve"> Gaststättenerlaubnis ist. Die Einschränkung betreffend die Mitarbeit des V hindert nicht den Eintritt der inneren Wirksamkeit der Erlaubnis, sie formuliert aber ein zusätzliches Gebot zulasten des A – es handelt sich demnach um eine Auflage i.S.v. § 36 II Nr. 4 VwVfG, die zum Teil als selbstständiger Verwaltungsakt, jedenfalls aber als Bestandteil eines Hauptverwaltungsaktes erachtet wird.</w:t>
      </w:r>
      <w:r w:rsidRPr="005B6EF7">
        <w:rPr>
          <w:vertAlign w:val="superscript"/>
        </w:rPr>
        <w:footnoteReference w:id="342"/>
      </w:r>
      <w:r w:rsidRPr="005B6EF7">
        <w:t xml:space="preserve"> Dieser Verwaltungsakt ist dem A auch durch persönliche Übergabe am 7.5.2019 wirksam bekanntgegeben worden.</w:t>
      </w:r>
      <w:r w:rsidRPr="005B6EF7">
        <w:rPr>
          <w:vertAlign w:val="superscript"/>
        </w:rPr>
        <w:footnoteReference w:id="343"/>
      </w:r>
    </w:p>
    <w:p w14:paraId="0D233EFC" w14:textId="77777777" w:rsidR="005416FC" w:rsidRPr="005B6EF7" w:rsidRDefault="005416FC" w:rsidP="005416FC">
      <w:r w:rsidRPr="005B6EF7">
        <w:t xml:space="preserve">Um gegen Nebenbestimmungen zu Verwaltungsakten vorzugehen, böten sich dem A grundsätzlich zwei Möglichkeiten: </w:t>
      </w:r>
    </w:p>
    <w:p w14:paraId="1C340A70" w14:textId="77777777" w:rsidR="005416FC" w:rsidRPr="00CE648A" w:rsidRDefault="005416FC" w:rsidP="005416FC">
      <w:r w:rsidRPr="005B6EF7">
        <w:t>Er könnte zum einen eine Anfechtungsklage gemäß § 42 I Var. 1 VwGO gerichtet auf die teilweise Aufhebung der Ga</w:t>
      </w:r>
      <w:r w:rsidRPr="00CE648A">
        <w:t>ststättenerlaubnis erheben. Zwar ist die Frage des Rechtsschutzes gegen Nebenbestimmungen zu einem Verwaltungsakt nicht unumstritten.</w:t>
      </w:r>
      <w:r w:rsidRPr="00CE648A">
        <w:rPr>
          <w:vertAlign w:val="superscript"/>
        </w:rPr>
        <w:footnoteReference w:id="344"/>
      </w:r>
      <w:r w:rsidRPr="00CE648A">
        <w:t xml:space="preserve"> Indes sind jedenfalls nach der Rechtsprechung des Bundesverwaltungsgerichts belastende Nebenbestimmungen zu begünstigenden Verwaltungsakten grundsätzlich mit der Anfechtungsklage angreifbar, während die isolierte Aufhebbarkeit der Nebenbestimmung eine Frage der Begründetheit ist.</w:t>
      </w:r>
      <w:r w:rsidRPr="00CE648A">
        <w:rPr>
          <w:vertAlign w:val="superscript"/>
        </w:rPr>
        <w:footnoteReference w:id="345"/>
      </w:r>
      <w:r w:rsidRPr="00CE648A">
        <w:t xml:space="preserve"> </w:t>
      </w:r>
    </w:p>
    <w:p w14:paraId="138129B5" w14:textId="77777777" w:rsidR="005416FC" w:rsidRPr="005B6EF7" w:rsidRDefault="005416FC" w:rsidP="005416FC">
      <w:r w:rsidRPr="00CE648A">
        <w:t>Sollten die Nebenbestimmungen gar für nichtig gehalten werden, wäre überdies an die Erhebun</w:t>
      </w:r>
      <w:r w:rsidRPr="005B6EF7">
        <w:t>g einer Nichtigkeitsfeststellungsklage gemäß § 43 I Var. 3 VwGO zu denken. Wie § 44 IV VwVfG verdeutlicht, kann ein Verwaltungsakt auch nur teilweise nichtig sein, sodass die Nichtigkeitsfeststellungsklage auch isoliert gegen Nebenbestimmungen in Betracht kommt.</w:t>
      </w:r>
    </w:p>
    <w:p w14:paraId="5D29AF03" w14:textId="1E2E08C0" w:rsidR="005416FC" w:rsidRPr="005B6EF7" w:rsidRDefault="005416FC" w:rsidP="005416FC">
      <w:r w:rsidRPr="005B6EF7">
        <w:t>Vor diesem Hintergrund wird dem Kläger grundsätzlich ein Wahlrecht zwischen Nichtigkeitsfeststellungsklage und Anfechtungsklage zugestanden.</w:t>
      </w:r>
      <w:r w:rsidRPr="005B6EF7">
        <w:rPr>
          <w:vertAlign w:val="superscript"/>
        </w:rPr>
        <w:footnoteReference w:id="346"/>
      </w:r>
      <w:r w:rsidRPr="005B6EF7">
        <w:t xml:space="preserve"> Zwar könnte man dem bei streng dogmatischer Betrachtung entgegenhalten, dass das mit der Anfechtungsklage begehrte Ziel der Aufhebung eines </w:t>
      </w:r>
      <w:r w:rsidR="00DA1B70" w:rsidRPr="005B6EF7">
        <w:t>Verwaltungsakts</w:t>
      </w:r>
      <w:r w:rsidRPr="005B6EF7">
        <w:t xml:space="preserve"> (§§ 42 I Var. 1, 113 I 1 VwGO; § 43 II VwVfG) im Falle </w:t>
      </w:r>
      <w:r w:rsidR="003C75EA">
        <w:t>einer</w:t>
      </w:r>
      <w:r w:rsidRPr="005B6EF7">
        <w:t xml:space="preserve"> bereits auf Grund von Nichtigkeit </w:t>
      </w:r>
      <w:r w:rsidRPr="005B6EF7">
        <w:rPr>
          <w:i/>
        </w:rPr>
        <w:t>ipso iure</w:t>
      </w:r>
      <w:r w:rsidRPr="005B6EF7">
        <w:t xml:space="preserve"> eingetretenen Unwirksamkeit (§ 43 III VwVfG) unerreichbar ist.</w:t>
      </w:r>
      <w:r w:rsidRPr="005B6EF7">
        <w:rPr>
          <w:vertAlign w:val="superscript"/>
        </w:rPr>
        <w:footnoteReference w:id="347"/>
      </w:r>
      <w:r w:rsidRPr="005B6EF7">
        <w:t xml:space="preserve"> Für eine Statthaftigkeit der Anfechtungsklage spricht jedoch aus Rechtsschutzgesichtspunkten, dass dem Kläger so nicht das mit der schwierigen Unterscheidung eines bloß rechtswidrigen und somit aufhebbaren von einem bereits nichtigen Verwaltungsakt verbundene Risiko einer unstatthaften Klage auferlegt wird.</w:t>
      </w:r>
      <w:r w:rsidRPr="005B6EF7">
        <w:rPr>
          <w:vertAlign w:val="superscript"/>
        </w:rPr>
        <w:footnoteReference w:id="348"/>
      </w:r>
      <w:r w:rsidRPr="005B6EF7">
        <w:t xml:space="preserve"> Bestätigt wird dieses Ergebnis auch in rechtssystematischer Hinsicht: Die in § 43 II 2 VwGO normierte Ausnahme vom Grundsatz der Subsidiarität der Feststellungsklage gegenüber Gestaltungs- und Leistungsklagen setzt deren grundsätzliche Statthaftigkeit denklogisch voraus.</w:t>
      </w:r>
      <w:r w:rsidRPr="005B6EF7">
        <w:rPr>
          <w:vertAlign w:val="superscript"/>
        </w:rPr>
        <w:footnoteReference w:id="349"/>
      </w:r>
      <w:r w:rsidRPr="005B6EF7">
        <w:t xml:space="preserve"> </w:t>
      </w:r>
    </w:p>
    <w:p w14:paraId="232BF104" w14:textId="28E40A11" w:rsidR="005416FC" w:rsidRPr="00CE648A" w:rsidRDefault="005416FC" w:rsidP="005416FC">
      <w:r w:rsidRPr="005B6EF7">
        <w:t>Vor diesem Hintergrund könnte es sinnvoller sein, den A schlicht auf die Erhebung einer Anfechtungsklage zu verweisen. Dann müssten im Folgenden jedoch auch die weiteren Sachentscheidungsvoraussetzungen der Anfechtungsklage erfüllt werden können.</w:t>
      </w:r>
      <w:r w:rsidRPr="005B6EF7">
        <w:rPr>
          <w:vertAlign w:val="superscript"/>
        </w:rPr>
        <w:footnoteReference w:id="350"/>
      </w:r>
      <w:r w:rsidRPr="005B6EF7">
        <w:t xml:space="preserve"> Insbesondere müssten ein gemäß § 68 I VwGO potentiell erforderliches Vorverfahren durchgeführt und/oder die nach § 74 I VwGO einschlägige Klagefrist eingehalten werden. In Nordrhein-Westfalen bedarf es gemäß § 68 I 2 Hs. 1 VwGO i.V.m. § 110 I 1 JustG NRW vor Erhebung einer Anfechtungsklage de</w:t>
      </w:r>
      <w:r w:rsidRPr="00CE648A">
        <w:t xml:space="preserve">r Nachprüfung eines </w:t>
      </w:r>
      <w:r w:rsidR="00DA1B70">
        <w:t>Verwaltungsakts</w:t>
      </w:r>
      <w:r w:rsidRPr="00CE648A">
        <w:t xml:space="preserve"> in einem Vorverfahren grundsätzlich nicht mehr; ein diesbezüglicher Ausnahmetatbestand ist vorliegend nicht einschlägig. </w:t>
      </w:r>
    </w:p>
    <w:p w14:paraId="67C9E1A5" w14:textId="5AA3DC85" w:rsidR="005416FC" w:rsidRPr="00CE648A" w:rsidRDefault="005416FC" w:rsidP="005416FC">
      <w:r w:rsidRPr="00CE648A">
        <w:t xml:space="preserve">In Anbetracht dessen müsste der A jedoch die Anfechtungsklage </w:t>
      </w:r>
      <w:r w:rsidR="003C75EA" w:rsidRPr="003C75EA">
        <w:t>gemäß § 74 I 2 VwGO noch innerhalb eines Monats nach Bekanntgabe des Verwaltungsakts erheben können</w:t>
      </w:r>
      <w:r w:rsidRPr="00CE648A">
        <w:t>. Diese Ereignisfrist beginnt gemäß § 57 II VwGO i.V.m. § 222 I ZPO, § 187 I BGB mit Anbruch des Tages nach dem Tag, in welchen das Ereignis fällt, vorliegend also am 8.5.2019 um 0.00 Uhr. Sie endet gemäß § 57 II VwGO i.V.m. § 222 I ZPO, § 188 II Var. 1 BGB als Monatsfrist mit dem Ablauf desjenigen Tages des letzten Monats, welcher durch seine Zahl dem Tage entspricht, in den das Ereignis fällt, vorliegend also mit Ablauf des Freitags,</w:t>
      </w:r>
      <w:r w:rsidRPr="00CE648A">
        <w:rPr>
          <w:vertAlign w:val="superscript"/>
        </w:rPr>
        <w:footnoteReference w:id="351"/>
      </w:r>
      <w:r w:rsidRPr="00CE648A">
        <w:t xml:space="preserve"> den 7.6.2019. Angesichts der – laut Sachverhalt – ordnungsgemäßen Rechtsbehelfsbelehrung kam es auch nicht zu einer Modifikation der Frist gemäß § 58 VwGO. Die Anfechtungsklage ist mithin am Tag der </w:t>
      </w:r>
      <w:r>
        <w:t xml:space="preserve">anwaltlichen </w:t>
      </w:r>
      <w:r w:rsidRPr="00CE648A">
        <w:t xml:space="preserve">Prüfung, dem 11.7.2019, </w:t>
      </w:r>
      <w:r w:rsidRPr="005B6EF7">
        <w:t>verfristet</w:t>
      </w:r>
      <w:r w:rsidRPr="00CE648A">
        <w:t>.</w:t>
      </w:r>
      <w:r w:rsidRPr="00CE648A">
        <w:rPr>
          <w:vertAlign w:val="superscript"/>
        </w:rPr>
        <w:footnoteReference w:id="352"/>
      </w:r>
    </w:p>
    <w:p w14:paraId="46E263D0" w14:textId="77777777" w:rsidR="005416FC" w:rsidRPr="00CE648A" w:rsidRDefault="005416FC" w:rsidP="005416FC">
      <w:r w:rsidRPr="00CE648A">
        <w:t>Dem A kann daher nicht mehr geraten werden, eine Anfechtungsklage gemäß § 42 I Var. 1 VwGO zu erheben. Seine einzige statthafte Klageoption für den Moment</w:t>
      </w:r>
      <w:r w:rsidRPr="00CE648A">
        <w:rPr>
          <w:vertAlign w:val="superscript"/>
        </w:rPr>
        <w:footnoteReference w:id="353"/>
      </w:r>
      <w:r w:rsidRPr="00CE648A">
        <w:t xml:space="preserve"> ist die Nichtigkeitsfeststellungsklage gemäß § 43 I Var. 3 VwGO. Deren Sachentscheidungsvoraussetzung</w:t>
      </w:r>
      <w:r>
        <w:t>en</w:t>
      </w:r>
      <w:r w:rsidRPr="00CE648A">
        <w:t xml:space="preserve"> allein sind daher im Folgenden weiter zu prüfen.</w:t>
      </w:r>
    </w:p>
    <w:p w14:paraId="761BF97A" w14:textId="77777777" w:rsidR="005416FC" w:rsidRPr="00252B37" w:rsidRDefault="005416FC" w:rsidP="005B6EF7">
      <w:pPr>
        <w:pStyle w:val="berschrift5"/>
      </w:pPr>
      <w:bookmarkStart w:id="462" w:name="_Toc22133272"/>
      <w:r w:rsidRPr="00252B37">
        <w:t>III. Berechtigtes Interesse und Klagebefugnis</w:t>
      </w:r>
      <w:bookmarkEnd w:id="462"/>
    </w:p>
    <w:p w14:paraId="49907BFB" w14:textId="77777777" w:rsidR="005416FC" w:rsidRDefault="005416FC" w:rsidP="005416FC">
      <w:pPr>
        <w:pStyle w:val="Randnummer"/>
        <w:framePr w:wrap="around"/>
      </w:pPr>
    </w:p>
    <w:p w14:paraId="2A3EB223" w14:textId="4B6AEF44" w:rsidR="005416FC" w:rsidRPr="00CE648A" w:rsidRDefault="005416FC" w:rsidP="005416FC">
      <w:r w:rsidRPr="00CE648A">
        <w:t xml:space="preserve">Der A müsste </w:t>
      </w:r>
      <w:r w:rsidRPr="005B6EF7">
        <w:t>demnach ein berechtigtes Interesse an der baldigen Feststellung der Nichtigkeit der Nebenstimmungen zur Gaststättenerlaubnis gemäß § 43 I Hs. 2 VwGO haben. Umstritten ist, welche Anforderungen genau an das „berechtigte Interesse“ zu stellen sind und ob es gar des Vorliegens der Klagebefugnis des A gemäß § 42 II VwGO analog bedarf.</w:t>
      </w:r>
      <w:r w:rsidRPr="005B6EF7">
        <w:rPr>
          <w:vertAlign w:val="superscript"/>
        </w:rPr>
        <w:footnoteReference w:id="354"/>
      </w:r>
      <w:r w:rsidRPr="005B6EF7">
        <w:t xml:space="preserve"> Dies kann jedenfalls dann dahinstehen, wenn </w:t>
      </w:r>
      <w:r w:rsidR="00A8236D" w:rsidRPr="005B6EF7">
        <w:t>zumindest</w:t>
      </w:r>
      <w:r w:rsidRPr="005B6EF7">
        <w:t xml:space="preserve"> die Möglichkeit besteht, dass der A zumindest durch den Rechtsschein des Verwaltungsakts in seinen Rechten verletzt wird. Denn wen</w:t>
      </w:r>
      <w:r w:rsidRPr="00CE648A">
        <w:t xml:space="preserve">n A klagebefugt i.S.d. § 42 II VwGO </w:t>
      </w:r>
      <w:r>
        <w:t xml:space="preserve">analog </w:t>
      </w:r>
      <w:r w:rsidRPr="00CE648A">
        <w:t>ist, liegt stets auch ein berechtigtes Interesse an der Feststellung der Nichtigkeit vor.</w:t>
      </w:r>
    </w:p>
    <w:p w14:paraId="4244A316" w14:textId="77777777" w:rsidR="005416FC" w:rsidRPr="00CE648A" w:rsidRDefault="005416FC" w:rsidP="005416FC">
      <w:r w:rsidRPr="00CE648A">
        <w:t>Vorliegend halten die – nunmehr bestandskräftigen – Nebenbestimmungen den A davon ab, den Club überhaupt bzw. uneingeschränkt nach seinen Vorstellungen in dem von ihm gekauften Gebäude ab dem 28.12.2019 zu betreiben, sodass zumindest die Möglichkeit einer Verletzung in seinen Grundrechten aus Art. 12 I und Art. 14 I GG besteht.</w:t>
      </w:r>
      <w:r>
        <w:rPr>
          <w:rStyle w:val="Funotenzeichen"/>
        </w:rPr>
        <w:footnoteReference w:id="355"/>
      </w:r>
      <w:r w:rsidRPr="00CE648A">
        <w:t xml:space="preserve"> Die Feststellung der Nichtigkeit der Nebenbestimmungen würde den von ihnen ausgehenden Rechtsschein beseitigen und die Position des A verbessern. Sowohl ein berechtigtes Feststellungsinteresse als auch eine Klagebefugnis analog § 42 II VwGO sind somit gegeben.</w:t>
      </w:r>
    </w:p>
    <w:p w14:paraId="5E314993" w14:textId="77777777" w:rsidR="005416FC" w:rsidRPr="00252B37" w:rsidRDefault="005416FC" w:rsidP="005B6EF7">
      <w:pPr>
        <w:pStyle w:val="berschrift5"/>
      </w:pPr>
      <w:bookmarkStart w:id="463" w:name="_Toc22133273"/>
      <w:r w:rsidRPr="00252B37">
        <w:t>IV. Vorverfahren und Klagefrist</w:t>
      </w:r>
      <w:bookmarkEnd w:id="463"/>
    </w:p>
    <w:p w14:paraId="46F1287F" w14:textId="77777777" w:rsidR="005416FC" w:rsidRDefault="005416FC" w:rsidP="005416FC">
      <w:pPr>
        <w:pStyle w:val="Randnummer"/>
        <w:framePr w:wrap="around"/>
      </w:pPr>
    </w:p>
    <w:p w14:paraId="23E06A4A" w14:textId="77777777" w:rsidR="005416FC" w:rsidRPr="00CE648A" w:rsidRDefault="005416FC" w:rsidP="005416FC">
      <w:r w:rsidRPr="00CE648A">
        <w:t>Der Durchführung eines Vorverfahrens oder der Einhaltung einer Klagefrist bedarf es im Falle der Nichtigkeitsfeststellungsklage nicht.</w:t>
      </w:r>
    </w:p>
    <w:p w14:paraId="735A6335" w14:textId="77777777" w:rsidR="005416FC" w:rsidRPr="00252B37" w:rsidRDefault="005416FC" w:rsidP="005B6EF7">
      <w:pPr>
        <w:pStyle w:val="berschrift5"/>
      </w:pPr>
      <w:bookmarkStart w:id="464" w:name="_Toc22133274"/>
      <w:r w:rsidRPr="00252B37">
        <w:t>V. Allgemeines Rechtsschutzbedürfnis</w:t>
      </w:r>
      <w:bookmarkEnd w:id="464"/>
    </w:p>
    <w:p w14:paraId="2CAB6196" w14:textId="77777777" w:rsidR="005416FC" w:rsidRDefault="005416FC" w:rsidP="005416FC">
      <w:pPr>
        <w:pStyle w:val="Randnummer"/>
        <w:framePr w:wrap="around"/>
      </w:pPr>
    </w:p>
    <w:p w14:paraId="6D9CEFA6" w14:textId="77777777" w:rsidR="005416FC" w:rsidRPr="00CE648A" w:rsidRDefault="005416FC" w:rsidP="005416FC">
      <w:r w:rsidRPr="00CE648A">
        <w:t xml:space="preserve">Der A müsste auch ein Bedürfnis nach </w:t>
      </w:r>
      <w:r w:rsidRPr="00CE648A">
        <w:rPr>
          <w:i/>
        </w:rPr>
        <w:t>gerichtlicher</w:t>
      </w:r>
      <w:r w:rsidRPr="00CE648A">
        <w:t xml:space="preserve"> Klärung seines Anliegens haben. Dies könnte im Falle der Erhebung einer Nichtigkeitsfeststellungsklage deshalb ausgeschlossen sein, weil dem A mit</w:t>
      </w:r>
      <w:r w:rsidRPr="005B6EF7">
        <w:t xml:space="preserve"> der Möglichkeit eines Antrags auf behördliche Nichtigkeitsfeststellung gemäß § 44 V Hs. 2 VwVfG NRW ein einfacherer und kostengünstigerer Weg zu Erreichung seines Begehrens</w:t>
      </w:r>
      <w:r w:rsidRPr="005B6EF7">
        <w:rPr>
          <w:vertAlign w:val="superscript"/>
        </w:rPr>
        <w:footnoteReference w:id="356"/>
      </w:r>
      <w:r w:rsidRPr="005B6EF7">
        <w:t xml:space="preserve"> zur Verfügung steht.</w:t>
      </w:r>
      <w:r w:rsidRPr="005B6EF7">
        <w:rPr>
          <w:vertAlign w:val="superscript"/>
        </w:rPr>
        <w:footnoteReference w:id="357"/>
      </w:r>
      <w:r w:rsidRPr="005B6EF7">
        <w:t xml:space="preserve"> Ob es vorweg der erfolglosen Erhebung dieses Antrags bedarf, ist umstritten.</w:t>
      </w:r>
      <w:r w:rsidRPr="005B6EF7">
        <w:rPr>
          <w:vertAlign w:val="superscript"/>
        </w:rPr>
        <w:footnoteReference w:id="358"/>
      </w:r>
    </w:p>
    <w:p w14:paraId="38A295D6" w14:textId="77777777" w:rsidR="005416FC" w:rsidRPr="00CE648A" w:rsidRDefault="005416FC" w:rsidP="005416FC">
      <w:bookmarkStart w:id="465" w:name="_Hlk8732291"/>
      <w:r w:rsidRPr="00CE648A">
        <w:t xml:space="preserve">Dafür kann das prozessökonomische Interesse an einer Unterbindung anderweitig lösbarer Konflikte und einer damit einhergehenden Entlastung der Verwaltungsgerichtsbarkeit ins Feld geführt werden. </w:t>
      </w:r>
      <w:bookmarkEnd w:id="465"/>
      <w:r w:rsidRPr="00CE648A">
        <w:t xml:space="preserve">Dagegen spricht jedoch in systematischer Hinsicht, dass so die Durchführung eines behördlichen „Vorverfahrens“ zur Sachentscheidungsvoraussetzung gemacht würde, wo – anders als für Anfechtungs- und Verpflichtungsklage in den §§ 68 ff. VwGO – gesetzgeberisch eigentlich keines vorgesehen ist. Dagegen spricht auch die Genese der Vorschrift zur behördlichen Nichtigkeitsfeststellung: Mit ihr sollte eine </w:t>
      </w:r>
      <w:r w:rsidRPr="00FE17B2">
        <w:rPr>
          <w:i/>
        </w:rPr>
        <w:t>zusätzliche</w:t>
      </w:r>
      <w:r w:rsidRPr="00CE648A">
        <w:t xml:space="preserve"> Möglichkeit zur Schaffung von Rechtssicherheit geschaffen und somit eine Verbesserung der Rechtsstellung des Bürgers erreicht werden. Zuletzt spricht gegen die Notwendigkeit der Durchführung eines „Vorverfahrens“, dass die behördliche Feststellung der Nichtigkeit hinter dem Rechtsschutz durch eine verwaltungsgerichtliche Feststellung, die in Rechtskraft erwächst, zurückbleibt.</w:t>
      </w:r>
    </w:p>
    <w:p w14:paraId="505B0730" w14:textId="77777777" w:rsidR="005416FC" w:rsidRPr="00CE648A" w:rsidRDefault="005416FC" w:rsidP="005416FC">
      <w:r w:rsidRPr="00CE648A">
        <w:t>Letztlich sprechen somit die besseren Argumente dagegen, die Zulässigkeit der Nichtigkeitsfeststellungsklage von der erfolglosen Erhebung eines Antrags gemäß § 44 V Hs. 2 VwVfG NRW abhängig zu machen. A könnte daher direkt vor Gericht ziehen.</w:t>
      </w:r>
    </w:p>
    <w:p w14:paraId="4F2F8B1D" w14:textId="77777777" w:rsidR="005416FC" w:rsidRPr="00CE648A" w:rsidRDefault="005416FC" w:rsidP="005416FC">
      <w:r w:rsidRPr="00CE648A">
        <w:t xml:space="preserve">Darüber hinaus bestehen auch sonst keine Anhaltspunkte dafür, dass das Bedürfnis des A nach </w:t>
      </w:r>
      <w:r w:rsidRPr="00CE648A">
        <w:rPr>
          <w:i/>
        </w:rPr>
        <w:t>gerichtlicher</w:t>
      </w:r>
      <w:r w:rsidRPr="00CE648A">
        <w:t xml:space="preserve"> Klärung seines Anliegens fehlen könnte.</w:t>
      </w:r>
    </w:p>
    <w:p w14:paraId="6DF8A6BB" w14:textId="77777777" w:rsidR="005416FC" w:rsidRPr="00252B37" w:rsidRDefault="005416FC" w:rsidP="005B6EF7">
      <w:pPr>
        <w:pStyle w:val="berschrift5"/>
      </w:pPr>
      <w:bookmarkStart w:id="466" w:name="_Toc22133275"/>
      <w:r w:rsidRPr="00252B37">
        <w:t>VI. Zwischenergebnis</w:t>
      </w:r>
      <w:bookmarkEnd w:id="466"/>
    </w:p>
    <w:p w14:paraId="45CB7BFA" w14:textId="77777777" w:rsidR="005416FC" w:rsidRDefault="005416FC" w:rsidP="005416FC">
      <w:pPr>
        <w:pStyle w:val="Randnummer"/>
        <w:framePr w:wrap="around"/>
      </w:pPr>
    </w:p>
    <w:p w14:paraId="772153E8" w14:textId="77777777" w:rsidR="005416FC" w:rsidRDefault="005416FC" w:rsidP="005416FC">
      <w:r w:rsidRPr="00CE648A">
        <w:t>Eine Klage des A gerichtet auf Feststellung der Nichtigkeit der Nebenbestimmungen zur Gaststättenerlaubnis wäre nach alldem zulässig. Sie wäre gemäß §§ 45, 52 Nr. 1 VwGO beim Verwaltungsgericht der Stadt Köln zu erheben und gemäß § 78 I Nr. 1 VwGO analog</w:t>
      </w:r>
      <w:r w:rsidRPr="00CE648A">
        <w:rPr>
          <w:vertAlign w:val="superscript"/>
        </w:rPr>
        <w:footnoteReference w:id="359"/>
      </w:r>
      <w:r w:rsidRPr="00CE648A">
        <w:t xml:space="preserve"> an die Stadt Köln als Rechtsträger des Ordnungsamtes zu richten.</w:t>
      </w:r>
      <w:r w:rsidRPr="00CE648A">
        <w:rPr>
          <w:vertAlign w:val="superscript"/>
        </w:rPr>
        <w:footnoteReference w:id="360"/>
      </w:r>
      <w:r w:rsidRPr="00CE648A">
        <w:t xml:space="preserve"> A wäre als natürliche Person gemäß § 61 Nr. 1 Var. 1 VwGO beteiligten- und mangels Zweifeln an seiner Geschäftsfähigkeit auch gemäß § 62 I Nr. 1 VwGO prozessfähig</w:t>
      </w:r>
      <w:r w:rsidRPr="00CE648A">
        <w:rPr>
          <w:vertAlign w:val="superscript"/>
        </w:rPr>
        <w:footnoteReference w:id="361"/>
      </w:r>
      <w:r w:rsidRPr="00CE648A">
        <w:t>. Die Gebietskörperschaft Stadt Köln wäre als juristische Person des öffentlichen Rechts gemäß § 61 Nr. 1 Var. 2 VwGO beteiligtenfähig; für sie würde gemäß § 62 III VwGO i.V.m. § 63 I 1 GO NRW der Oberbürgermeister als gesetzlicher Vertreter handeln müssen.</w:t>
      </w:r>
    </w:p>
    <w:p w14:paraId="4AF432FA" w14:textId="77777777" w:rsidR="005B6EF7" w:rsidRPr="00CE648A" w:rsidRDefault="005B6EF7" w:rsidP="005416FC"/>
    <w:p w14:paraId="549CF4C6" w14:textId="77777777" w:rsidR="005416FC" w:rsidRPr="00252B37" w:rsidRDefault="005416FC" w:rsidP="005B6EF7">
      <w:pPr>
        <w:pStyle w:val="berschrift4"/>
      </w:pPr>
      <w:bookmarkStart w:id="467" w:name="_Toc22133276"/>
      <w:r w:rsidRPr="00252B37">
        <w:t>B. Begründetheit</w:t>
      </w:r>
      <w:bookmarkEnd w:id="467"/>
    </w:p>
    <w:p w14:paraId="2A600069" w14:textId="77777777" w:rsidR="005416FC" w:rsidRDefault="005416FC" w:rsidP="005416FC">
      <w:pPr>
        <w:pStyle w:val="Randnummer"/>
        <w:framePr w:wrap="around"/>
      </w:pPr>
    </w:p>
    <w:p w14:paraId="246735C2" w14:textId="77777777" w:rsidR="005416FC" w:rsidRPr="00CE648A" w:rsidRDefault="005416FC" w:rsidP="005416FC">
      <w:r w:rsidRPr="00CE648A">
        <w:t xml:space="preserve">Die Klage müsste überdies begründet sein. </w:t>
      </w:r>
    </w:p>
    <w:p w14:paraId="2686278C" w14:textId="21F2D8C3" w:rsidR="005416FC" w:rsidRPr="00252B37" w:rsidRDefault="005416FC" w:rsidP="005B6EF7">
      <w:pPr>
        <w:pStyle w:val="berschrift5"/>
      </w:pPr>
      <w:bookmarkStart w:id="468" w:name="_Toc22133277"/>
      <w:r w:rsidRPr="00252B37">
        <w:t xml:space="preserve">I. Nichtigkeit des </w:t>
      </w:r>
      <w:r w:rsidR="00DA1B70">
        <w:t>Verwaltungsakts</w:t>
      </w:r>
      <w:bookmarkEnd w:id="468"/>
    </w:p>
    <w:p w14:paraId="3FFC86C6" w14:textId="77777777" w:rsidR="005416FC" w:rsidRDefault="005416FC" w:rsidP="005416FC">
      <w:pPr>
        <w:pStyle w:val="Randnummer"/>
        <w:framePr w:wrap="around"/>
      </w:pPr>
    </w:p>
    <w:p w14:paraId="03A7F80F" w14:textId="77777777" w:rsidR="005416FC" w:rsidRPr="00CE648A" w:rsidRDefault="005416FC" w:rsidP="005416FC">
      <w:r w:rsidRPr="00CE648A">
        <w:t>Dies ist der Fall, wenn die Nebenbestimmungen zum Verwaltungsakt</w:t>
      </w:r>
      <w:r w:rsidRPr="00CE648A">
        <w:rPr>
          <w:vertAlign w:val="superscript"/>
        </w:rPr>
        <w:footnoteReference w:id="362"/>
      </w:r>
      <w:r w:rsidRPr="00CE648A">
        <w:t xml:space="preserve"> Gaststättenerlaubnis gemäß § 44 VwVfG NRW</w:t>
      </w:r>
      <w:r w:rsidRPr="00CE648A">
        <w:rPr>
          <w:vertAlign w:val="superscript"/>
        </w:rPr>
        <w:footnoteReference w:id="363"/>
      </w:r>
      <w:r w:rsidRPr="00CE648A">
        <w:t xml:space="preserve"> tatsächlich nichtig sind.</w:t>
      </w:r>
      <w:r w:rsidRPr="00CE648A">
        <w:rPr>
          <w:vertAlign w:val="superscript"/>
        </w:rPr>
        <w:footnoteReference w:id="364"/>
      </w:r>
    </w:p>
    <w:p w14:paraId="5DE414E4" w14:textId="77777777" w:rsidR="005416FC" w:rsidRPr="00252B37" w:rsidRDefault="005416FC" w:rsidP="005B6EF7">
      <w:pPr>
        <w:pStyle w:val="berschrift6"/>
      </w:pPr>
      <w:bookmarkStart w:id="469" w:name="_Toc22133278"/>
      <w:r w:rsidRPr="00252B37">
        <w:t>1. Fehlende Anhörung des A</w:t>
      </w:r>
      <w:bookmarkEnd w:id="469"/>
    </w:p>
    <w:p w14:paraId="55CB3079" w14:textId="77777777" w:rsidR="005416FC" w:rsidRDefault="005416FC" w:rsidP="005416FC">
      <w:pPr>
        <w:pStyle w:val="Randnummer"/>
        <w:framePr w:wrap="around"/>
      </w:pPr>
    </w:p>
    <w:p w14:paraId="12024693" w14:textId="77777777" w:rsidR="005416FC" w:rsidRPr="00CE648A" w:rsidRDefault="005416FC" w:rsidP="005416FC">
      <w:r w:rsidRPr="00CE648A">
        <w:t xml:space="preserve">Sowohl die aufschiebende Bedingung als auch die </w:t>
      </w:r>
      <w:r>
        <w:t>Auflage</w:t>
      </w:r>
      <w:r w:rsidRPr="00CE648A">
        <w:t xml:space="preserve"> zur Gaststättenerlaubnis des A könnten bereits wegen </w:t>
      </w:r>
      <w:r w:rsidRPr="005B6EF7">
        <w:t xml:space="preserve">fehlender Anhörung </w:t>
      </w:r>
      <w:r w:rsidRPr="00CE648A">
        <w:t xml:space="preserve">des A nichtig sein. Dann müsste darin ein Rechtsfehler liegen, der zudem zur Nichtigkeit der Nebenbestimmungen führt. </w:t>
      </w:r>
    </w:p>
    <w:p w14:paraId="7C5A1D69" w14:textId="77777777" w:rsidR="005416FC" w:rsidRPr="005B6EF7" w:rsidRDefault="005416FC" w:rsidP="005416FC">
      <w:r w:rsidRPr="00CE648A">
        <w:t xml:space="preserve">Die Anhörung eines Beteiligten ist gemäß § 28 I VwVfG NRW lediglich dann erforderlich, wenn der zu erlassende Verwaltungsakt in dessen Rechte eingreift. Die Gaststättenerlaubnis als Hauptverwaltungsakt ist für den A </w:t>
      </w:r>
      <w:r>
        <w:t xml:space="preserve">als Antragssteller gemäß § 13 I Nr. 1 Var. 1 VwVfG NRW </w:t>
      </w:r>
      <w:r w:rsidRPr="00CE648A">
        <w:t>begünstigend, insoweit sie den Betrieb seines Clubs legalisiert. Die Nebenbestimmungen beschränken diesen Betrieb wiederum. Es stellt sich die Frage, ob es im Falle einer begünstigenden Gaststättenerlaubnis mit belastenden Nebenbestimmungen zu einen Eingriff in die Rechte des A (aus Art. 12 I GG und Art. 14 </w:t>
      </w:r>
      <w:r>
        <w:t xml:space="preserve">I </w:t>
      </w:r>
      <w:r w:rsidRPr="00CE648A">
        <w:t xml:space="preserve">GG) i.S.v. § 28 I VwVfG NRW kommt, sodass bezüglich der Nebenbestimmungen eine Anhörung erforderlich </w:t>
      </w:r>
      <w:r>
        <w:t xml:space="preserve">gewesen </w:t>
      </w:r>
      <w:r w:rsidRPr="00CE648A">
        <w:t>wäre. Dies ist umstritten.</w:t>
      </w:r>
      <w:r w:rsidRPr="00CE648A">
        <w:rPr>
          <w:vertAlign w:val="superscript"/>
        </w:rPr>
        <w:footnoteReference w:id="365"/>
      </w:r>
      <w:r w:rsidRPr="00CE648A">
        <w:t xml:space="preserve"> Selbst wenn insofern ein Rechtsfehler unterlaufen sein sollte, könnte dieser jedoch gemäß § 45 I Nr. 3, II VwVfG NRW bis zum Abschluss der ersten Instanz eines verwaltungsgerichtlichen Verfahrens</w:t>
      </w:r>
      <w:r>
        <w:rPr>
          <w:rStyle w:val="Funotenzeichen"/>
        </w:rPr>
        <w:footnoteReference w:id="366"/>
      </w:r>
      <w:r w:rsidRPr="00CE648A">
        <w:t xml:space="preserve"> durch Nachholung der erforderlichen Anhörung</w:t>
      </w:r>
      <w:r w:rsidRPr="00CE648A">
        <w:rPr>
          <w:vertAlign w:val="superscript"/>
        </w:rPr>
        <w:footnoteReference w:id="367"/>
      </w:r>
      <w:r w:rsidRPr="00CE648A">
        <w:t xml:space="preserve"> geheilt werden. Dies wäre nur dann ausgeschlossen, wenn dieser Fehler gemäß § 44 VwVfG N</w:t>
      </w:r>
      <w:r w:rsidRPr="005B6EF7">
        <w:t xml:space="preserve">RW gar zur Nichtigkeit führte. </w:t>
      </w:r>
    </w:p>
    <w:p w14:paraId="28274533" w14:textId="77777777" w:rsidR="005416FC" w:rsidRPr="005B6EF7" w:rsidRDefault="005416FC" w:rsidP="005416FC">
      <w:r w:rsidRPr="005B6EF7">
        <w:t xml:space="preserve">Anhaltspunkte für das Vorliegen eines besonderen Nichtigkeitsgrundes gemäß § 44 II VwVfG NRW sind nicht ersichtlich. </w:t>
      </w:r>
    </w:p>
    <w:p w14:paraId="05967957" w14:textId="3E1F573F" w:rsidR="005416FC" w:rsidRPr="00CE648A" w:rsidRDefault="005416FC" w:rsidP="005416FC">
      <w:r w:rsidRPr="005B6EF7">
        <w:t>Eine Nichtigkeit könnte jedoch gemäß § 44 I VwVfG NRW daraus folgen, dass es sich um einen besonders schwerwiegenden Fehler handelt und dies bei verständiger Würdigung aller in Betracht kommenden Umstände offenkundig</w:t>
      </w:r>
      <w:r w:rsidRPr="005B6EF7">
        <w:rPr>
          <w:vertAlign w:val="superscript"/>
        </w:rPr>
        <w:footnoteReference w:id="368"/>
      </w:r>
      <w:r w:rsidRPr="005B6EF7">
        <w:t xml:space="preserve"> ist. Besonders schwerwiegend ist ein Fehler, wenn er den Verwaltungsakt als schlechterdings unerträglich, </w:t>
      </w:r>
      <w:r w:rsidR="00620FA8" w:rsidRPr="005B6EF7">
        <w:t>d.h.</w:t>
      </w:r>
      <w:r w:rsidRPr="005B6EF7">
        <w:t xml:space="preserve"> mit tragenden Verfassungsprinzipien oder der Rechtsordnung immanenten wesentlichen Wertvorstellungen unvereinbar erscheinen lässt.</w:t>
      </w:r>
      <w:r w:rsidRPr="005B6EF7">
        <w:rPr>
          <w:vertAlign w:val="superscript"/>
        </w:rPr>
        <w:footnoteReference w:id="369"/>
      </w:r>
      <w:r w:rsidRPr="005B6EF7">
        <w:t xml:space="preserve"> Dies ist unter Berücksichtigung aller rechtlich relevanten Umstände des Einzel</w:t>
      </w:r>
      <w:r w:rsidRPr="00CE648A">
        <w:t>falls, insbesondere einer Analyse der gesetzlich vorgesehenen Fehlerfolgeregelungen (insbesondere §§ 44 II, III, 45, 46 VwVfG NRW) sowie der konkret verletzten Vorschrift, ihrer systematischen Zusammenhänge und der ihr zugrundeliegenden Zweck- und Wertvorstellungen, zu bewerten.</w:t>
      </w:r>
      <w:r w:rsidRPr="00CE648A">
        <w:rPr>
          <w:vertAlign w:val="superscript"/>
        </w:rPr>
        <w:footnoteReference w:id="370"/>
      </w:r>
      <w:r w:rsidRPr="00CE648A">
        <w:t xml:space="preserve"> Im Hinblick auf Anhörungsfehler ergibt sich bereits aus der oben erwähnten Heilungsmöglichkeit gemäß § 45 I Nr. 3, II VwVfG NRW, dass die Rechtsordnung diesen im Regelfall kein besonderes Gewicht beimisst.</w:t>
      </w:r>
      <w:r w:rsidRPr="00CE648A">
        <w:rPr>
          <w:vertAlign w:val="superscript"/>
        </w:rPr>
        <w:footnoteReference w:id="371"/>
      </w:r>
      <w:r w:rsidRPr="00CE648A">
        <w:t xml:space="preserve"> Etwas anderes kann daher nur in atypischen Konstellationen, beispielsweise im Falle der vorsätzlichen Missachtung zur Erschwerung von Rechtsschutz, gelten.</w:t>
      </w:r>
      <w:r w:rsidRPr="00CE648A">
        <w:rPr>
          <w:vertAlign w:val="superscript"/>
        </w:rPr>
        <w:footnoteReference w:id="372"/>
      </w:r>
      <w:r w:rsidRPr="00CE648A">
        <w:t xml:space="preserve"> Dafür sind hier jedoch keine Anhaltspunkte ersichtlich.</w:t>
      </w:r>
    </w:p>
    <w:p w14:paraId="78B9C0D7" w14:textId="77777777" w:rsidR="005416FC" w:rsidRPr="00CE648A" w:rsidRDefault="005416FC" w:rsidP="005416FC">
      <w:r w:rsidRPr="00CE648A">
        <w:t xml:space="preserve">Folglich kann eine Entscheidung des Streits hinsichtlich § 28 I VwVfG NRW dahinstehen. Eine Nichtigkeit der aufschiebenden Bedingung und der </w:t>
      </w:r>
      <w:r>
        <w:t>Auflage</w:t>
      </w:r>
      <w:r w:rsidRPr="00CE648A">
        <w:t xml:space="preserve"> zur Gaststättenerlaubnis des A ergibt sich nicht bereits aus der fehlenden Anhörung des A.</w:t>
      </w:r>
    </w:p>
    <w:p w14:paraId="0927E7D4" w14:textId="77777777" w:rsidR="005416FC" w:rsidRPr="00252B37" w:rsidRDefault="005416FC" w:rsidP="005B6EF7">
      <w:pPr>
        <w:pStyle w:val="berschrift6"/>
      </w:pPr>
      <w:bookmarkStart w:id="470" w:name="_Toc22133279"/>
      <w:r w:rsidRPr="00252B37">
        <w:t>2. Mitwirkung des O im Verwaltungsverfahren um die Gaststättenerlaubnis für A</w:t>
      </w:r>
      <w:bookmarkEnd w:id="470"/>
    </w:p>
    <w:p w14:paraId="6F0F63ED" w14:textId="77777777" w:rsidR="005416FC" w:rsidRDefault="005416FC" w:rsidP="005416FC">
      <w:pPr>
        <w:pStyle w:val="Randnummer"/>
        <w:framePr w:wrap="around"/>
      </w:pPr>
    </w:p>
    <w:p w14:paraId="5AF55CE5" w14:textId="77777777" w:rsidR="005416FC" w:rsidRPr="00CE648A" w:rsidRDefault="005416FC" w:rsidP="005416FC">
      <w:r w:rsidRPr="00CE648A">
        <w:t xml:space="preserve">Die Nebenbestimmungen könnten jedoch nichtig sein, weil der Schwiegervater S des A über die Erteilung der Gaststättenerlaubnis und den Erlass besagter Nebenbestimmungen entschieden hat. </w:t>
      </w:r>
    </w:p>
    <w:p w14:paraId="11F9B5D4" w14:textId="77777777" w:rsidR="005416FC" w:rsidRDefault="005416FC" w:rsidP="005B6EF7">
      <w:pPr>
        <w:pStyle w:val="berschrift7"/>
      </w:pPr>
      <w:bookmarkStart w:id="471" w:name="_Toc22133280"/>
      <w:r w:rsidRPr="00252B37">
        <w:t>a) Vorliegen eines Rechtsfehlers</w:t>
      </w:r>
      <w:bookmarkEnd w:id="471"/>
    </w:p>
    <w:p w14:paraId="3C79705C" w14:textId="77777777" w:rsidR="005416FC" w:rsidRPr="00252B37" w:rsidRDefault="005416FC" w:rsidP="005416FC">
      <w:pPr>
        <w:pStyle w:val="Randnummer"/>
        <w:framePr w:wrap="around"/>
      </w:pPr>
    </w:p>
    <w:p w14:paraId="33C14A6D" w14:textId="77777777" w:rsidR="005416FC" w:rsidRPr="005B6EF7" w:rsidRDefault="005416FC" w:rsidP="005416FC">
      <w:r w:rsidRPr="00CE648A">
        <w:t>Insofern könnte die Gaststättenerlaubnis wegen Verletzung der Vorschrift des § 20 I 1 Nr. 2 VwVfG NRW unter einem Verfahrensfehler leiden. Nach dieser Vorschrift darf in einem Verwaltungsverfahren für eine Behörde gar nicht tätig werden, wer Angehöriger eines Beteiligten ist (</w:t>
      </w:r>
      <w:r w:rsidRPr="005B6EF7">
        <w:t xml:space="preserve">sog. „ausgeschlossene Person“). </w:t>
      </w:r>
    </w:p>
    <w:p w14:paraId="19510B38" w14:textId="4CEC58AC" w:rsidR="005416FC" w:rsidRPr="00CE648A" w:rsidRDefault="005416FC" w:rsidP="005416FC">
      <w:r w:rsidRPr="005B6EF7">
        <w:t xml:space="preserve">S ist in dem auf den Erlass des </w:t>
      </w:r>
      <w:r w:rsidR="00DA1B70" w:rsidRPr="005B6EF7">
        <w:t>Verwaltungsakts</w:t>
      </w:r>
      <w:r w:rsidRPr="005B6EF7">
        <w:t xml:space="preserve"> Gaststättenerlaubnis gerichteten Verwaltungsverfahren (§ 9 VwVfG NRW) für die mit Aufgaben der besonderen Ordnungsverwaltung im Gaststättengewerbe beschäftigten Ordnungsbehörde der Stadt Köln (§ 1 II VwVfG NRW</w:t>
      </w:r>
      <w:r w:rsidRPr="005B6EF7">
        <w:rPr>
          <w:rStyle w:val="Funotenzeichen"/>
        </w:rPr>
        <w:footnoteReference w:id="373"/>
      </w:r>
      <w:r w:rsidRPr="005B6EF7">
        <w:t xml:space="preserve">) nicht nur untergeordnet tätig geworden, er hat das Verfahren allein durchgeführt und abschließend gar die Erlaubnis selbst erteilt. Entscheidend ist, ob er i.S.v. § 20 VwVfG NRW Angehöriger eines an diesem Verfahren Beteiligten war. Beteiligter ist nach § 13 I Nr. 1 Var. 1 VwVfG </w:t>
      </w:r>
      <w:r w:rsidR="00051075" w:rsidRPr="005B6EF7">
        <w:t>u.a.</w:t>
      </w:r>
      <w:r w:rsidRPr="005B6EF7">
        <w:t xml:space="preserve"> der Antragssteller, hier der A. Wer Angehöriger i.S.d. § 20 I 1 Nr. 2 bis 4 VwVfG NRW ist, wird in § 20 V VwVfG NRW abschließend bestimmt. Nach Nr. 3 sind dies auch die Verschwägerten in gerader Linie. Dies sind für den einen Ehepartner gemäß §§ 1590 I 1, 1589 I 1 BG</w:t>
      </w:r>
      <w:r w:rsidRPr="00CE648A">
        <w:t>B die Verwandten seines Ehegatten, von denen dieser abstammt. Dazu gehört auch der Schwiegervater.</w:t>
      </w:r>
      <w:r w:rsidRPr="00CE648A">
        <w:rPr>
          <w:vertAlign w:val="superscript"/>
        </w:rPr>
        <w:footnoteReference w:id="374"/>
      </w:r>
      <w:r w:rsidRPr="00CE648A">
        <w:t xml:space="preserve"> Bei S handelte es sich folglich um eine ausgeschlossene Person gemäß § 20 I 1 Nr. 2 VwVfG NRW, die in dem Verwaltungsverfahren des A unter keinen Umständen für die Ordnungsbehörde hätte tätig werden dürfen. Damit liegt ein Rechtsfehler vor.</w:t>
      </w:r>
    </w:p>
    <w:p w14:paraId="55283218" w14:textId="77777777" w:rsidR="005416FC" w:rsidRPr="00252B37" w:rsidRDefault="005416FC" w:rsidP="005B6EF7">
      <w:pPr>
        <w:pStyle w:val="berschrift7"/>
      </w:pPr>
      <w:bookmarkStart w:id="472" w:name="_Toc22133281"/>
      <w:r w:rsidRPr="00252B37">
        <w:t>b) Nichtigkeit gemäß § 44 I VwVfG NRW</w:t>
      </w:r>
      <w:bookmarkEnd w:id="472"/>
    </w:p>
    <w:p w14:paraId="19D85D9B" w14:textId="77777777" w:rsidR="005416FC" w:rsidRDefault="005416FC" w:rsidP="005416FC">
      <w:pPr>
        <w:pStyle w:val="Randnummer"/>
        <w:framePr w:wrap="around"/>
      </w:pPr>
    </w:p>
    <w:p w14:paraId="021698E4" w14:textId="77777777" w:rsidR="005416FC" w:rsidRPr="00CE648A" w:rsidRDefault="005416FC" w:rsidP="005416FC">
      <w:r w:rsidRPr="00CE648A">
        <w:t>Anhaltspunkte f</w:t>
      </w:r>
      <w:r w:rsidRPr="005B6EF7">
        <w:t>ür das Vorliegen eines besonderen Nichtigkeitsgrundes gemäß § 44 II VwVfG NRW sind nicht ersichtlich. Eine Nichtigkeit könnte jedoch gemäß § 44 I VwVfG NRW daraus folgen, dass es sich um einen besonders schwerwiegenden Fehler handelt und dies bei verständiger Würdigung aller i</w:t>
      </w:r>
      <w:r w:rsidRPr="00CE648A">
        <w:t>n Betracht kommenden Umstände offenkundig ist.</w:t>
      </w:r>
    </w:p>
    <w:p w14:paraId="37F411F5" w14:textId="77777777" w:rsidR="005416FC" w:rsidRPr="00252B37" w:rsidRDefault="005416FC" w:rsidP="005B6EF7">
      <w:pPr>
        <w:pStyle w:val="berschrift8"/>
      </w:pPr>
      <w:bookmarkStart w:id="473" w:name="_Toc22133282"/>
      <w:r w:rsidRPr="00252B37">
        <w:t>aa) Ausschlusstatbestand gemäß § 44 III VwVfG NRW</w:t>
      </w:r>
      <w:bookmarkEnd w:id="473"/>
    </w:p>
    <w:p w14:paraId="1C8BB12B" w14:textId="77777777" w:rsidR="005416FC" w:rsidRDefault="005416FC" w:rsidP="005416FC">
      <w:pPr>
        <w:pStyle w:val="Randnummer"/>
        <w:framePr w:wrap="around"/>
      </w:pPr>
    </w:p>
    <w:p w14:paraId="2961C783" w14:textId="77777777" w:rsidR="005416FC" w:rsidRPr="005B6EF7" w:rsidRDefault="005416FC" w:rsidP="005416FC">
      <w:r w:rsidRPr="00CE648A">
        <w:t xml:space="preserve">Eine Nichtigkeit könnte </w:t>
      </w:r>
      <w:r>
        <w:t>indes</w:t>
      </w:r>
      <w:r w:rsidRPr="00CE648A">
        <w:t xml:space="preserve"> bereits deshalb ausgeschlossen sein,</w:t>
      </w:r>
      <w:r w:rsidRPr="00CE648A">
        <w:rPr>
          <w:vertAlign w:val="superscript"/>
        </w:rPr>
        <w:footnoteReference w:id="375"/>
      </w:r>
      <w:r w:rsidRPr="00CE648A">
        <w:t xml:space="preserve"> weil einer der in § 44 I</w:t>
      </w:r>
      <w:r w:rsidRPr="005B6EF7">
        <w:t xml:space="preserve">II VwVfG NRW aufgeführten Ausschlusstatbestände einschlägig ist. So ist gemäß § 44 III Nr. 2 VwVfG NRW ein Verwaltungsakt nicht schon deshalb nichtig, weil eine nach § 20 I 1 Nr. 2 bis 6 VwVfG NRW ausgeschlossene Person mitgewirkt hat. Genau dies war hier jedoch der Fall. </w:t>
      </w:r>
    </w:p>
    <w:p w14:paraId="272FBF76" w14:textId="77777777" w:rsidR="005416FC" w:rsidRPr="00CE648A" w:rsidRDefault="005416FC" w:rsidP="005416FC">
      <w:r w:rsidRPr="005B6EF7">
        <w:t>Die Tatbestände des § 44 III VwVfG NRW sind jedoch nur insoweit einschlägig, als es im Einzelfall um die konkret erfassten Rechtsfehler geht.</w:t>
      </w:r>
      <w:r w:rsidRPr="005B6EF7">
        <w:rPr>
          <w:vertAlign w:val="superscript"/>
        </w:rPr>
        <w:footnoteReference w:id="376"/>
      </w:r>
      <w:r w:rsidRPr="005B6EF7">
        <w:t xml:space="preserve"> Treten demgegenüber weitere besondere Umstände hinzu, die </w:t>
      </w:r>
      <w:bookmarkStart w:id="474" w:name="_Hlk8391838"/>
      <w:r w:rsidRPr="005B6EF7">
        <w:t>in Widerspruch zu dem Zweck des jeweiligen Ausnahmetatbestands stehen</w:t>
      </w:r>
      <w:bookmarkEnd w:id="474"/>
      <w:r w:rsidRPr="005B6EF7">
        <w:t>, besteht die Möglichkeit einer Nichtigkeit fort. Die Ausnahme der Mitwirkung einer ausgeschlossenen Person von der Nichtigkeit ist der Tatsache geschuldet, dass entgegen der in § 20 I 1 Nr. 2 bis 6 VwVfG NRW fixierten unwiderlegbaren Vermutung der Befangenheit in Bezug auf die Sachentscheidung diese gleichwohl materiell fehlerfrei erfolgen kann. Die bloße – gegebenenfalls gar untergeordnete – Mitwirkung einer ausgeschlossenen Person soll dann bereits keinen Anlass für eine Nichtigkeit bieten können. Dies entspricht einer allgemeinen Wertentscheidung des Gesetzgebers, die ihren Ausdruck so auch in § 46 VwVfG NRW gefunden hat. Diesem Zweck widerspricht es jedoch, wenn als weiterer besonderer Umstand die Mitwirkung der ausgeschlossenen Person tatsächlich zu einer offensichtlich parteilichen Entscheidung geführt hat. Denn dann hat sich im konkreten Einzelfall gerade die Gefahr verwirklicht, vor der die Vorschrift des § 20 I 1 VwVfG NRW unter Anknüpfung an die besondere persönliche Nähebeziehung abstrakt schützen soll. Ob es zu einer entsp</w:t>
      </w:r>
      <w:r w:rsidRPr="00CE648A">
        <w:t>rechenden wesentlichen Beeinflussung gekommen ist, ist im Einzelfall nach Art, Stadium und Effekt der Mitwirkung zu bestimmen. Laut Sachverhalt hat der S die Nebenbestimmungen mit dem Ziel, die Pläne des in seiner Wahrnehmung nichtsnutzigen A zu boykottieren und somit ultimativ seine eigene Tochter vor dessen unternehmerische</w:t>
      </w:r>
      <w:r>
        <w:t>m</w:t>
      </w:r>
      <w:r w:rsidRPr="00CE648A">
        <w:t xml:space="preserve"> Ruin zu schützen, ergänzt. Damit hat S offensichtlich parteilich gehandelt, sodass der Ausschlussgrund des § 44 III Nr. 2 VwVfG NRW nicht greifen kann. </w:t>
      </w:r>
    </w:p>
    <w:p w14:paraId="6DD0E7A8" w14:textId="77777777" w:rsidR="005416FC" w:rsidRPr="00252B37" w:rsidRDefault="005416FC" w:rsidP="005B6EF7">
      <w:pPr>
        <w:pStyle w:val="berschrift8"/>
      </w:pPr>
      <w:bookmarkStart w:id="475" w:name="_Toc22133283"/>
      <w:r w:rsidRPr="00252B37">
        <w:t>bb) Besonders schwerwiegender Fehler</w:t>
      </w:r>
      <w:bookmarkEnd w:id="475"/>
    </w:p>
    <w:p w14:paraId="36187864" w14:textId="77777777" w:rsidR="005416FC" w:rsidRDefault="005416FC" w:rsidP="005416FC">
      <w:pPr>
        <w:pStyle w:val="Randnummer"/>
        <w:framePr w:wrap="around"/>
      </w:pPr>
    </w:p>
    <w:p w14:paraId="0254176A" w14:textId="406A22CE" w:rsidR="005416FC" w:rsidRPr="00CE648A" w:rsidRDefault="005416FC" w:rsidP="005416FC">
      <w:r w:rsidRPr="00CE648A">
        <w:t>Noch nicht ge</w:t>
      </w:r>
      <w:r w:rsidRPr="005B6EF7">
        <w:t>klärt ist damit indes die Frage, ob es sich um einen besonders schwerwiegenden</w:t>
      </w:r>
      <w:r w:rsidRPr="005B6EF7">
        <w:rPr>
          <w:i/>
        </w:rPr>
        <w:t xml:space="preserve"> </w:t>
      </w:r>
      <w:r w:rsidRPr="005B6EF7">
        <w:t>Fehler</w:t>
      </w:r>
      <w:r w:rsidRPr="005B6EF7">
        <w:rPr>
          <w:vertAlign w:val="superscript"/>
        </w:rPr>
        <w:footnoteReference w:id="377"/>
      </w:r>
      <w:r w:rsidRPr="005B6EF7">
        <w:t xml:space="preserve"> handelt. Bei dieser Bewertung ist zu berücksichtigen, dass nach Systematik und Zweck der Fehl</w:t>
      </w:r>
      <w:r w:rsidRPr="00CE648A">
        <w:t xml:space="preserve">erfolgenregelungen des VwVfG NRW die Nichtigkeit eines </w:t>
      </w:r>
      <w:r w:rsidR="00DA1B70">
        <w:t>Verwaltungsakts</w:t>
      </w:r>
      <w:r w:rsidRPr="00CE648A">
        <w:t xml:space="preserve"> die Ausnahme darstellt.</w:t>
      </w:r>
      <w:r w:rsidRPr="00CE648A">
        <w:rPr>
          <w:vertAlign w:val="superscript"/>
        </w:rPr>
        <w:footnoteReference w:id="378"/>
      </w:r>
      <w:r w:rsidRPr="00CE648A">
        <w:t xml:space="preserve"> Es müssen daher konkrete Erwägungen des Einzelfalls gerade für eine besondere Schwere sprechen.</w:t>
      </w:r>
      <w:r w:rsidRPr="00CE648A">
        <w:rPr>
          <w:vertAlign w:val="superscript"/>
        </w:rPr>
        <w:footnoteReference w:id="379"/>
      </w:r>
    </w:p>
    <w:p w14:paraId="6F12E8E4" w14:textId="77777777" w:rsidR="005416FC" w:rsidRPr="00CE648A" w:rsidRDefault="005416FC" w:rsidP="005416FC">
      <w:r w:rsidRPr="00CE648A">
        <w:t>Hinsichtlich des in Rede stehenden Rechtsfehlers ist zu berücksichtigen, dass sich genau die Gefahr realisiert hat, vor der die verletzte Vorschrift eigentlich bewahren sollte. Die offensichtlich parteiliche Entscheidung des S steht im diametralen Gegensatz zu den aus dem Rechtsstaatsgebot (Art. 20 III GG)</w:t>
      </w:r>
      <w:r w:rsidRPr="00CE648A">
        <w:rPr>
          <w:vertAlign w:val="superscript"/>
        </w:rPr>
        <w:t xml:space="preserve"> </w:t>
      </w:r>
      <w:r w:rsidRPr="00CE648A">
        <w:rPr>
          <w:vertAlign w:val="superscript"/>
        </w:rPr>
        <w:footnoteReference w:id="380"/>
      </w:r>
      <w:r w:rsidRPr="00CE648A">
        <w:t xml:space="preserve"> abzuleitenden Prinzipien der Verfahrensgerechtigkeit sowie der Gewährleistung eines fairen Verfahrens.</w:t>
      </w:r>
      <w:r w:rsidRPr="00CE648A">
        <w:rPr>
          <w:vertAlign w:val="superscript"/>
        </w:rPr>
        <w:footnoteReference w:id="381"/>
      </w:r>
      <w:r w:rsidRPr="00CE648A">
        <w:t xml:space="preserve"> Darüber hinaus spricht die Tatsache, dass auch § 46 VwVfG NRW maßgeblich auf die Beeinflussung der Entscheidung in der Sache abstellt, dafür, den erlassenen Verwaltungsakt in den Blick zu nehmen: Vorliegend verfolgte S mit beiden Nebenbestimmungen maßgeblich das Ziel, das Vorhaben des A zu steuern. In ihnen manifestierten sich die im Hinblick auf den Betrieb eines Gewerbes – im rechtlichen Sinne unbegründeten – persönlichen Vorurteile des S gegenüber seinem Schwiegersohn A. Diese verleiteten ihn letztlich dazu, entgegen seines sicheren Wissens</w:t>
      </w:r>
      <w:r w:rsidRPr="00CE648A">
        <w:rPr>
          <w:vertAlign w:val="superscript"/>
        </w:rPr>
        <w:footnoteReference w:id="382"/>
      </w:r>
      <w:r w:rsidRPr="00CE648A">
        <w:t xml:space="preserve"> von der Makellosigkeit des Antrags rechtswidrige Sondermaßstäbe für den A aufzustellen, die überdies – wie noch zu zeigen sein wird – </w:t>
      </w:r>
      <w:r>
        <w:t>zu einem intensiven Eingriff</w:t>
      </w:r>
      <w:r w:rsidRPr="00CE648A">
        <w:t xml:space="preserve"> in dessen Rechte aus Art. 12 I und Art. 14 I GG </w:t>
      </w:r>
      <w:r>
        <w:t>führen</w:t>
      </w:r>
      <w:r w:rsidRPr="00CE648A">
        <w:t xml:space="preserve">. </w:t>
      </w:r>
    </w:p>
    <w:p w14:paraId="437D5330" w14:textId="4DD9F64A" w:rsidR="005416FC" w:rsidRPr="00CE648A" w:rsidRDefault="005416FC" w:rsidP="005416FC">
      <w:r w:rsidRPr="00CE648A">
        <w:t>Vor diesem Hintergrund ist von einer besonderen Schwere des Verfahrensfehlers auszugehen</w:t>
      </w:r>
      <w:r w:rsidR="003C75EA">
        <w:t>.</w:t>
      </w:r>
      <w:r w:rsidRPr="00CE648A">
        <w:t xml:space="preserve"> (a.A. mit entsprechender Begründung gut vertretbar</w:t>
      </w:r>
      <w:r w:rsidRPr="00CE648A">
        <w:rPr>
          <w:vertAlign w:val="superscript"/>
        </w:rPr>
        <w:footnoteReference w:id="383"/>
      </w:r>
      <w:r w:rsidRPr="00CE648A">
        <w:t>)</w:t>
      </w:r>
    </w:p>
    <w:p w14:paraId="39ED399F" w14:textId="77777777" w:rsidR="005416FC" w:rsidRPr="00252B37" w:rsidRDefault="005416FC" w:rsidP="005B6EF7">
      <w:pPr>
        <w:pStyle w:val="berschrift8"/>
      </w:pPr>
      <w:bookmarkStart w:id="479" w:name="_Toc22133284"/>
      <w:r w:rsidRPr="00252B37">
        <w:t>cc) Offenkundigkeit</w:t>
      </w:r>
      <w:bookmarkEnd w:id="479"/>
    </w:p>
    <w:p w14:paraId="63CF6FE3" w14:textId="77777777" w:rsidR="005416FC" w:rsidRDefault="005416FC" w:rsidP="005416FC">
      <w:pPr>
        <w:pStyle w:val="Randnummer"/>
        <w:framePr w:wrap="around"/>
      </w:pPr>
    </w:p>
    <w:p w14:paraId="5CC852CA" w14:textId="77777777" w:rsidR="005416FC" w:rsidRDefault="005416FC" w:rsidP="005416FC">
      <w:r w:rsidRPr="00CE648A">
        <w:t xml:space="preserve">Der Fehler und seine besondere Schwere müssten auch </w:t>
      </w:r>
      <w:r w:rsidRPr="005B6EF7">
        <w:t>offenkundig</w:t>
      </w:r>
      <w:r w:rsidRPr="00CE648A">
        <w:t xml:space="preserve"> sein. Dies ist der Fall, wenn es für einen unvoreingenommenen, mit den in Betracht kommenden Umständen vertrauten, verständigen Beobachter ohne weiteres ersichtlich ist.</w:t>
      </w:r>
      <w:r w:rsidRPr="00CE648A">
        <w:rPr>
          <w:vertAlign w:val="superscript"/>
        </w:rPr>
        <w:footnoteReference w:id="384"/>
      </w:r>
      <w:r w:rsidRPr="00CE648A">
        <w:t xml:space="preserve"> Abzustellen ist dabei grundsätzlich auf einen weder besonders sach- noch rechtskundigen, jedoch rechtlich aufgeschlossenen Durchschnittsbürger, der im Sinne einer „Parallelwertung in der Laiensphäre“ ohne weitere Ermittlungen oder besondere (rechtliche) Überlegungen zu dem Schluss kommt, dass der Verwaltungsakt unmöglich rechtens sein kann. </w:t>
      </w:r>
    </w:p>
    <w:p w14:paraId="0C1CFAE9" w14:textId="77777777" w:rsidR="005416FC" w:rsidRPr="00CE648A" w:rsidRDefault="005416FC" w:rsidP="005416FC">
      <w:r w:rsidRPr="00CE648A">
        <w:t xml:space="preserve">Die Problematik der Befangenheit, die in ihrer positiv wirkenden Ausprägung im Volksmund auch als „Vetternwirtschaft“ (oder Nepotismus) tituliert wird, ist ein der Allgemeinheit hinlänglich bekanntes Phänomen. Ein Durchschnittsbürger wird insbesondere im Falle des Sich-Auswirkens dieser Befangenheit auf ein Rechtsverhältnis in der Regel </w:t>
      </w:r>
      <w:r>
        <w:t>bereits</w:t>
      </w:r>
      <w:r w:rsidRPr="00CE648A">
        <w:t xml:space="preserve"> ohne (genaue) Rechts- oder Praxiskenntnis davon ausgehen, dass ein solches Vorgehen unter keinen Umständen rechtens sein kann.</w:t>
      </w:r>
      <w:r w:rsidRPr="00CE648A">
        <w:rPr>
          <w:vertAlign w:val="superscript"/>
        </w:rPr>
        <w:footnoteReference w:id="385"/>
      </w:r>
      <w:r w:rsidRPr="00CE648A">
        <w:t xml:space="preserve"> (a.A. mit entsprechender Begründung gut vertretbar)</w:t>
      </w:r>
    </w:p>
    <w:p w14:paraId="4ED262DB" w14:textId="77777777" w:rsidR="005416FC" w:rsidRPr="00CE648A" w:rsidRDefault="005416FC" w:rsidP="005416FC">
      <w:r w:rsidRPr="00CE648A">
        <w:t>Bei der offensichtlich parteilichen Mitwirkung des gemäß § 20 I 1 Nr. 2 VwVfG NRW ausgeschlossenen S handelte sich es folglich um einen offensichtlich besonders schwerwiegenden Fehler, der gemäß § 44 I VwVfG NRW die Nichtigkeit der Nebenbestimmungen</w:t>
      </w:r>
      <w:r>
        <w:rPr>
          <w:rStyle w:val="Funotenzeichen"/>
        </w:rPr>
        <w:footnoteReference w:id="386"/>
      </w:r>
      <w:r w:rsidRPr="00CE648A">
        <w:t xml:space="preserve"> begründet.</w:t>
      </w:r>
    </w:p>
    <w:p w14:paraId="78275DD2" w14:textId="77777777" w:rsidR="005416FC" w:rsidRPr="00252B37" w:rsidRDefault="005416FC" w:rsidP="005B6EF7">
      <w:pPr>
        <w:pStyle w:val="berschrift6"/>
      </w:pPr>
      <w:bookmarkStart w:id="480" w:name="_Toc22133285"/>
      <w:r w:rsidRPr="00252B37">
        <w:t>3. Vorgabe der Erfüllung der angegebenen Immissionsrichtwerte durch Lärmschutzmaßnahmen</w:t>
      </w:r>
      <w:bookmarkEnd w:id="480"/>
    </w:p>
    <w:p w14:paraId="28045652" w14:textId="77777777" w:rsidR="005416FC" w:rsidRDefault="005416FC" w:rsidP="005416FC">
      <w:pPr>
        <w:pStyle w:val="Randnummer"/>
        <w:framePr w:wrap="around"/>
      </w:pPr>
    </w:p>
    <w:p w14:paraId="19474192" w14:textId="77777777" w:rsidR="005416FC" w:rsidRPr="00CE648A" w:rsidRDefault="005416FC" w:rsidP="005416FC">
      <w:r w:rsidRPr="00CE648A">
        <w:t xml:space="preserve">Die Vorgabe, durch Ergreifen geeigneter Lärmschutzmaßnahmen dafür zu sorgen, dass der Immissionsrichtwert von 10 dB(A) in den Nachbargebäuden im Regelbetrieb nicht mehr überschritten wird, könnte auch in materieller Hinsicht nichtig sein. </w:t>
      </w:r>
    </w:p>
    <w:p w14:paraId="5DAB3051" w14:textId="77777777" w:rsidR="005416FC" w:rsidRPr="00252B37" w:rsidRDefault="005416FC" w:rsidP="005B6EF7">
      <w:pPr>
        <w:pStyle w:val="berschrift7"/>
      </w:pPr>
      <w:bookmarkStart w:id="481" w:name="_Toc22133286"/>
      <w:r w:rsidRPr="00252B37">
        <w:t>a) Nichtigkeit gemäß § 44 II Nr. 4 VwVfG NRW</w:t>
      </w:r>
      <w:bookmarkEnd w:id="481"/>
    </w:p>
    <w:p w14:paraId="49704F1F" w14:textId="77777777" w:rsidR="005416FC" w:rsidRDefault="005416FC" w:rsidP="005416FC">
      <w:pPr>
        <w:pStyle w:val="Randnummer"/>
        <w:framePr w:wrap="around"/>
      </w:pPr>
    </w:p>
    <w:p w14:paraId="0B6968B3" w14:textId="77777777" w:rsidR="005416FC" w:rsidRPr="005B6EF7" w:rsidRDefault="005416FC" w:rsidP="005416FC">
      <w:r w:rsidRPr="00CE648A">
        <w:t>D</w:t>
      </w:r>
      <w:r w:rsidRPr="005B6EF7">
        <w:t>iese aufschiebende Bedingung zur Gaststättenerlaubnis könnte gemäß § 44 II Nr. 4 VwVfG NRW ohne Rücksicht auf das Vorliegen der Voraussetzungen des Abs. I nichtig sein, weil das in ihr enthaltene Gebot aus tatsächlichen Gründen niemand ausführen kann.</w:t>
      </w:r>
    </w:p>
    <w:p w14:paraId="65E24343" w14:textId="77777777" w:rsidR="005416FC" w:rsidRPr="00CE648A" w:rsidRDefault="005416FC" w:rsidP="005416FC">
      <w:r w:rsidRPr="005B6EF7">
        <w:t>Unausführbarkeit aus tatsächlichen Gründen liegt vor, wenn aus naturgesetzlichen Gründen (entsprechend des gegenwärtigen Erkenntnisstandes) niemand eine geforderte Leistung erbringen kann, diese also objektiv schlicht unmöglich ist. Rechtliche Unmöglichkeit oder bloß subjektives Unvermögen des Adressaten finden demgegenüber keine Berücksichtigung.</w:t>
      </w:r>
      <w:r w:rsidRPr="005B6EF7">
        <w:rPr>
          <w:vertAlign w:val="superscript"/>
        </w:rPr>
        <w:footnoteReference w:id="387"/>
      </w:r>
      <w:r w:rsidRPr="005B6EF7">
        <w:t xml:space="preserve"> Vorliegend kam der Sachverständige zu dem Ergebnis, dass nach dem aktuellen Stand von Wissenschaft und Technik keine Lärmschutzmaßnahmen bekannt sind, die den Lärmpegel eines Electro-Clubs (von durchschnittlich rund 100 dB[A]) in den </w:t>
      </w:r>
      <w:r w:rsidRPr="005B6EF7">
        <w:rPr>
          <w:i/>
        </w:rPr>
        <w:t>konkreten</w:t>
      </w:r>
      <w:r w:rsidRPr="005B6EF7">
        <w:t xml:space="preserve"> Räumlichkeiten derart reduzieren könnten, dass dem geforderten Immissionsrichtwert von 10 dB</w:t>
      </w:r>
      <w:r w:rsidRPr="00CE648A">
        <w:t>(A) entsprochen werden könnte. Die Erfüllung der Bedingung ist damit nicht objektiv schlechthin, sondern nur im Hinblick auf den konkreten Einzelfall – hinsichtlich der betroffenen Gewerberäume und der für sie avisierten Nutzung – unmöglich. Es sind subjektive, sprich die konkrete Person des A betreffende Erwägungen, die hier gemessen an den durch die Bedingung bestimmten rechtlichen Vorgaben zur Unausführbarkeit führen.</w:t>
      </w:r>
      <w:r w:rsidRPr="00CE648A">
        <w:rPr>
          <w:vertAlign w:val="superscript"/>
        </w:rPr>
        <w:footnoteReference w:id="388"/>
      </w:r>
    </w:p>
    <w:p w14:paraId="343B4FEF" w14:textId="77777777" w:rsidR="005416FC" w:rsidRPr="00CE648A" w:rsidRDefault="005416FC" w:rsidP="005416FC">
      <w:r w:rsidRPr="00CE648A">
        <w:t xml:space="preserve">Daher ist die aufschiebende Bedingung zur Gaststättenerlaubnis nicht bereits gemäß § 44 II Nr. 4 VwVfG NRW nichtig. </w:t>
      </w:r>
    </w:p>
    <w:p w14:paraId="6276618F" w14:textId="77777777" w:rsidR="005416FC" w:rsidRPr="00252B37" w:rsidRDefault="005416FC" w:rsidP="005B6EF7">
      <w:pPr>
        <w:pStyle w:val="berschrift7"/>
      </w:pPr>
      <w:bookmarkStart w:id="482" w:name="_Toc22133287"/>
      <w:r w:rsidRPr="00252B37">
        <w:t>b) Nichtigkeit gemäß § 44 I VwVfG NRW</w:t>
      </w:r>
      <w:bookmarkEnd w:id="482"/>
    </w:p>
    <w:p w14:paraId="74982F1A" w14:textId="77777777" w:rsidR="005416FC" w:rsidRDefault="005416FC" w:rsidP="005416FC">
      <w:pPr>
        <w:pStyle w:val="Randnummer"/>
        <w:framePr w:wrap="around"/>
      </w:pPr>
    </w:p>
    <w:p w14:paraId="72898DB4" w14:textId="77777777" w:rsidR="005416FC" w:rsidRPr="00CE648A" w:rsidRDefault="005416FC" w:rsidP="005416FC">
      <w:r w:rsidRPr="00CE648A">
        <w:t>Sie könnte jedoch gemäß § 44 I VwVfG NRW nichtig sein, weil sie insofern an einem besonders schwerwiegenden Fehler leidet und dies bei verständiger Würdigung aller in Betracht kommenden Umstände offenkundig ist.</w:t>
      </w:r>
    </w:p>
    <w:p w14:paraId="220E1BAB" w14:textId="77777777" w:rsidR="005416FC" w:rsidRPr="00252B37" w:rsidRDefault="005416FC" w:rsidP="005B6EF7">
      <w:pPr>
        <w:pStyle w:val="berschrift8"/>
      </w:pPr>
      <w:bookmarkStart w:id="483" w:name="_Toc22133288"/>
      <w:r w:rsidRPr="00252B37">
        <w:t>aa) Vorliegen eines Rechtsfehlers</w:t>
      </w:r>
      <w:bookmarkEnd w:id="483"/>
    </w:p>
    <w:p w14:paraId="0D53E64B" w14:textId="77777777" w:rsidR="005416FC" w:rsidRDefault="005416FC" w:rsidP="005416FC">
      <w:pPr>
        <w:pStyle w:val="Randnummer"/>
        <w:framePr w:wrap="around"/>
      </w:pPr>
    </w:p>
    <w:p w14:paraId="12482A8B" w14:textId="77777777" w:rsidR="005416FC" w:rsidRPr="005B6EF7" w:rsidRDefault="005416FC" w:rsidP="005416FC">
      <w:r w:rsidRPr="00CE648A">
        <w:t>Dann müs</w:t>
      </w:r>
      <w:r w:rsidRPr="005B6EF7">
        <w:t xml:space="preserve">ste diese Nebenbestimmung überhaupt rechtsfehlerhaft sein. </w:t>
      </w:r>
    </w:p>
    <w:p w14:paraId="7594CB8B" w14:textId="3B04CEFC" w:rsidR="005416FC" w:rsidRPr="005B6EF7" w:rsidRDefault="005416FC" w:rsidP="005416FC">
      <w:r w:rsidRPr="005B6EF7">
        <w:t>Gemäß § 5 I GastG können Gewerbetreibenden, die einer Erlaubnis bedürfen, jederzeit Auflagen erteilt werden. Demgegenüber sind Bedingungen zu einer Gaststättenerlaubn</w:t>
      </w:r>
      <w:r w:rsidR="003518A6">
        <w:t>i</w:t>
      </w:r>
      <w:r w:rsidRPr="005B6EF7">
        <w:t>s nicht ausdrücklich im GastG vorgesehen. Indes handelt es sich bei § 5 GastG nicht um eine abschließende Regelung, sodass andere Nebenbestimmungen auf Grundlage anderer Vorschriften – insbesondere § 36 VwVfG NRW – zulässig sein können.</w:t>
      </w:r>
      <w:r w:rsidRPr="005B6EF7">
        <w:rPr>
          <w:vertAlign w:val="superscript"/>
        </w:rPr>
        <w:footnoteReference w:id="389"/>
      </w:r>
    </w:p>
    <w:p w14:paraId="68518469" w14:textId="4303D150" w:rsidR="005416FC" w:rsidRDefault="005416FC" w:rsidP="005416FC">
      <w:r w:rsidRPr="005B6EF7">
        <w:t>Angesichts der Tatsache, dass es sich bei der Gaststättenerlaubnis um einen Verwaltungsakt handelt, auf den bei Vorliegen der tatbestandlichen Voraussetzungen ein Anspruch besteht,</w:t>
      </w:r>
      <w:r w:rsidRPr="005B6EF7">
        <w:rPr>
          <w:vertAlign w:val="superscript"/>
        </w:rPr>
        <w:footnoteReference w:id="390"/>
      </w:r>
      <w:r w:rsidRPr="005B6EF7">
        <w:t xml:space="preserve"> darf sie ausschließlich unter Einhaltung der Voraussetzungen des § 36 I VwVfG NRW mit einer Nebenbestimmung versehen werden.</w:t>
      </w:r>
      <w:r w:rsidRPr="005B6EF7">
        <w:rPr>
          <w:vertAlign w:val="superscript"/>
        </w:rPr>
        <w:footnoteReference w:id="391"/>
      </w:r>
      <w:r w:rsidRPr="005B6EF7">
        <w:t xml:space="preserve"> Mangels spezialgesetzlicher Zulassung im GastG ist die Bedingung gemäß § 36 I Var. 2 VwVfG NRW nur dann zulässig, wenn sie sicherstellen soll, dass die gesetzlichen Voraussetzungen des </w:t>
      </w:r>
      <w:r w:rsidR="00DA1B70" w:rsidRPr="005B6EF7">
        <w:t>Verwaltungsakts</w:t>
      </w:r>
      <w:r w:rsidRPr="005B6EF7">
        <w:t xml:space="preserve"> erfüllt werden. Sie wäre damit auch zulässig, um zu gewährleisten, dass es durch den Gewerbebetrieb im Hinblick</w:t>
      </w:r>
      <w:r w:rsidRPr="00CE648A">
        <w:t xml:space="preserve"> auf seine örtliche Lage oder auf die Verwendung der Räume nicht zu schädlichen Umwelteinwirkungen im Sinne des Bundes-Immissionsschutzgesetzes </w:t>
      </w:r>
      <w:r>
        <w:t xml:space="preserve">(BImSchG) </w:t>
      </w:r>
      <w:r w:rsidRPr="00CE648A">
        <w:t>gemäß § 4 I 1 Nr. 3 GastG kommt. Ausweislich des Sachverhalts entsprachen indes Zustand und örtliche Lage des geplanten Betriebs bereits uneingeschränkt den rechtlichen Vorgaben. Einer Sicherstellung i.S.v. § 36 I Var. 2 VwVfG NRW bedurfte es daher nicht mehr, vielmehr bestand ein Anspruch auf Erteilung der Erlaubnis. Die aufschiebende Bedingung ist daher materiell rechtswidrig und weist somit einen Rechtsfehler auf.</w:t>
      </w:r>
    </w:p>
    <w:p w14:paraId="1A51A629" w14:textId="77777777" w:rsidR="005416FC" w:rsidRPr="00252B37" w:rsidRDefault="005416FC" w:rsidP="005B6EF7">
      <w:pPr>
        <w:pStyle w:val="berschrift8"/>
      </w:pPr>
      <w:bookmarkStart w:id="484" w:name="_Toc22133289"/>
      <w:r w:rsidRPr="00252B37">
        <w:t>bb) Besondere Schwere des Rechtsfehlers und Offenkundigkeit</w:t>
      </w:r>
      <w:bookmarkEnd w:id="484"/>
    </w:p>
    <w:p w14:paraId="66B689CF" w14:textId="77777777" w:rsidR="005416FC" w:rsidRDefault="005416FC" w:rsidP="005416FC">
      <w:pPr>
        <w:pStyle w:val="Randnummer"/>
        <w:framePr w:wrap="around"/>
      </w:pPr>
    </w:p>
    <w:p w14:paraId="49602998" w14:textId="6BA799B9" w:rsidR="005416FC" w:rsidRPr="00CE648A" w:rsidRDefault="005416FC" w:rsidP="005416FC">
      <w:r w:rsidRPr="00CE648A">
        <w:t xml:space="preserve">Dieser Rechtsfehler müsste überdies auch besonders schwerwiegend und als solcher </w:t>
      </w:r>
      <w:r w:rsidR="003518A6" w:rsidRPr="00CE648A">
        <w:t>offenkundig</w:t>
      </w:r>
      <w:r w:rsidRPr="00CE648A">
        <w:t xml:space="preserve"> sein. </w:t>
      </w:r>
    </w:p>
    <w:p w14:paraId="092876A0" w14:textId="6B2F633E" w:rsidR="005416FC" w:rsidRPr="00CE648A" w:rsidRDefault="005416FC" w:rsidP="005416FC">
      <w:r w:rsidRPr="00CE648A">
        <w:t>Es</w:t>
      </w:r>
      <w:r w:rsidRPr="005B6EF7">
        <w:t xml:space="preserve"> müssten auch insofern konkrete Erwägungen des Einzelfalls für eine besondere Schwere sprechen. Von Relevanz ist insofern das Ausmaß des Abweichens von den gesetzlichen Vorgaben: Zwar kann von den auch im Rahmen des Gaststättenrechts heranzuziehenden</w:t>
      </w:r>
      <w:r w:rsidRPr="005B6EF7">
        <w:rPr>
          <w:vertAlign w:val="superscript"/>
        </w:rPr>
        <w:footnoteReference w:id="392"/>
      </w:r>
      <w:r w:rsidRPr="005B6EF7">
        <w:t xml:space="preserve"> Immissionsrichtwerten der TA Lärm</w:t>
      </w:r>
      <w:r w:rsidRPr="005B6EF7">
        <w:rPr>
          <w:vertAlign w:val="superscript"/>
        </w:rPr>
        <w:footnoteReference w:id="393"/>
      </w:r>
      <w:r w:rsidRPr="005B6EF7">
        <w:t xml:space="preserve"> – als normkonkretisierende Verwaltungsvorschrift</w:t>
      </w:r>
      <w:r w:rsidRPr="005B6EF7">
        <w:rPr>
          <w:vertAlign w:val="superscript"/>
        </w:rPr>
        <w:footnoteReference w:id="394"/>
      </w:r>
      <w:r w:rsidRPr="005B6EF7">
        <w:t xml:space="preserve"> für die Normen des BImSchG – unter Berücksichtigung der besonderen Umstände des Einzelfalls abgewichen werden.</w:t>
      </w:r>
      <w:r w:rsidRPr="005B6EF7">
        <w:rPr>
          <w:vertAlign w:val="superscript"/>
        </w:rPr>
        <w:footnoteReference w:id="395"/>
      </w:r>
      <w:r w:rsidRPr="005B6EF7">
        <w:t xml:space="preserve"> Dies muss aber mit besonderen Umständen des Einzelfalls begründet werden. Vorliegend forderte d</w:t>
      </w:r>
      <w:r w:rsidR="003518A6">
        <w:t>er S die Einhaltung eines Richt</w:t>
      </w:r>
      <w:r w:rsidRPr="005B6EF7">
        <w:t>werts von 10 dB(A) in den Nachbargebäuden zur Nachtzeit, obgleich in Nr. 6.1 lit. c) TA Lärm für Immissionsorte außerhalb von Gebäuden in urbanen Gebieten nachts nur ein Richtwert von 45 dB(A) gelten soll, der hinsichtlich einzelner kurzzeitiger Geräuschspitzen gar bis zu 65 dB(A) betragen darf. Eine derart deutliche Abweichung von technischen Normen bedürfte einer überzeugenden Begründung, die insbesondere nicht in einem Verweis auf einen vermeintlich besonderen Nachtruhebedarf von in besagtem Gebiet vermutet wohnhafter Studentinnen und Studenten liegen kann. Darüber hinaus ist auch entscheidend zu berücksichtigen, wie sich diese Abweichung auswirkt: Der so festgelegte Richtwert macht es dem A im Ergebnis unmöglich, den von ihm geplanten Electro-Club in diesem Gebäude zu betreiben. Auch eine solch weniger intensive Berufsausübungsregelung (Art. 12 I GG) und Inhalts- und Schrankenbestimmung für das Eigentum am Haus (Art. 14 I GG) muss verhältnismäßig und insofern erforderlich, zumindest aber angemessen sein, wovon vorliegend angesichts der deutlichen Abweichung von den technischen Normen nicht mehr auszugehen ist. Schließlich ist wiederum relevant, dass der S entgegen seines sicheren Wissens von der Makellosigkeit des Antrags rechtswidrige Sondermaßstäbe für den A aufstellte.</w:t>
      </w:r>
    </w:p>
    <w:p w14:paraId="705B99C2" w14:textId="77777777" w:rsidR="005416FC" w:rsidRPr="00CE648A" w:rsidRDefault="005416FC" w:rsidP="005416FC">
      <w:r w:rsidRPr="00CE648A">
        <w:t xml:space="preserve">Angesichts der Deutlichkeit der Abweichung, der klaren Unangemessenheit der Grundrechtsbeeinträchtigung zulasten des A und der Vorsätzlichkeit des Rechtsverstoßes ist auch von einer </w:t>
      </w:r>
      <w:r w:rsidRPr="005B6EF7">
        <w:t>Offenkundigkeit</w:t>
      </w:r>
      <w:r w:rsidRPr="00CE648A">
        <w:t xml:space="preserve"> auszugehen. </w:t>
      </w:r>
    </w:p>
    <w:p w14:paraId="0526AC2E" w14:textId="77777777" w:rsidR="005416FC" w:rsidRPr="00CE648A" w:rsidRDefault="005416FC" w:rsidP="005416FC">
      <w:r w:rsidRPr="00CE648A">
        <w:t>Die aufschiebende Bedingung, dass der Betrieb erst dann aufgenommen werden darf, wenn durch Ergreifen geeigneter Lärmschutzmaßnahmen der Immissionsrichtwert von 10 dB(A) in den Nachbargebäuden im Regelbetrieb zur Nachtzeit nicht mehr überschritten wird, ist daher auch gemäß § 44 I VwVfG NRW nichtig. (a.A. mit entsprechender Begründung gut vertretbar)</w:t>
      </w:r>
    </w:p>
    <w:p w14:paraId="37A80833" w14:textId="77777777" w:rsidR="005416FC" w:rsidRPr="00252B37" w:rsidRDefault="005416FC" w:rsidP="005B6EF7">
      <w:pPr>
        <w:pStyle w:val="berschrift6"/>
      </w:pPr>
      <w:bookmarkStart w:id="485" w:name="_Toc22133290"/>
      <w:r w:rsidRPr="00252B37">
        <w:t>4. Gebot der Mitarbeit des V in den ersten sechs Monaten</w:t>
      </w:r>
      <w:bookmarkEnd w:id="485"/>
    </w:p>
    <w:p w14:paraId="03D1BDBE" w14:textId="77777777" w:rsidR="005416FC" w:rsidRDefault="005416FC" w:rsidP="005416FC">
      <w:pPr>
        <w:pStyle w:val="Randnummer"/>
        <w:framePr w:wrap="around"/>
      </w:pPr>
    </w:p>
    <w:p w14:paraId="444F5BCD" w14:textId="77777777" w:rsidR="005416FC" w:rsidRPr="00CE648A" w:rsidRDefault="005416FC" w:rsidP="005416FC">
      <w:r w:rsidRPr="00CE648A">
        <w:t xml:space="preserve">Die </w:t>
      </w:r>
      <w:r>
        <w:t>Auflage</w:t>
      </w:r>
      <w:r w:rsidRPr="00CE648A">
        <w:t xml:space="preserve"> mit dem Gebot, der V müsse innerhalb der ersten sechs Monate</w:t>
      </w:r>
      <w:r>
        <w:t xml:space="preserve"> hinter der Theke</w:t>
      </w:r>
      <w:r w:rsidRPr="00CE648A">
        <w:t xml:space="preserve"> im Club mitarbeiten, um durch seine jahrzehntela</w:t>
      </w:r>
      <w:r>
        <w:t>n</w:t>
      </w:r>
      <w:r w:rsidRPr="00CE648A">
        <w:t xml:space="preserve">ge Erfahrung im Gaststättengewerbe zum Schutz der Gäste beizutragen, könnte </w:t>
      </w:r>
      <w:r>
        <w:t>ebenfalls</w:t>
      </w:r>
      <w:r w:rsidRPr="00CE648A">
        <w:t xml:space="preserve"> in materieller Hinsicht nichtig sein. </w:t>
      </w:r>
    </w:p>
    <w:p w14:paraId="3381A80E" w14:textId="77777777" w:rsidR="005416FC" w:rsidRPr="00252B37" w:rsidRDefault="005416FC" w:rsidP="005B6EF7">
      <w:pPr>
        <w:pStyle w:val="berschrift7"/>
      </w:pPr>
      <w:bookmarkStart w:id="486" w:name="_Toc22133291"/>
      <w:r w:rsidRPr="00252B37">
        <w:t>a) Nichtigkeit gemäß § 44 II Nr. 5 VwVfG NRW</w:t>
      </w:r>
      <w:bookmarkEnd w:id="486"/>
    </w:p>
    <w:p w14:paraId="2068D8F3" w14:textId="77777777" w:rsidR="005416FC" w:rsidRDefault="005416FC" w:rsidP="005416FC">
      <w:pPr>
        <w:pStyle w:val="Randnummer"/>
        <w:framePr w:wrap="around"/>
      </w:pPr>
    </w:p>
    <w:p w14:paraId="10190019" w14:textId="77777777" w:rsidR="005416FC" w:rsidRPr="005B6EF7" w:rsidRDefault="005416FC" w:rsidP="005416FC">
      <w:r w:rsidRPr="00CE648A">
        <w:t xml:space="preserve">Die </w:t>
      </w:r>
      <w:r>
        <w:t>Au</w:t>
      </w:r>
      <w:r w:rsidRPr="005B6EF7">
        <w:t>flage könnte gemäß § 44 II Nr. 5 VwVfG NRW ohne Rücksicht auf das Vorliegen der Voraussetzungen des Abs. I nichtig sein, weil sie die Begehung einer rechtswidrigen Tat verlangt, die einen Straf- oder Bußgeldtatbestand verwirklicht.</w:t>
      </w:r>
      <w:r w:rsidRPr="005B6EF7">
        <w:rPr>
          <w:vertAlign w:val="superscript"/>
        </w:rPr>
        <w:footnoteReference w:id="396"/>
      </w:r>
      <w:r w:rsidRPr="005B6EF7">
        <w:t xml:space="preserve"> Um einen Bußgeldtatbestand handelt es sich im Falle einer Vorschrift, die i.S.v. § 1 OWiG die Grundlage dafür bietet, ein Verhalten unter bestimmten Voraussetzungen mit einer Geldbuße zu ahnden. Vorliegend könnte im Wege der Auflage von A verlangt worden sein, den Ordnungswidrigkeitentatbestand des § 28 I Nr. 10 GastG zu verwirklichen.</w:t>
      </w:r>
    </w:p>
    <w:p w14:paraId="2A257ED9" w14:textId="77777777" w:rsidR="005416FC" w:rsidRDefault="005416FC" w:rsidP="005416FC">
      <w:r w:rsidRPr="005B6EF7">
        <w:t>Danach handelt ordnungswidrig und kann gemäß § 28 III GastG mit einer Geldbuße bis zu fünftausend Euro belegt werden, wer Personen beschäftigt, deren Beschäftigung ihm nach § 21 I GastG untersagt worden ist. Gemäß § 21 I GastG kann eine solche Untersagung erfolgen, wenn Tatsachen die Annahme rechtfertigen, dass die Person die für ihre Tätigkeit erforderliche Zuverlässigkeit nicht besitzt. Der Begriff der Beschäftigung ist dabei weit zu verstehen und nicht auf Anstellungsverhältnisse im arbeitsrechtlichen Sinne beschränkt. Auch mithelfende Familienangehörige wie der V fallen darunter.</w:t>
      </w:r>
      <w:r w:rsidRPr="005B6EF7">
        <w:rPr>
          <w:vertAlign w:val="superscript"/>
        </w:rPr>
        <w:footnoteReference w:id="397"/>
      </w:r>
      <w:r w:rsidRPr="005B6EF7">
        <w:t xml:space="preserve"> Dieser könnte angesichts der Angaben im Sachverhalt auch durchaus als „unzuverlässig“ i.S.d. Vorschrift anzusehen sein. Der objektive Tatbestand des § 28 I Nr. 10 GastG knüpft jedoch nicht an die bloße Beschäftigung einer unzuverlässigen Person an, sondern setzt darüber hinausgehend voraus, dass der Gewerbetreibende diese Beschäftigung entgegen einer auf Grundlage von § 21 I GastG ergangenen behördlichen Untersagung vornimmt. Eine solche Untersagung lag jedoch nicht vor; die Auflage enthält gegenteilig gar das Geb</w:t>
      </w:r>
      <w:r w:rsidRPr="00CE648A">
        <w:t>ot der Beschäftigung.</w:t>
      </w:r>
      <w:r w:rsidRPr="00CE648A">
        <w:rPr>
          <w:vertAlign w:val="superscript"/>
        </w:rPr>
        <w:footnoteReference w:id="398"/>
      </w:r>
      <w:r w:rsidRPr="00CE648A">
        <w:t xml:space="preserve"> Mithin wird durch die </w:t>
      </w:r>
      <w:r>
        <w:t>Auflage</w:t>
      </w:r>
      <w:r w:rsidRPr="00CE648A">
        <w:t xml:space="preserve"> keine Begehung einer rechtswidrigen Tat verlangt, die einen Straf- oder Bußgeldtatbestand verwirklicht.</w:t>
      </w:r>
    </w:p>
    <w:p w14:paraId="2302E6F0" w14:textId="77777777" w:rsidR="00772351" w:rsidRDefault="00772351" w:rsidP="005B6EF7">
      <w:pPr>
        <w:pStyle w:val="berschrift7"/>
      </w:pPr>
    </w:p>
    <w:p w14:paraId="7B801469" w14:textId="77777777" w:rsidR="005416FC" w:rsidRPr="00252B37" w:rsidRDefault="005416FC" w:rsidP="005B6EF7">
      <w:pPr>
        <w:pStyle w:val="berschrift7"/>
      </w:pPr>
      <w:bookmarkStart w:id="488" w:name="_Toc22133292"/>
      <w:r w:rsidRPr="00252B37">
        <w:t>b) Nichtigkeit gemäß § 44 I VwVfG NRW</w:t>
      </w:r>
      <w:bookmarkEnd w:id="488"/>
    </w:p>
    <w:p w14:paraId="71579B38" w14:textId="77777777" w:rsidR="005416FC" w:rsidRDefault="005416FC" w:rsidP="005416FC">
      <w:pPr>
        <w:pStyle w:val="Randnummer"/>
        <w:framePr w:wrap="around"/>
      </w:pPr>
    </w:p>
    <w:p w14:paraId="7B9BE837" w14:textId="77777777" w:rsidR="005416FC" w:rsidRPr="00CE648A" w:rsidRDefault="005416FC" w:rsidP="005416FC">
      <w:r w:rsidRPr="00CE648A">
        <w:t xml:space="preserve">Die </w:t>
      </w:r>
      <w:r>
        <w:t>Auflage</w:t>
      </w:r>
      <w:r w:rsidRPr="00CE648A">
        <w:t xml:space="preserve"> könnte jedoch gemäß § 44 I VwVfG NRW nichtig sein, weil sie insofern an einem besonders schwerwiegenden Fehler leidet und dies bei verständiger Würdigung aller in Betracht kommenden Umstände offenkundig ist.</w:t>
      </w:r>
    </w:p>
    <w:p w14:paraId="272891B9" w14:textId="77777777" w:rsidR="005416FC" w:rsidRPr="00252B37" w:rsidRDefault="005416FC" w:rsidP="005B6EF7">
      <w:pPr>
        <w:pStyle w:val="berschrift8"/>
      </w:pPr>
      <w:bookmarkStart w:id="489" w:name="_Toc22133293"/>
      <w:r w:rsidRPr="00252B37">
        <w:t>aa) Vorliegen eines Rechtsfehlers</w:t>
      </w:r>
      <w:bookmarkEnd w:id="489"/>
    </w:p>
    <w:p w14:paraId="48EAB558" w14:textId="77777777" w:rsidR="005416FC" w:rsidRPr="005B6EF7" w:rsidRDefault="005416FC" w:rsidP="005416FC">
      <w:pPr>
        <w:pStyle w:val="Randnummer"/>
        <w:framePr w:wrap="around"/>
        <w:rPr>
          <w:b w:val="0"/>
        </w:rPr>
      </w:pPr>
    </w:p>
    <w:p w14:paraId="5A6B36E7" w14:textId="41556F96" w:rsidR="005416FC" w:rsidRPr="005B6EF7" w:rsidRDefault="005416FC" w:rsidP="005416FC">
      <w:r w:rsidRPr="005B6EF7">
        <w:t>Dann müsste das Gebot der Mitarbeit des V im Club überhaupt rechtsfehlerhaft sein. Gemäß § 5 I Nr. 1 GastG können Gewerbetreibenden, die einer Erlaubnis bedürfen, jederzeit Auflagen zum Schutze der Gäste gegen Gefahren für Leben, Gesundheit oder Sittlichkeit erteilt werden.</w:t>
      </w:r>
      <w:r w:rsidRPr="005B6EF7">
        <w:rPr>
          <w:rStyle w:val="Funotenzeichen"/>
        </w:rPr>
        <w:footnoteReference w:id="399"/>
      </w:r>
      <w:r w:rsidRPr="005B6EF7">
        <w:t xml:space="preserve"> Die Entscheidung darüber steht im Ermessen der Behörde. Bei dem für die Allgemeinheit zugänglichen Electro-Club „Turn Up“, in dem – auch alkoholische – Getränke zum Verzehr an Ort und Stelle verabreicht werden, handelt es sich um ein Gaststättengewerbe i.S.v. § 1 I GastG, für das es mangels Ausnahmegrund einer Erlaubnis gemäß § 2 I 1 GastG bedarf. Die Aufl</w:t>
      </w:r>
      <w:r w:rsidR="003C75EA">
        <w:t>age</w:t>
      </w:r>
      <w:r w:rsidRPr="005B6EF7">
        <w:t xml:space="preserve"> dient ausweislich des Sachverhalts – zumindest auch – dem Schutz der Gäste. Ihre Erteilung könnte jedoch ermessensfehlerhaft sein. </w:t>
      </w:r>
    </w:p>
    <w:p w14:paraId="5E262DCF" w14:textId="77777777" w:rsidR="005416FC" w:rsidRPr="00CE648A" w:rsidRDefault="005416FC" w:rsidP="005416FC">
      <w:r w:rsidRPr="005B6EF7">
        <w:t>So könnte die Auflage aufgrund sachfremder Erwägungen erteilt</w:t>
      </w:r>
      <w:r w:rsidRPr="005B6EF7">
        <w:rPr>
          <w:vertAlign w:val="superscript"/>
        </w:rPr>
        <w:footnoteReference w:id="400"/>
      </w:r>
      <w:r w:rsidRPr="005B6EF7">
        <w:t xml:space="preserve"> worden sein und somit ein Fall des Ermessensfehlgebrauchs vorliegen. Dies</w:t>
      </w:r>
      <w:r w:rsidRPr="00CE648A">
        <w:t xml:space="preserve"> ist der Fall, wenn in die Ermessensentscheidung Erwägungen einfließen, die nicht dem Sinn und Zweck der zu vollziehenden Ermessensnorm entsprechen.</w:t>
      </w:r>
      <w:r w:rsidRPr="00CE648A">
        <w:rPr>
          <w:vertAlign w:val="superscript"/>
        </w:rPr>
        <w:footnoteReference w:id="401"/>
      </w:r>
      <w:r w:rsidRPr="00CE648A">
        <w:t xml:space="preserve"> Wie bereits dargelegt sah sich der S auch durch seinen schlechten Eindruck vom A motiviert, die Mitarbeit des V zu gebieten. Das Ziel, Fehlern des A im Umgang mit seinen Gästen vorzubeugen, geht aber notwendig mit dem unmittelbaren Ziel des Schutzes der Gäste vor eben diesen Fehlern einher. Eine auf mehrere Gründe gestützte Ermessensentscheidung ist indes auch dann rechtmäßig, wenn nur </w:t>
      </w:r>
      <w:r w:rsidRPr="00CE648A">
        <w:rPr>
          <w:i/>
        </w:rPr>
        <w:t>einer</w:t>
      </w:r>
      <w:r w:rsidRPr="00CE648A">
        <w:t xml:space="preserve"> der Gründe sie trägt, solange nicht nach dem Ermessen der Behörde nur alle Gründe </w:t>
      </w:r>
      <w:r w:rsidRPr="00CE648A">
        <w:rPr>
          <w:i/>
        </w:rPr>
        <w:t>zusammen</w:t>
      </w:r>
      <w:r w:rsidRPr="00CE648A">
        <w:t xml:space="preserve"> die Entscheidung rechtfertigen sollen.</w:t>
      </w:r>
      <w:r w:rsidRPr="00CE648A">
        <w:rPr>
          <w:vertAlign w:val="superscript"/>
        </w:rPr>
        <w:footnoteReference w:id="402"/>
      </w:r>
      <w:r w:rsidRPr="00CE648A">
        <w:t xml:space="preserve"> Die mit in die Entscheidung eingeflossene Erwägung des Schutzes der Gäste ist – wie sich bereits aus § 5 I Nr. 1 GastG ausdrücklich ergibt – keineswegs sachfremd. </w:t>
      </w:r>
    </w:p>
    <w:p w14:paraId="79B83BA2" w14:textId="13FF1EE3" w:rsidR="005416FC" w:rsidRPr="00CE648A" w:rsidRDefault="005416FC" w:rsidP="005416FC">
      <w:r w:rsidRPr="00CE648A">
        <w:t>Um die Ermessensentscheidung allein tragen zu können, dürfte diese jedoch auch sonst an keinem Ermesse</w:t>
      </w:r>
      <w:r w:rsidRPr="005B6EF7">
        <w:t>nsfehler leiden. Die Erteilung der Auflage könnte jedoch insofern ermessensfehlerhaft</w:t>
      </w:r>
      <w:r w:rsidRPr="005B6EF7">
        <w:rPr>
          <w:vertAlign w:val="superscript"/>
        </w:rPr>
        <w:footnoteReference w:id="403"/>
      </w:r>
      <w:r w:rsidRPr="005B6EF7">
        <w:t xml:space="preserve"> sein, als sie wegen Ungeeignetheit zur Erreichung des der Ermessensnorm zugrundeliegenden</w:t>
      </w:r>
      <w:r w:rsidRPr="005B6EF7">
        <w:rPr>
          <w:vertAlign w:val="superscript"/>
        </w:rPr>
        <w:footnoteReference w:id="404"/>
      </w:r>
      <w:r w:rsidRPr="005B6EF7">
        <w:t xml:space="preserve"> Zwecks</w:t>
      </w:r>
      <w:r w:rsidRPr="005B6EF7">
        <w:rPr>
          <w:vertAlign w:val="superscript"/>
        </w:rPr>
        <w:footnoteReference w:id="405"/>
      </w:r>
      <w:r w:rsidRPr="005B6EF7">
        <w:t xml:space="preserve"> unverhältnismäßig</w:t>
      </w:r>
      <w:r w:rsidRPr="005B6EF7">
        <w:rPr>
          <w:vertAlign w:val="superscript"/>
        </w:rPr>
        <w:footnoteReference w:id="406"/>
      </w:r>
      <w:r w:rsidRPr="005B6EF7">
        <w:t xml:space="preserve"> ist.</w:t>
      </w:r>
      <w:r w:rsidRPr="005B6EF7">
        <w:rPr>
          <w:vertAlign w:val="superscript"/>
        </w:rPr>
        <w:footnoteReference w:id="407"/>
      </w:r>
      <w:r w:rsidRPr="005B6EF7">
        <w:t xml:space="preserve"> Dies ist nur dann der Fall, wenn die Erreichung des Ziels durch die Maßnahme nicht einmal gefördert wird.</w:t>
      </w:r>
      <w:r w:rsidRPr="005B6EF7">
        <w:rPr>
          <w:vertAlign w:val="superscript"/>
        </w:rPr>
        <w:footnoteReference w:id="408"/>
      </w:r>
      <w:r w:rsidRPr="005B6EF7">
        <w:t xml:space="preserve"> Vorliegend könnte die Maßnahme nicht nur ungeeignet sein, sondern der Erreichung des Ziels gar zuwiderlaufen. Wie sich aus dem Sachverhalt ergibt, war der V zwar jahrelang selbst Ga</w:t>
      </w:r>
      <w:r w:rsidR="003518A6">
        <w:t>s</w:t>
      </w:r>
      <w:r w:rsidRPr="005B6EF7">
        <w:t>tstättenbetreiber, seine eigene Erlaubnis wurde jedoch zuletzt wegen mangelnder Zuverlässigkeit aufgrund von Trunkergebe</w:t>
      </w:r>
      <w:r w:rsidRPr="00CE648A">
        <w:t xml:space="preserve">nheit widerrufen (vgl. § 15 II GastG). Für die Behörde stand folglich fest, dass der V nach dem Gesamteindruck seines Verhaltens nicht die gemäß § 4 I Nr. 1 GastG erforderliche Gewähr dafür bietet, seine </w:t>
      </w:r>
      <w:r w:rsidRPr="00CE648A">
        <w:rPr>
          <w:i/>
        </w:rPr>
        <w:t>eigene</w:t>
      </w:r>
      <w:r w:rsidRPr="00CE648A">
        <w:t xml:space="preserve"> Gaststätte zukünftig</w:t>
      </w:r>
      <w:r w:rsidRPr="00CE648A">
        <w:rPr>
          <w:vertAlign w:val="superscript"/>
        </w:rPr>
        <w:footnoteReference w:id="409"/>
      </w:r>
      <w:r w:rsidRPr="00CE648A">
        <w:t xml:space="preserve"> noch ordnungsgemäß zu führen.</w:t>
      </w:r>
      <w:r w:rsidRPr="00CE648A">
        <w:rPr>
          <w:vertAlign w:val="superscript"/>
        </w:rPr>
        <w:footnoteReference w:id="410"/>
      </w:r>
      <w:r w:rsidRPr="00CE648A">
        <w:t xml:space="preserve"> Angesichts der manifesten Alkoholsucht und des darauf zurückzuführenden mehrfachen rechtswidrigen Verhaltens des V besteht kein Anlass, an dieser Tatsachenlage oder der darauf gründenden Entscheidung der Behörde zu zweifeln. Ausweislich des Sachverhalts hat sich an der Tatsachenlage auch bis heute nichts verändert – der V lehnt eine Suchttherapie vielmehr kategorisch ab –, sodass das Verdikt der Unzuverlässigkeit weiterhin begründet ist.</w:t>
      </w:r>
      <w:r w:rsidRPr="00CE648A">
        <w:rPr>
          <w:vertAlign w:val="superscript"/>
        </w:rPr>
        <w:footnoteReference w:id="411"/>
      </w:r>
      <w:r w:rsidRPr="00CE648A">
        <w:t xml:space="preserve"> Eine </w:t>
      </w:r>
      <w:r>
        <w:t>Auflage</w:t>
      </w:r>
      <w:r w:rsidRPr="00CE648A">
        <w:t>, die die Mitarbeit einer im gaststättenrechtlichen Sinne unzuverlässigen Person im laufenden Betrieb gebietet, steht dem Zweck des Schutzes der Gäste gegen Gefahren für Leben, Gesundheit und Sittlichkeit diametral entgegen. Dies verdeutlicht auch die dem § 21 I GastG zugrundeliegende Wertentscheidung.</w:t>
      </w:r>
    </w:p>
    <w:p w14:paraId="2BD4A319" w14:textId="77777777" w:rsidR="005416FC" w:rsidRPr="00CE648A" w:rsidRDefault="005416FC" w:rsidP="005416FC">
      <w:r w:rsidRPr="00CE648A">
        <w:t xml:space="preserve">Die </w:t>
      </w:r>
      <w:r>
        <w:t>Auflage</w:t>
      </w:r>
      <w:r w:rsidRPr="00CE648A">
        <w:t xml:space="preserve"> ist mithin ungeeignet und die Ermessensentscheidung ihrer Erteilung somit unverhältnismäßig. Folglich liegt ein Rechtsfehler vor. </w:t>
      </w:r>
    </w:p>
    <w:p w14:paraId="1781C9A1" w14:textId="77777777" w:rsidR="005416FC" w:rsidRPr="00252B37" w:rsidRDefault="005416FC" w:rsidP="005B6EF7">
      <w:pPr>
        <w:pStyle w:val="berschrift8"/>
      </w:pPr>
      <w:bookmarkStart w:id="490" w:name="_Toc22133294"/>
      <w:r w:rsidRPr="00252B37">
        <w:t>bb) Besondere Schwere des Rechtsfehlers und Offenkundigkeit</w:t>
      </w:r>
      <w:bookmarkEnd w:id="490"/>
    </w:p>
    <w:p w14:paraId="6F3BD080" w14:textId="77777777" w:rsidR="005416FC" w:rsidRDefault="005416FC" w:rsidP="005416FC">
      <w:pPr>
        <w:pStyle w:val="Randnummer"/>
        <w:framePr w:wrap="around"/>
      </w:pPr>
    </w:p>
    <w:p w14:paraId="6920ED44" w14:textId="68BFF9BA" w:rsidR="005416FC" w:rsidRPr="00CE648A" w:rsidRDefault="005416FC" w:rsidP="005416FC">
      <w:r w:rsidRPr="00CE648A">
        <w:t xml:space="preserve">Dieser müsste überdies auch besonders schwerwiegend und als solcher </w:t>
      </w:r>
      <w:r w:rsidR="003518A6" w:rsidRPr="00CE648A">
        <w:t>offenkundig</w:t>
      </w:r>
      <w:r w:rsidRPr="00CE648A">
        <w:t xml:space="preserve"> sein. </w:t>
      </w:r>
    </w:p>
    <w:p w14:paraId="2F3B4A5B" w14:textId="08D95EBC" w:rsidR="005416FC" w:rsidRPr="00CE648A" w:rsidRDefault="005416FC" w:rsidP="005416FC">
      <w:r w:rsidRPr="00CE648A">
        <w:t xml:space="preserve">Die </w:t>
      </w:r>
      <w:r w:rsidRPr="005B6EF7">
        <w:t>fehlende Eignung</w:t>
      </w:r>
      <w:r w:rsidRPr="00CE648A">
        <w:t xml:space="preserve"> einer angeordneten Maßnahme zur Erreichung des avisierten Zwecks wird nur dann als besonders schwerwiegend erachtet, wenn sie </w:t>
      </w:r>
      <w:r w:rsidRPr="00CE648A">
        <w:rPr>
          <w:i/>
        </w:rPr>
        <w:t>absolut</w:t>
      </w:r>
      <w:r w:rsidRPr="00CE648A">
        <w:t xml:space="preserve"> ungeeignet ist.</w:t>
      </w:r>
      <w:r w:rsidRPr="00CE648A">
        <w:rPr>
          <w:vertAlign w:val="superscript"/>
        </w:rPr>
        <w:footnoteReference w:id="412"/>
      </w:r>
      <w:r w:rsidRPr="00CE648A">
        <w:t xml:space="preserve"> Vorliegend steht das in der </w:t>
      </w:r>
      <w:r>
        <w:t>Auflage</w:t>
      </w:r>
      <w:r w:rsidRPr="00CE648A">
        <w:t xml:space="preserve"> enthaltene Gebot in diametralem Widerspruch zur für das Gaststättenrecht fundamentalen Zweck- und Wertvorstellung hinsichtlich der Geeignetheit einer Person zum Betrieb eines Gewerbes.</w:t>
      </w:r>
      <w:r w:rsidRPr="00CE648A">
        <w:rPr>
          <w:vertAlign w:val="superscript"/>
        </w:rPr>
        <w:footnoteReference w:id="413"/>
      </w:r>
      <w:r w:rsidRPr="00CE648A">
        <w:t xml:space="preserve"> Sie ist </w:t>
      </w:r>
      <w:r w:rsidRPr="00CE648A">
        <w:rPr>
          <w:i/>
        </w:rPr>
        <w:t>die</w:t>
      </w:r>
      <w:r w:rsidRPr="00CE648A">
        <w:t xml:space="preserve"> zentrale subjektive Anforderung im GastG (vgl. §§ 4 I 1 Nr. 1; 15 I, II; 21 I; 28 I Nr. 10 GastG). Die ursprünglich unerkannt gebliebene oder nachträglich eintretende Unzuverlässigkeit führt als einziger Grund bereits qua gesetzlicher Anordnung zur zwingenden Aufhebung der Erlaubnis (§ 15 I, II GastG). Sie ist derart relevant, dass auch beschäftigte Personen als zuverlässig zu beurteilen sein müssen (§ 21 I GastG), um geordnete Verhältnisse im Betrieb zu gewährleisten.</w:t>
      </w:r>
      <w:r w:rsidRPr="00CE648A">
        <w:rPr>
          <w:vertAlign w:val="superscript"/>
        </w:rPr>
        <w:footnoteReference w:id="414"/>
      </w:r>
      <w:r w:rsidRPr="00CE648A">
        <w:t xml:space="preserve"> Die Relevanz der Zuverlässigkeit aller Mitarbeiter wird </w:t>
      </w:r>
      <w:r>
        <w:t xml:space="preserve">auch </w:t>
      </w:r>
      <w:r w:rsidRPr="00CE648A">
        <w:t xml:space="preserve">durch den Ordnungswidrigkeitentatbestand des § 28 I Nr. 10 GastG noch einmal unterstrichen. Die rechtlich relevanten Umstände des </w:t>
      </w:r>
      <w:r w:rsidR="003518A6" w:rsidRPr="00CE648A">
        <w:t>Einzelfalls</w:t>
      </w:r>
      <w:r w:rsidRPr="00CE648A">
        <w:t xml:space="preserve"> sprechen damit für eine besondere Schwere des Rechtsfehlers. Ein derartiger Wertungswiderspruch ist für einen verständigen Durchschnittsbeobachter überdies offenkundig. (a.A. mit entsprechender Begründung gut vertretbar)</w:t>
      </w:r>
    </w:p>
    <w:p w14:paraId="10A05A2E" w14:textId="77777777" w:rsidR="005416FC" w:rsidRPr="00CE648A" w:rsidRDefault="005416FC" w:rsidP="005416FC">
      <w:r w:rsidRPr="00CE648A">
        <w:t xml:space="preserve">Die </w:t>
      </w:r>
      <w:r>
        <w:t>Auflage</w:t>
      </w:r>
      <w:r w:rsidRPr="00CE648A">
        <w:t xml:space="preserve"> mit dem Gebot, der V müsse innerhalb der ersten sechs Monate im Club mitarbeiten, um durch seine jahrzehntela</w:t>
      </w:r>
      <w:r>
        <w:t>n</w:t>
      </w:r>
      <w:r w:rsidRPr="00CE648A">
        <w:t xml:space="preserve">ge Erfahrung im Gaststättengewerbe zum Schutz der Gäste beizutragen, ist daher auch insofern nichtig gemäß § 44 I VwVfG NRW. </w:t>
      </w:r>
    </w:p>
    <w:p w14:paraId="72B0575F" w14:textId="77777777" w:rsidR="005416FC" w:rsidRPr="00252B37" w:rsidRDefault="005416FC" w:rsidP="005B6EF7">
      <w:pPr>
        <w:pStyle w:val="berschrift6"/>
      </w:pPr>
      <w:bookmarkStart w:id="491" w:name="_Toc22133295"/>
      <w:r w:rsidRPr="00252B37">
        <w:t>5. Teilnichtigkeit oder Gesamtnichtigkeit, § 44 IV VwVfG NRW</w:t>
      </w:r>
      <w:bookmarkEnd w:id="491"/>
    </w:p>
    <w:p w14:paraId="64BAAF0A" w14:textId="77777777" w:rsidR="005416FC" w:rsidRDefault="005416FC" w:rsidP="005416FC">
      <w:pPr>
        <w:pStyle w:val="Randnummer"/>
        <w:framePr w:wrap="around"/>
      </w:pPr>
    </w:p>
    <w:p w14:paraId="7214CE58" w14:textId="77777777" w:rsidR="005416FC" w:rsidRPr="00CE648A" w:rsidRDefault="005416FC" w:rsidP="005416FC">
      <w:r w:rsidRPr="00CE648A">
        <w:t xml:space="preserve">Die beiden Nebenbestimmungen zur Gaststättenerlaubnis des A sind nach alldem gleich aus mehreren Gründen nichtig gemäß § 44 I VwVfG NRW. Fraglich ist, ob sich deren Nichtigkeit auch auf die Gaststättenerlaubnis als Ganzes auswirkt. </w:t>
      </w:r>
    </w:p>
    <w:p w14:paraId="233D0978" w14:textId="02F47332" w:rsidR="005416FC" w:rsidRPr="005B6EF7" w:rsidRDefault="005416FC" w:rsidP="005416FC">
      <w:r w:rsidRPr="00CE648A">
        <w:t xml:space="preserve">Gemäß § 44 IV VwVfG NRW ist ein Verwaltungsakt nur dann im Ganzen nichtig, wenn sein nichtiger Teil so wesentlich ist, dass die Behörde den Verwaltungsakt ohne den nichtigen Teil </w:t>
      </w:r>
      <w:r w:rsidRPr="005B6EF7">
        <w:t>nicht erlassen hätte.</w:t>
      </w:r>
      <w:r w:rsidRPr="005B6EF7">
        <w:rPr>
          <w:vertAlign w:val="superscript"/>
        </w:rPr>
        <w:footnoteReference w:id="415"/>
      </w:r>
      <w:r w:rsidRPr="005B6EF7">
        <w:t xml:space="preserve"> Entgegen des eigentlichen Rekurses auf den Behördenwillen ist diese Wesentlichkeit im Rahmen einer objektiven Betrachtung unter Berücksichtigung von Inhalt und Zweck des betroffenen </w:t>
      </w:r>
      <w:r w:rsidR="00DA1B70" w:rsidRPr="005B6EF7">
        <w:t>Verwaltungsakts</w:t>
      </w:r>
      <w:r w:rsidRPr="005B6EF7">
        <w:t xml:space="preserve"> und den ihm zugrundeliegenden Rechtsvorschriften zu bestimmen. Der Verwaltungsakt muss einer Teilbarkeit zugänglich sein, sprich der verbleibende Teil darf nicht völlig sinnverändert oder gar rechtswidrig sein. Umgekehrt ist nicht von einer Wesentlichkeit auszugehen, wenn eine Rechtspflicht zum Erlass des verbleibenden Teils besteht. </w:t>
      </w:r>
    </w:p>
    <w:p w14:paraId="77A1120A" w14:textId="77777777" w:rsidR="005416FC" w:rsidRPr="00CE648A" w:rsidRDefault="005416FC" w:rsidP="005416FC">
      <w:r>
        <w:t>Auflage</w:t>
      </w:r>
      <w:r w:rsidRPr="00CE648A">
        <w:t xml:space="preserve"> und Bedingung stehen zwar in einem sachlichen Zusammenhang zur Gaststättenerlaubnis, ihr Wegfall wirkt sich jedoch wegen der Rechtswidrigkeit beider Nebenbestimmungen objektiv betrachtet nicht auf deren Zweck aus. Ausweislich des Sachverhalts bestand mangels Einwänden gegen den Antrag eine Rechtspflicht zum Erlass der Gaststättenerlaubnis, sodass der aufgrund von Teilnichtigkeit verbleibende Verwaltungsakt gerade der objektiven Rechtslage entspricht. Daran ändert auch der Verfahrensfehler nichts, der sich</w:t>
      </w:r>
      <w:r>
        <w:t xml:space="preserve"> letztlich auch</w:t>
      </w:r>
      <w:r w:rsidRPr="00CE648A">
        <w:t xml:space="preserve"> nicht auf die Gaststättenerlaubnis im Ganzen, sondern wie dargelegt nur hinsichtlich der beiden Nebenbestimmungen ausgewirkt hat.</w:t>
      </w:r>
      <w:r w:rsidRPr="00CE648A">
        <w:rPr>
          <w:vertAlign w:val="superscript"/>
        </w:rPr>
        <w:footnoteReference w:id="416"/>
      </w:r>
      <w:r w:rsidRPr="00CE648A">
        <w:t xml:space="preserve"> </w:t>
      </w:r>
    </w:p>
    <w:p w14:paraId="793DF47A" w14:textId="77777777" w:rsidR="005416FC" w:rsidRPr="00CE648A" w:rsidRDefault="005416FC" w:rsidP="005416FC">
      <w:r w:rsidRPr="00CE648A">
        <w:t>Die Teilnichtigkeit der Nebenbestimmungen führt daher gemäß § 44 IV VwVfG NRW nicht zur Gesamtnichtigkeit der Gaststättenerlaubnis.</w:t>
      </w:r>
    </w:p>
    <w:p w14:paraId="58D8ED6C" w14:textId="77777777" w:rsidR="005416FC" w:rsidRPr="00252B37" w:rsidRDefault="005416FC" w:rsidP="005B6EF7">
      <w:pPr>
        <w:pStyle w:val="berschrift5"/>
      </w:pPr>
      <w:bookmarkStart w:id="492" w:name="_Toc22133296"/>
      <w:r w:rsidRPr="00252B37">
        <w:t>II. Betroffenheit in subjektiven Rechten</w:t>
      </w:r>
      <w:bookmarkEnd w:id="492"/>
    </w:p>
    <w:p w14:paraId="68DA0C3D" w14:textId="77777777" w:rsidR="005416FC" w:rsidRDefault="005416FC" w:rsidP="005416FC">
      <w:pPr>
        <w:pStyle w:val="Randnummer"/>
        <w:framePr w:wrap="around"/>
      </w:pPr>
    </w:p>
    <w:p w14:paraId="151920E1" w14:textId="77777777" w:rsidR="005416FC" w:rsidRDefault="005416FC" w:rsidP="005416FC">
      <w:r w:rsidRPr="00CE648A">
        <w:t xml:space="preserve">So wie im Rahmen der Zulässigkeit um die Notwendigkeit des Vorliegens einer Klagebefugnis gemäß § 42 II VwGO analog gestritten wird, wird im Rahmen der Begründetheit die Frage der Notwendigkeit einer tatsächlichen </w:t>
      </w:r>
      <w:r w:rsidRPr="00CE648A">
        <w:rPr>
          <w:i/>
        </w:rPr>
        <w:t>Betroffenheit</w:t>
      </w:r>
      <w:bookmarkStart w:id="493" w:name="_Hlk8471393"/>
      <w:r w:rsidRPr="00CE648A">
        <w:rPr>
          <w:vertAlign w:val="superscript"/>
        </w:rPr>
        <w:footnoteReference w:id="417"/>
      </w:r>
      <w:r w:rsidRPr="00CE648A">
        <w:t xml:space="preserve"> </w:t>
      </w:r>
      <w:bookmarkEnd w:id="493"/>
      <w:r w:rsidRPr="00CE648A">
        <w:t>des Klägers in einem subjektiven Recht gemäß § 113 I 1 VwGO analog unterschiedlich beurteilt.</w:t>
      </w:r>
      <w:r w:rsidRPr="00CE648A">
        <w:rPr>
          <w:vertAlign w:val="superscript"/>
        </w:rPr>
        <w:footnoteReference w:id="418"/>
      </w:r>
      <w:r w:rsidRPr="00CE648A">
        <w:t xml:space="preserve"> Wie bereits dargelegt machen die beiden Nebenbestimmungen es dem A unmöglich, den von ihm geplanten Electro-Club in dem von ihm gekauften Gebäude zu betreiben. Somit wirkt sich der Rechtsschein ihrer Wirksamkeit für den A zumindest tatsächlich aus und führt so zu einer Betroffenheit in seinen Grundrechten aus Art. 12 I und Art. 14 I GG.</w:t>
      </w:r>
    </w:p>
    <w:p w14:paraId="15547B90" w14:textId="77777777" w:rsidR="005B6EF7" w:rsidRDefault="005B6EF7" w:rsidP="005416FC"/>
    <w:p w14:paraId="000F06A6" w14:textId="77777777" w:rsidR="005416FC" w:rsidRPr="00252B37" w:rsidRDefault="005416FC" w:rsidP="005B6EF7">
      <w:pPr>
        <w:pStyle w:val="berschrift4"/>
      </w:pPr>
      <w:bookmarkStart w:id="495" w:name="_Toc22133297"/>
      <w:r w:rsidRPr="00252B37">
        <w:t>C. Endergebnis</w:t>
      </w:r>
      <w:bookmarkEnd w:id="495"/>
    </w:p>
    <w:p w14:paraId="101478CC" w14:textId="77777777" w:rsidR="005416FC" w:rsidRDefault="005416FC" w:rsidP="005416FC">
      <w:pPr>
        <w:pStyle w:val="Randnummer"/>
        <w:framePr w:wrap="around"/>
      </w:pPr>
    </w:p>
    <w:p w14:paraId="2839D29C" w14:textId="5B7EB68A" w:rsidR="00CE648A" w:rsidRDefault="005416FC" w:rsidP="005416FC">
      <w:r w:rsidRPr="00CE648A">
        <w:t>Eine Nichtigkeitsfeststellungsklage des A gegen die Nebenbestimmungen wäre mithin zulässig und begründet.</w:t>
      </w:r>
      <w:r w:rsidR="00CE648A" w:rsidRPr="00CE648A">
        <w:t xml:space="preserve"> </w:t>
      </w:r>
      <w:bookmarkEnd w:id="458"/>
    </w:p>
    <w:p w14:paraId="361ED54D" w14:textId="77777777" w:rsidR="007E71EB" w:rsidRPr="00CE648A" w:rsidRDefault="007E71EB" w:rsidP="00CE648A"/>
    <w:p w14:paraId="0728750B" w14:textId="77777777" w:rsidR="007E71EB" w:rsidRDefault="007E71EB" w:rsidP="006128B5">
      <w:pPr>
        <w:jc w:val="left"/>
        <w:sectPr w:rsidR="007E71EB" w:rsidSect="000C4535">
          <w:footnotePr>
            <w:numRestart w:val="eachSect"/>
          </w:footnotePr>
          <w:pgSz w:w="9639" w:h="13608"/>
          <w:pgMar w:top="1418" w:right="1134" w:bottom="1134" w:left="1134" w:header="709" w:footer="709" w:gutter="0"/>
          <w:cols w:space="708"/>
          <w:docGrid w:linePitch="360"/>
        </w:sectPr>
      </w:pPr>
    </w:p>
    <w:p w14:paraId="16C4DA17" w14:textId="023630BA" w:rsidR="00A0667A" w:rsidRDefault="008779DD" w:rsidP="00A0667A">
      <w:pPr>
        <w:pStyle w:val="berschrift1"/>
      </w:pPr>
      <w:bookmarkStart w:id="496" w:name="_Toc10464241"/>
      <w:bookmarkStart w:id="497" w:name="_Toc22132787"/>
      <w:r>
        <w:t xml:space="preserve">§ </w:t>
      </w:r>
      <w:r w:rsidR="00601E96">
        <w:t>7</w:t>
      </w:r>
      <w:r>
        <w:t xml:space="preserve"> Übungsfall zur </w:t>
      </w:r>
      <w:r w:rsidR="00A0667A">
        <w:t>verwaltungsgerichtliche</w:t>
      </w:r>
      <w:r>
        <w:t>n</w:t>
      </w:r>
      <w:r w:rsidR="00A0667A">
        <w:t xml:space="preserve"> Normenkontrolle</w:t>
      </w:r>
      <w:bookmarkEnd w:id="496"/>
      <w:bookmarkEnd w:id="497"/>
    </w:p>
    <w:p w14:paraId="0E3EB8FD" w14:textId="2AEA6CBC" w:rsidR="00D14356" w:rsidRDefault="00D14356" w:rsidP="00D14356">
      <w:pPr>
        <w:pStyle w:val="berschrift2"/>
      </w:pPr>
      <w:bookmarkStart w:id="498" w:name="_Toc22132788"/>
      <w:r>
        <w:t>Die Struktur der verwaltungsgerichtlichen Normenkontrolle (Nikolas Eisentraut)</w:t>
      </w:r>
      <w:bookmarkEnd w:id="498"/>
    </w:p>
    <w:p w14:paraId="667829DA" w14:textId="17BE9D27" w:rsidR="00D14356" w:rsidRDefault="00D14356" w:rsidP="00D14356">
      <w:pPr>
        <w:pStyle w:val="Autorin"/>
      </w:pPr>
      <w:r>
        <w:t>Nikolas Eisentraut</w:t>
      </w:r>
    </w:p>
    <w:p w14:paraId="336B4672" w14:textId="77777777" w:rsidR="00D14356" w:rsidRDefault="00D14356" w:rsidP="00D14356">
      <w:r>
        <w:t>Der gutachterlichen Prüfung der verwaltungsgerichtlichen Normenkontrolle</w:t>
      </w:r>
      <w:r>
        <w:fldChar w:fldCharType="begin"/>
      </w:r>
      <w:r>
        <w:instrText xml:space="preserve"> XE "</w:instrText>
      </w:r>
      <w:r w:rsidRPr="00014E9A">
        <w:instrText>Normenkontrolle</w:instrText>
      </w:r>
      <w:r>
        <w:instrText xml:space="preserve">" </w:instrText>
      </w:r>
      <w:r>
        <w:fldChar w:fldCharType="end"/>
      </w:r>
      <w:r>
        <w:t xml:space="preserve"> nach § 47 VwGO liegt die folgende Struktur zugrunde:</w:t>
      </w:r>
    </w:p>
    <w:p w14:paraId="357A6559" w14:textId="77777777" w:rsidR="00D14356" w:rsidRDefault="00D14356" w:rsidP="00D14356">
      <w:r>
        <w:t>A. Zulässigkeit</w:t>
      </w:r>
      <w:r>
        <w:fldChar w:fldCharType="begin"/>
      </w:r>
      <w:r>
        <w:instrText xml:space="preserve"> XE "</w:instrText>
      </w:r>
      <w:r w:rsidRPr="002D7029">
        <w:instrText>Normenkontrolle:Zulässigkeitsprüfung</w:instrText>
      </w:r>
      <w:r>
        <w:instrText xml:space="preserve">" </w:instrText>
      </w:r>
      <w:r>
        <w:fldChar w:fldCharType="end"/>
      </w:r>
    </w:p>
    <w:p w14:paraId="025512C3" w14:textId="2C85CA06" w:rsidR="00D14356" w:rsidRPr="00D16DAC" w:rsidRDefault="00D14356" w:rsidP="00D14356">
      <w:pPr>
        <w:ind w:firstLine="708"/>
      </w:pPr>
      <w:r w:rsidRPr="00D16DAC">
        <w:t>I. Eröffnung des Verwaltungsrechtswegs</w:t>
      </w:r>
      <w:r>
        <w:t xml:space="preserve"> (s. § 1 Rn. </w:t>
      </w:r>
      <w:r w:rsidR="0010010B">
        <w:t>8</w:t>
      </w:r>
      <w:r>
        <w:t> ff.)</w:t>
      </w:r>
      <w:r w:rsidR="003F18F9">
        <w:rPr>
          <w:rStyle w:val="Funotenzeichen"/>
        </w:rPr>
        <w:footnoteReference w:id="419"/>
      </w:r>
    </w:p>
    <w:p w14:paraId="14BD78DE" w14:textId="36CD80A5" w:rsidR="00D14356" w:rsidRPr="00D16DAC" w:rsidRDefault="00D14356" w:rsidP="00D14356">
      <w:pPr>
        <w:ind w:left="708"/>
      </w:pPr>
      <w:r w:rsidRPr="00D16DAC">
        <w:t xml:space="preserve">II. Statthafte </w:t>
      </w:r>
      <w:r>
        <w:t>Antragsart</w:t>
      </w:r>
      <w:r w:rsidRPr="00D16DAC">
        <w:t xml:space="preserve"> (</w:t>
      </w:r>
      <w:r>
        <w:t>s. § 1 Rn. </w:t>
      </w:r>
      <w:r w:rsidR="0010010B">
        <w:t>6</w:t>
      </w:r>
      <w:r>
        <w:t> ff.)</w:t>
      </w:r>
      <w:r>
        <w:rPr>
          <w:rStyle w:val="Funotenzeichen"/>
        </w:rPr>
        <w:footnoteReference w:id="420"/>
      </w:r>
    </w:p>
    <w:p w14:paraId="4730ABC5" w14:textId="4D8FE663" w:rsidR="00D14356" w:rsidRDefault="00D14356" w:rsidP="00D14356">
      <w:pPr>
        <w:ind w:firstLine="708"/>
      </w:pPr>
      <w:r>
        <w:t>III. Antragsberechtigung</w:t>
      </w:r>
      <w:r>
        <w:rPr>
          <w:rStyle w:val="Funotenzeichen"/>
        </w:rPr>
        <w:footnoteReference w:id="421"/>
      </w:r>
    </w:p>
    <w:p w14:paraId="313A739E" w14:textId="3B371FE6" w:rsidR="00D14356" w:rsidRDefault="00D14356" w:rsidP="00D14356">
      <w:pPr>
        <w:ind w:firstLine="708"/>
      </w:pPr>
      <w:r>
        <w:t>IV. Antragsbefugnis</w:t>
      </w:r>
      <w:r>
        <w:rPr>
          <w:rStyle w:val="Funotenzeichen"/>
        </w:rPr>
        <w:footnoteReference w:id="422"/>
      </w:r>
    </w:p>
    <w:p w14:paraId="2A724014" w14:textId="33733A24" w:rsidR="00D14356" w:rsidRDefault="00D14356" w:rsidP="00D14356">
      <w:pPr>
        <w:ind w:firstLine="708"/>
      </w:pPr>
      <w:r>
        <w:t>V. Antragsfrist</w:t>
      </w:r>
      <w:r>
        <w:rPr>
          <w:rStyle w:val="Funotenzeichen"/>
        </w:rPr>
        <w:footnoteReference w:id="423"/>
      </w:r>
    </w:p>
    <w:p w14:paraId="7C110445" w14:textId="0D3E8A86" w:rsidR="00D14356" w:rsidRDefault="00D14356" w:rsidP="00D14356">
      <w:pPr>
        <w:ind w:firstLine="708"/>
      </w:pPr>
      <w:r>
        <w:t>VI. Beteiligte</w:t>
      </w:r>
      <w:r>
        <w:rPr>
          <w:rStyle w:val="Funotenzeichen"/>
        </w:rPr>
        <w:footnoteReference w:id="424"/>
      </w:r>
    </w:p>
    <w:p w14:paraId="33DDD66F" w14:textId="2253F341" w:rsidR="00D14356" w:rsidRDefault="00D14356" w:rsidP="00D14356">
      <w:pPr>
        <w:ind w:firstLine="708"/>
      </w:pPr>
      <w:r>
        <w:t>VII. Zuständiges Gericht</w:t>
      </w:r>
      <w:r>
        <w:rPr>
          <w:rStyle w:val="Funotenzeichen"/>
        </w:rPr>
        <w:footnoteReference w:id="425"/>
      </w:r>
    </w:p>
    <w:p w14:paraId="60783478" w14:textId="679C7344" w:rsidR="00D14356" w:rsidRDefault="00D14356" w:rsidP="00D14356">
      <w:pPr>
        <w:ind w:firstLine="708"/>
      </w:pPr>
      <w:r>
        <w:t>VIII. Rechtsschutzbedürfnis</w:t>
      </w:r>
      <w:r>
        <w:rPr>
          <w:rStyle w:val="Funotenzeichen"/>
        </w:rPr>
        <w:footnoteReference w:id="426"/>
      </w:r>
    </w:p>
    <w:p w14:paraId="06EE5772" w14:textId="2DD0604E" w:rsidR="00D14356" w:rsidRPr="003F18F9" w:rsidRDefault="00D14356" w:rsidP="003F18F9">
      <w:r>
        <w:t>B. Begründetheit</w:t>
      </w:r>
      <w:r w:rsidR="003F18F9">
        <w:t>: Ungültigkeit der angegriffenen Rechtsvorschrift</w:t>
      </w:r>
      <w:r w:rsidR="003F18F9">
        <w:rPr>
          <w:rStyle w:val="Funotenzeichen"/>
        </w:rPr>
        <w:footnoteReference w:id="427"/>
      </w:r>
      <w:r>
        <w:t xml:space="preserve"> </w:t>
      </w:r>
      <w:bookmarkStart w:id="499" w:name="_Toc10464302"/>
      <w:bookmarkStart w:id="500" w:name="_Toc13824360"/>
      <w:bookmarkStart w:id="501" w:name="Normenkontrolle"/>
    </w:p>
    <w:p w14:paraId="2309EACC" w14:textId="5DBF1751" w:rsidR="00F75EC6" w:rsidRDefault="008779DD" w:rsidP="00F75EC6">
      <w:pPr>
        <w:pStyle w:val="berschrift2"/>
      </w:pPr>
      <w:bookmarkStart w:id="502" w:name="_Toc22132789"/>
      <w:r>
        <w:t>Fall</w:t>
      </w:r>
      <w:r w:rsidR="00F1012B">
        <w:t xml:space="preserve"> 13</w:t>
      </w:r>
      <w:r w:rsidR="00F75EC6">
        <w:t xml:space="preserve">: </w:t>
      </w:r>
      <w:r w:rsidR="009E471F">
        <w:t>Verwaltungsgerichtliche Normenkontrolle und Kommunalverfassungsstreit</w:t>
      </w:r>
      <w:r w:rsidR="00F75EC6">
        <w:t xml:space="preserve"> (Thomas Kienle)</w:t>
      </w:r>
      <w:bookmarkEnd w:id="499"/>
      <w:bookmarkEnd w:id="500"/>
      <w:bookmarkEnd w:id="502"/>
    </w:p>
    <w:p w14:paraId="2F869465" w14:textId="58F7C579" w:rsidR="0017745A" w:rsidRPr="0017745A" w:rsidRDefault="0017745A" w:rsidP="0017745A">
      <w:pPr>
        <w:pStyle w:val="Autorin"/>
      </w:pPr>
      <w:r>
        <w:t>Thomas Kienle</w:t>
      </w:r>
    </w:p>
    <w:p w14:paraId="39564264" w14:textId="77777777" w:rsidR="009E471F" w:rsidRPr="009E471F" w:rsidRDefault="009E471F" w:rsidP="005A16FB">
      <w:pPr>
        <w:pStyle w:val="Randnummer"/>
        <w:framePr w:wrap="around"/>
        <w:numPr>
          <w:ilvl w:val="0"/>
          <w:numId w:val="11"/>
        </w:numPr>
      </w:pPr>
    </w:p>
    <w:p w14:paraId="1791568E" w14:textId="58CD2232" w:rsidR="009E471F" w:rsidRPr="009E471F" w:rsidRDefault="009E471F" w:rsidP="009E471F">
      <w:pPr>
        <w:rPr>
          <w:u w:val="single"/>
        </w:rPr>
      </w:pPr>
      <w:r w:rsidRPr="00F75EC6">
        <w:t xml:space="preserve">Der Fall ist dem Urt. des </w:t>
      </w:r>
      <w:hyperlink r:id="rId56" w:history="1">
        <w:r w:rsidRPr="00F75EC6">
          <w:rPr>
            <w:rStyle w:val="Hyperlink"/>
          </w:rPr>
          <w:t>BVerwG v. 27.6.2018, Az.: 10 CN 1.17</w:t>
        </w:r>
      </w:hyperlink>
      <w:r w:rsidRPr="00F75EC6">
        <w:rPr>
          <w:vertAlign w:val="superscript"/>
        </w:rPr>
        <w:footnoteReference w:id="428"/>
      </w:r>
      <w:r w:rsidRPr="00F75EC6">
        <w:t xml:space="preserve"> nachgebildet.</w:t>
      </w:r>
      <w:r w:rsidRPr="00F75EC6">
        <w:rPr>
          <w:vertAlign w:val="superscript"/>
        </w:rPr>
        <w:footnoteReference w:id="429"/>
      </w:r>
    </w:p>
    <w:p w14:paraId="764EE4F7" w14:textId="77777777" w:rsidR="00F75EC6" w:rsidRPr="00F75EC6" w:rsidRDefault="00F75EC6" w:rsidP="00F75EC6">
      <w:pPr>
        <w:pStyle w:val="Randnummer"/>
        <w:framePr w:wrap="around"/>
      </w:pPr>
    </w:p>
    <w:p w14:paraId="610A31C4" w14:textId="447F277C" w:rsidR="00F75EC6" w:rsidRDefault="00F75EC6" w:rsidP="00F75EC6">
      <w:r w:rsidRPr="00F75EC6">
        <w:t>Schwerpunkte/Lernziele: verwaltungsgerichtliche Normenkontrolle, Kommunalverfassungsstreit, Binnenrecht, allgemeiner Gleichheitssatz, Wahlrechtsgleichheit, Diskriminierungsverbot (Art. 3 III 1 GG), Parteienprivileg, verfassungsfeindliche Parteien, wehrhafte D</w:t>
      </w:r>
      <w:r w:rsidR="00772351">
        <w:t>emokratie, Fraktionszuwendungen</w:t>
      </w:r>
    </w:p>
    <w:p w14:paraId="26C00FAE" w14:textId="77777777" w:rsidR="00772351" w:rsidRPr="00F75EC6" w:rsidRDefault="00772351" w:rsidP="00F75EC6"/>
    <w:p w14:paraId="080237E4" w14:textId="77777777" w:rsidR="00F75EC6" w:rsidRPr="00252B37" w:rsidRDefault="00F75EC6" w:rsidP="0001383E">
      <w:pPr>
        <w:pStyle w:val="berschrift3"/>
      </w:pPr>
      <w:r w:rsidRPr="00252B37">
        <w:t>Sachverhalt</w:t>
      </w:r>
    </w:p>
    <w:p w14:paraId="012C3BB8" w14:textId="77777777" w:rsidR="00F75EC6" w:rsidRPr="00F75EC6" w:rsidRDefault="00F75EC6" w:rsidP="00F75EC6">
      <w:pPr>
        <w:pStyle w:val="Randnummer"/>
        <w:framePr w:wrap="around"/>
      </w:pPr>
    </w:p>
    <w:p w14:paraId="5826D7CE" w14:textId="77777777" w:rsidR="00F75EC6" w:rsidRPr="00F75EC6" w:rsidRDefault="00F75EC6" w:rsidP="00F75EC6">
      <w:r w:rsidRPr="00F75EC6">
        <w:t>In der Stadtverordnetenversammlung der Stadt S im Bundesland H geht es „heiß“ her. Anlass ist die auch auf Bundesebene geführte Debatte, ob und inwieweit es zulässig ist, „verfassungsfeindliche“ Parteien von staatlicher Finanzierung auszuschließen.</w:t>
      </w:r>
    </w:p>
    <w:p w14:paraId="6531D998" w14:textId="77777777" w:rsidR="00F75EC6" w:rsidRPr="00F75EC6" w:rsidRDefault="00F75EC6" w:rsidP="00F75EC6">
      <w:r w:rsidRPr="00F75EC6">
        <w:t>Bislang regelte § 5 der Entschädigungssatzung der Stadt S Zuwendungen an die Fraktionen ihrer Stadtverordnetenversammlung wie folgt:</w:t>
      </w:r>
    </w:p>
    <w:p w14:paraId="44757B4E" w14:textId="77777777" w:rsidR="00F75EC6" w:rsidRPr="00F75EC6" w:rsidRDefault="00F75EC6" w:rsidP="00F75EC6">
      <w:r w:rsidRPr="00F75EC6">
        <w:t xml:space="preserve">„(3) </w:t>
      </w:r>
      <w:r w:rsidRPr="00F75EC6">
        <w:rPr>
          <w:vertAlign w:val="superscript"/>
        </w:rPr>
        <w:t>1</w:t>
      </w:r>
      <w:r w:rsidRPr="00F75EC6">
        <w:t xml:space="preserve">Für den bei ihrer Arbeit entstehenden Aufwand erhalten die Fraktionen eine jährliche Zahlung, die sich aus einem Sockelbetrag von 150 EUR sowie einem weiteren Betrag von 40 EUR/Mitglied zusammensetzt. </w:t>
      </w:r>
      <w:r w:rsidRPr="00F75EC6">
        <w:rPr>
          <w:vertAlign w:val="superscript"/>
        </w:rPr>
        <w:t>2</w:t>
      </w:r>
      <w:r w:rsidRPr="00F75EC6">
        <w:t xml:space="preserve">Über die Verwendung dieser Gelder ist jährlich Rechnung zu legen, die zulässigen Ausgaben sind entsprechend den 'Richtlinien für die Bestimmungsgemäße Verwendung von Fraktionszuwendungen' beschränkt. </w:t>
      </w:r>
      <w:r w:rsidRPr="00F75EC6">
        <w:rPr>
          <w:vertAlign w:val="superscript"/>
        </w:rPr>
        <w:t>3</w:t>
      </w:r>
      <w:r w:rsidRPr="00F75EC6">
        <w:t>Gelder, deren ordnungsgemäße Verwendung nicht nachgewiesen wird, sind zurückzuzahlen.“</w:t>
      </w:r>
    </w:p>
    <w:p w14:paraId="6A082611" w14:textId="33FC4CED" w:rsidR="00F75EC6" w:rsidRPr="00F75EC6" w:rsidRDefault="00F75EC6" w:rsidP="00F75EC6">
      <w:r w:rsidRPr="00F75EC6">
        <w:t>In ihrer Sitzung am 2</w:t>
      </w:r>
      <w:r w:rsidR="0010010B">
        <w:t>4</w:t>
      </w:r>
      <w:r w:rsidRPr="00F75EC6">
        <w:t>.1.2019 beschloss die Stadtverordnetenversammlung der Stadt S nach lebhafter Debatte nunmehr eine Änderungssatzung, die § 5 III der Entschädigungssatzung mit Wirkung vom 1.2.2019 um folgenden Satz 4 ergänzte:</w:t>
      </w:r>
    </w:p>
    <w:p w14:paraId="55A945FF" w14:textId="77777777" w:rsidR="00F75EC6" w:rsidRPr="00F75EC6" w:rsidRDefault="00F75EC6" w:rsidP="00F75EC6">
      <w:r w:rsidRPr="00F75EC6">
        <w:t>„</w:t>
      </w:r>
      <w:r w:rsidRPr="00F75EC6">
        <w:rPr>
          <w:vertAlign w:val="superscript"/>
        </w:rPr>
        <w:t>4</w:t>
      </w:r>
      <w:r w:rsidRPr="00F75EC6">
        <w:t>Ausgenommen davon sind Fraktionen aus Vertretern erkennbar verfassungsfeindlicher Parteien/Vereinigungen.“</w:t>
      </w:r>
    </w:p>
    <w:p w14:paraId="59EF3016" w14:textId="77777777" w:rsidR="00F75EC6" w:rsidRPr="00F75EC6" w:rsidRDefault="00F75EC6" w:rsidP="00F75EC6">
      <w:r w:rsidRPr="00F75EC6">
        <w:t>Zur Begründung wurde auf die Entscheidung des Bundesverfassungsgerichts vom 17.1.2017 im Verbotsverfahren gegen die N-Partei Bezug genommen. Danach sei die N-Partei eine verfassungsfeindliche Partei. Diese ebenso zu behandeln wie Parteien, die auf dem Boden der freiheitlich demokratischen Grundordnung stünden, sei willkürlich. Das rechtfertige es, die N-Fraktion sowie Fraktionen anderer verfassungsfeindlicher Parteien oder (Wähler-)Vereinigungen von kommunalen Zuwendungen auszuschließen.</w:t>
      </w:r>
    </w:p>
    <w:p w14:paraId="48149DC6" w14:textId="5D118A8D" w:rsidR="00F75EC6" w:rsidRPr="00F75EC6" w:rsidRDefault="00F75EC6" w:rsidP="00F75EC6">
      <w:r w:rsidRPr="00F75EC6">
        <w:t>Die Satzungsänderung wurde am 24.1.2019 formell ordnungsgemäß beschlossen und noch am gleichen Tag ordnungsgemäß bekannt gemacht. Die N-Fraktion im Rat der Stadt S sowie deren Mitglied A, der zugleich Mitglied der N-Partei ist, sind „erbost“ und wollen sich das „nicht bieten“ lassen. Sie stellen</w:t>
      </w:r>
      <w:r w:rsidR="0010010B">
        <w:t>, vertreten durch Rechtsanwalt R,</w:t>
      </w:r>
      <w:r w:rsidRPr="00F75EC6">
        <w:t xml:space="preserve"> am 25.2.2019 jeweils einen Normenkontrollantrag beim OVG des Landes H.</w:t>
      </w:r>
    </w:p>
    <w:p w14:paraId="59F59057" w14:textId="3FF40F6D" w:rsidR="00F75EC6" w:rsidRPr="00F75EC6" w:rsidRDefault="00F75EC6" w:rsidP="00F75EC6">
      <w:r w:rsidRPr="00F75EC6">
        <w:t xml:space="preserve">Sie machen geltend, § 5 III 4 der Entschädigungssatzung sei materiell rechtswidrig. Alleiniger Zweck der Satzungsänderung sei es gewesen, die N-Fraktion zukünftig von der Gewährung von Fraktionszuschüssen auszuschließen. Infolge der beschlossenen Änderung habe die Stadt S die Zahlungen an die N-Fraktion auch tatsächlich eingestellt. Dadurch werde der allgemeine Gleichheitssatz verletzt. </w:t>
      </w:r>
      <w:r w:rsidR="0010010B" w:rsidRPr="0010010B">
        <w:t xml:space="preserve">Wegen der "politischen Anschauung" dürfe man im Übrigen nicht diskriminiert werden. </w:t>
      </w:r>
      <w:r w:rsidRPr="00F75EC6">
        <w:t>Außerdem tangiere dieses Verhalten den Grundsatz der Wahlrechtsgleichheit und damit die Gleichheit der Gemeindevertreter (Stadtverordneten). Mittelbar liege darin zugleich ein Eingriff in die Chancengleichheit der politischen Parteien. Daher würde durch die Satzungsänderung auch das Mitglied A in seinen Rechten verletzt, weil durch eine Ungleichbehandlung der Fraktionen auch die ihr angehörenden Mitglieder in ihren Mitwirkungsmöglichkeiten beschnitten würden. Schließlich dürfe man Parteien und Fraktionen nicht einfach gleich setzen.</w:t>
      </w:r>
    </w:p>
    <w:p w14:paraId="3CAF4A86" w14:textId="11C04A48" w:rsidR="00F75EC6" w:rsidRPr="00F75EC6" w:rsidRDefault="00F75EC6" w:rsidP="00F75EC6">
      <w:r w:rsidRPr="00F75EC6">
        <w:t>Die Stadt S, vertreten durch Rechtsanwalt Z, erwidert, der Antrag des Mitglieds A sei bereits unzulässig. Ihm fehle die Antragsbefugnis. Ein Anspruch auf Zuwendungen an die Fraktion könne nur von dieser selbst, nicht aber von einzelnen Fraktionsangehörigen geltend gemacht werden. Darüber hinaus sei der Normenkontrollantrag unbegründet. Die Änderung der Entschädigungssatzung sei materiell-rechtlich nicht zu beanstanden. Nach § 36a IV 1 HGO hätten die Fraktionen lediglich einen Anspruch auf eine sachgerechte und ermessenfehlerfreie Beteiligung an der zur Unterstützung der Fraktionsarbeit bereitgestellten Mittel. Nach dieser Vorschrift stehe es im Ermessen der Gemeinde, ob sie Fraktionszuschüsse gewähre. Entscheide sie sich dafür, so habe sie diese nach sachgemäßen Kriterien zu verteilen. Die Stadt S differenziere bei der Zuwendung der Fraktionszuschüsse zwischen erkennbar verfassungsfeindlichen Parteien/Vereinigungen und nicht erkennbar verfassungsfeindlichen Parteien/Vereinigungen. Die dadurch bedingte Ungleichbehandlung beruhe auf sachlichen Kriterien und sei gerechtfertigt. Denn es stehe im Widerspruch zur Entscheidung des Bundesverfassungsgerichts, wenn eine Partei mangels Gefährlichkeit nicht verboten werden könne, dann jedoch aus öffentlichen Geldern so lange alimentiert werden müsse, bis sie so durchsetzungsfähig erscheine, dass sie verboten werden könne. Inzwischen habe der Bundesgesetzgeber auf die Entscheidung des Bundesverfassungsgerichts reagiert und mit Art. 21 III GG n.F. eine dementsprechende Rechtfertigungsgrundlage in die Verfassung geschrieben. Darauf könne sich die Gemeinde als örtlicher Satzungsgeber berufen. Was für Parteien gelte, müsse schließlich auch für Fraktionen gelten.</w:t>
      </w:r>
    </w:p>
    <w:p w14:paraId="1D2481B5" w14:textId="2CDF7660" w:rsidR="00F75EC6" w:rsidRPr="0010010B" w:rsidRDefault="00F75EC6" w:rsidP="00F75EC6">
      <w:pPr>
        <w:rPr>
          <w:b/>
        </w:rPr>
      </w:pPr>
      <w:r w:rsidRPr="00F75EC6">
        <w:rPr>
          <w:b/>
        </w:rPr>
        <w:t>Vermerk für die Bearbeiter</w:t>
      </w:r>
      <w:r w:rsidR="00252B37">
        <w:rPr>
          <w:b/>
        </w:rPr>
        <w:t>*innen</w:t>
      </w:r>
      <w:r w:rsidRPr="00F75EC6">
        <w:rPr>
          <w:b/>
        </w:rPr>
        <w:t>:</w:t>
      </w:r>
      <w:r w:rsidR="0010010B">
        <w:rPr>
          <w:b/>
        </w:rPr>
        <w:t xml:space="preserve"> </w:t>
      </w:r>
      <w:r w:rsidRPr="0010010B">
        <w:rPr>
          <w:b/>
          <w:bCs/>
        </w:rPr>
        <w:t>In einem Gutachten, das auf alle aufgeworfenen Rechtsfragen eingeht, ist zu erörtern, ob die Anträge der N-Fraktion und des A Aussicht auf Erfolg haben.</w:t>
      </w:r>
    </w:p>
    <w:p w14:paraId="1C90CB48" w14:textId="1735E7B7" w:rsidR="00F75EC6" w:rsidRDefault="00F75EC6" w:rsidP="00F75EC6">
      <w:r w:rsidRPr="00F75EC6">
        <w:t>Auf die nachstehend auszugsweise abgedruckten Vorschriften wird hingewiesen. Auf weitere landesrechtliche Vorschriften der HV, HGO, AGVwGO und des KWG ist nicht einzugehen.</w:t>
      </w:r>
    </w:p>
    <w:p w14:paraId="4B673184" w14:textId="77777777" w:rsidR="00095F85" w:rsidRPr="00F75EC6" w:rsidRDefault="00095F85" w:rsidP="00F75EC6"/>
    <w:p w14:paraId="79D34A6A" w14:textId="442E036C" w:rsidR="00F75EC6" w:rsidRPr="00F75EC6" w:rsidRDefault="00F75EC6" w:rsidP="00F75EC6">
      <w:pPr>
        <w:rPr>
          <w:b/>
        </w:rPr>
      </w:pPr>
      <w:r w:rsidRPr="00F75EC6">
        <w:rPr>
          <w:b/>
        </w:rPr>
        <w:t>Hinweise:</w:t>
      </w:r>
    </w:p>
    <w:p w14:paraId="39DACCBA" w14:textId="77777777" w:rsidR="00F75EC6" w:rsidRPr="00095F85" w:rsidRDefault="00F75EC6" w:rsidP="00F75EC6">
      <w:pPr>
        <w:rPr>
          <w:b/>
        </w:rPr>
      </w:pPr>
      <w:r w:rsidRPr="00095F85">
        <w:rPr>
          <w:b/>
        </w:rPr>
        <w:t>Art. 21 GG [Parteien] lautete in der bis zum 19.7.2017 gültigen Fassung:</w:t>
      </w:r>
    </w:p>
    <w:p w14:paraId="19ECDE1B" w14:textId="77777777" w:rsidR="00F75EC6" w:rsidRPr="00F75EC6" w:rsidRDefault="00F75EC6" w:rsidP="00F75EC6">
      <w:r w:rsidRPr="00F75EC6">
        <w:t xml:space="preserve">(1) </w:t>
      </w:r>
      <w:r w:rsidRPr="00F75EC6">
        <w:rPr>
          <w:vertAlign w:val="superscript"/>
        </w:rPr>
        <w:t>1</w:t>
      </w:r>
      <w:r w:rsidRPr="00F75EC6">
        <w:t xml:space="preserve">Die Parteien wirken bei der politischen Willensbildung des Volkes mit. </w:t>
      </w:r>
      <w:r w:rsidRPr="00F75EC6">
        <w:rPr>
          <w:vertAlign w:val="superscript"/>
        </w:rPr>
        <w:t>2</w:t>
      </w:r>
      <w:r w:rsidRPr="00F75EC6">
        <w:t xml:space="preserve">Ihre Gründung ist frei. </w:t>
      </w:r>
      <w:r w:rsidRPr="00F75EC6">
        <w:rPr>
          <w:vertAlign w:val="superscript"/>
        </w:rPr>
        <w:t>3</w:t>
      </w:r>
      <w:r w:rsidRPr="00F75EC6">
        <w:t xml:space="preserve">Ihre innere Ordnung muß demokratischen Grundsätzen entsprechen. </w:t>
      </w:r>
      <w:r w:rsidRPr="00F75EC6">
        <w:rPr>
          <w:vertAlign w:val="superscript"/>
        </w:rPr>
        <w:t>4</w:t>
      </w:r>
      <w:r w:rsidRPr="00F75EC6">
        <w:t>Sie müssen über die Herkunft und Verwendung ihrer Mittel sowie über ihr Vermögen öffentlich Rechenschaft geben.</w:t>
      </w:r>
    </w:p>
    <w:p w14:paraId="2F115FD1" w14:textId="77777777" w:rsidR="00F75EC6" w:rsidRPr="00F75EC6" w:rsidRDefault="00F75EC6" w:rsidP="00F75EC6">
      <w:r w:rsidRPr="00F75EC6">
        <w:t xml:space="preserve">(2) </w:t>
      </w:r>
      <w:r w:rsidRPr="00F75EC6">
        <w:rPr>
          <w:vertAlign w:val="superscript"/>
        </w:rPr>
        <w:t>1</w:t>
      </w:r>
      <w:r w:rsidRPr="00F75EC6">
        <w:t xml:space="preserve">Parteien, die nach ihren Zielen oder nach dem Verhalten ihrer Anhänger darauf ausgehen, die freiheitliche demokratische Grundordnung zu beeinträchtigen oder zu beseitigen oder den Bestand der Bundesrepublik Deutschland zu gefährden, sind verfassungswidrig. </w:t>
      </w:r>
      <w:r w:rsidRPr="00F75EC6">
        <w:rPr>
          <w:vertAlign w:val="superscript"/>
        </w:rPr>
        <w:t>2</w:t>
      </w:r>
      <w:r w:rsidRPr="00F75EC6">
        <w:t>Über die Frage der Verfassungswidrigkeit entscheidet das Bundesverfassungsgericht.</w:t>
      </w:r>
    </w:p>
    <w:p w14:paraId="48959CA2" w14:textId="77777777" w:rsidR="00F75EC6" w:rsidRDefault="00F75EC6" w:rsidP="00F75EC6">
      <w:r w:rsidRPr="00F75EC6">
        <w:t>(3) Das Nähere regeln Bundesgesetze.</w:t>
      </w:r>
    </w:p>
    <w:p w14:paraId="50E37516" w14:textId="77777777" w:rsidR="00095F85" w:rsidRPr="00095F85" w:rsidRDefault="00095F85" w:rsidP="00F75EC6">
      <w:pPr>
        <w:rPr>
          <w:b/>
        </w:rPr>
      </w:pPr>
    </w:p>
    <w:p w14:paraId="2EA6C62C" w14:textId="77777777" w:rsidR="00F75EC6" w:rsidRPr="00095F85" w:rsidRDefault="00F75EC6" w:rsidP="00F75EC6">
      <w:pPr>
        <w:rPr>
          <w:b/>
        </w:rPr>
      </w:pPr>
      <w:r w:rsidRPr="00095F85">
        <w:rPr>
          <w:b/>
        </w:rPr>
        <w:t>Art. 132 der Verfassung des Landes H (HV) [Verfassungswidrigkeit von Gesetzen und Verordnungen]:</w:t>
      </w:r>
    </w:p>
    <w:p w14:paraId="4F0D5F39" w14:textId="77777777" w:rsidR="00F75EC6" w:rsidRDefault="00F75EC6" w:rsidP="00F75EC6">
      <w:r w:rsidRPr="00F75EC6">
        <w:t>Nur der Staatsgerichtshof trifft die Entscheidung darüber, ob ein Gesetz oder eine Rechtsverordnung mit der Verfassung [des Landes H] in Widerspruch steht.</w:t>
      </w:r>
    </w:p>
    <w:p w14:paraId="410FA88E" w14:textId="77777777" w:rsidR="00095F85" w:rsidRPr="00F75EC6" w:rsidRDefault="00095F85" w:rsidP="00F75EC6"/>
    <w:p w14:paraId="4F0AF45C" w14:textId="77777777" w:rsidR="00F75EC6" w:rsidRPr="00095F85" w:rsidRDefault="00F75EC6" w:rsidP="00F75EC6">
      <w:pPr>
        <w:rPr>
          <w:b/>
        </w:rPr>
      </w:pPr>
      <w:r w:rsidRPr="00095F85">
        <w:rPr>
          <w:b/>
        </w:rPr>
        <w:t>Die Gemeindeordnung des Landes H (HGO) lautet auszugsweise:</w:t>
      </w:r>
    </w:p>
    <w:p w14:paraId="724D416A" w14:textId="77777777" w:rsidR="00F75EC6" w:rsidRPr="00095F85" w:rsidRDefault="00F75EC6" w:rsidP="00F75EC6">
      <w:pPr>
        <w:rPr>
          <w:b/>
        </w:rPr>
      </w:pPr>
      <w:r w:rsidRPr="00095F85">
        <w:rPr>
          <w:b/>
        </w:rPr>
        <w:t>§ 5 – Satzungen</w:t>
      </w:r>
    </w:p>
    <w:p w14:paraId="18D3711A" w14:textId="77777777" w:rsidR="00F75EC6" w:rsidRDefault="00F75EC6" w:rsidP="00F75EC6">
      <w:r w:rsidRPr="00F75EC6">
        <w:t xml:space="preserve">(1) </w:t>
      </w:r>
      <w:r w:rsidRPr="00F75EC6">
        <w:rPr>
          <w:vertAlign w:val="superscript"/>
        </w:rPr>
        <w:t>1</w:t>
      </w:r>
      <w:r w:rsidRPr="00F75EC6">
        <w:t>Die Gemeinden können die Angelegenheiten der örtlichen Gemeinschaft durch Satzung regeln, soweit gesetzlich nichts anderes bestimmt ist. (…)</w:t>
      </w:r>
    </w:p>
    <w:p w14:paraId="02A6B403" w14:textId="77777777" w:rsidR="00F75EC6" w:rsidRPr="00095F85" w:rsidRDefault="00F75EC6" w:rsidP="00F75EC6">
      <w:pPr>
        <w:rPr>
          <w:b/>
        </w:rPr>
      </w:pPr>
      <w:r w:rsidRPr="00095F85">
        <w:rPr>
          <w:b/>
        </w:rPr>
        <w:t>§ 9 – Organe</w:t>
      </w:r>
    </w:p>
    <w:p w14:paraId="50548818" w14:textId="77777777" w:rsidR="00F75EC6" w:rsidRPr="00F75EC6" w:rsidRDefault="00F75EC6" w:rsidP="00F75EC6">
      <w:r w:rsidRPr="00F75EC6">
        <w:t xml:space="preserve">(1) </w:t>
      </w:r>
      <w:r w:rsidRPr="00F75EC6">
        <w:rPr>
          <w:vertAlign w:val="superscript"/>
        </w:rPr>
        <w:t>1</w:t>
      </w:r>
      <w:r w:rsidRPr="00F75EC6">
        <w:t xml:space="preserve">Die von den Bürgern gewählte Gemeindevertretung ist das oberste Organ der Gemeinde. </w:t>
      </w:r>
      <w:r w:rsidRPr="00F75EC6">
        <w:rPr>
          <w:vertAlign w:val="superscript"/>
        </w:rPr>
        <w:t>2</w:t>
      </w:r>
      <w:r w:rsidRPr="00F75EC6">
        <w:t xml:space="preserve">Sie trifft die wichtigen Entscheidungen und überwacht die gesamte Verwaltung. </w:t>
      </w:r>
      <w:r w:rsidRPr="00F75EC6">
        <w:rPr>
          <w:vertAlign w:val="superscript"/>
        </w:rPr>
        <w:t>3</w:t>
      </w:r>
      <w:r w:rsidRPr="00F75EC6">
        <w:t>Sie führt in Städten die Bezeichnung Stadtverordnetenversammlung.</w:t>
      </w:r>
    </w:p>
    <w:p w14:paraId="55F5D29E" w14:textId="77777777" w:rsidR="00F75EC6" w:rsidRPr="00F75EC6" w:rsidRDefault="00F75EC6" w:rsidP="00F75EC6">
      <w:r w:rsidRPr="00F75EC6">
        <w:t xml:space="preserve">(2) </w:t>
      </w:r>
      <w:r w:rsidRPr="00F75EC6">
        <w:rPr>
          <w:vertAlign w:val="superscript"/>
        </w:rPr>
        <w:t>1</w:t>
      </w:r>
      <w:r w:rsidRPr="00F75EC6">
        <w:t xml:space="preserve">Die laufende Verwaltung besorgt der Gemeindevorstand. </w:t>
      </w:r>
      <w:r w:rsidRPr="00F75EC6">
        <w:rPr>
          <w:vertAlign w:val="superscript"/>
        </w:rPr>
        <w:t>2</w:t>
      </w:r>
      <w:r w:rsidRPr="00F75EC6">
        <w:t>Er ist kollegial zu gestalten und führt in Städten die Bezeichnung Magistrat.</w:t>
      </w:r>
    </w:p>
    <w:p w14:paraId="529DD655" w14:textId="77777777" w:rsidR="00F75EC6" w:rsidRPr="00095F85" w:rsidRDefault="00F75EC6" w:rsidP="00F75EC6">
      <w:pPr>
        <w:rPr>
          <w:b/>
        </w:rPr>
      </w:pPr>
      <w:r w:rsidRPr="00095F85">
        <w:rPr>
          <w:b/>
        </w:rPr>
        <w:t>§ 36a – Fraktionen</w:t>
      </w:r>
    </w:p>
    <w:p w14:paraId="0C345A0B" w14:textId="77777777" w:rsidR="00F75EC6" w:rsidRPr="00F75EC6" w:rsidRDefault="00F75EC6" w:rsidP="00F75EC6">
      <w:r w:rsidRPr="00F75EC6">
        <w:t xml:space="preserve">(1) </w:t>
      </w:r>
      <w:r w:rsidRPr="00F75EC6">
        <w:rPr>
          <w:vertAlign w:val="superscript"/>
        </w:rPr>
        <w:t>1</w:t>
      </w:r>
      <w:r w:rsidRPr="00F75EC6">
        <w:t>Gemeindevertreter können sich zu einer Fraktion zusammenschließen. (…)</w:t>
      </w:r>
    </w:p>
    <w:p w14:paraId="4F6EFF55" w14:textId="77777777" w:rsidR="00F75EC6" w:rsidRPr="00F75EC6" w:rsidRDefault="00F75EC6" w:rsidP="00F75EC6">
      <w:r w:rsidRPr="00F75EC6">
        <w:t>(3) Die Fraktionen wirken bei der Willensbildung und Entscheidungsfindung in der Gemeindevertretung mit; sie können insoweit ihre Auffassung öffentlich darstellen.</w:t>
      </w:r>
    </w:p>
    <w:p w14:paraId="70464794" w14:textId="77777777" w:rsidR="00F75EC6" w:rsidRPr="00F75EC6" w:rsidRDefault="00F75EC6" w:rsidP="00F75EC6">
      <w:r w:rsidRPr="00F75EC6">
        <w:t xml:space="preserve">(4) </w:t>
      </w:r>
      <w:r w:rsidRPr="00F75EC6">
        <w:rPr>
          <w:vertAlign w:val="superscript"/>
        </w:rPr>
        <w:t>1</w:t>
      </w:r>
      <w:r w:rsidRPr="00F75EC6">
        <w:t xml:space="preserve">Die Gemeinde kann den Fraktionen Mittel aus ihrem Haushalt zu den sächlichen und personellen Aufwendungen für die Geschäftsführung gewähren. </w:t>
      </w:r>
      <w:r w:rsidRPr="00F75EC6">
        <w:rPr>
          <w:vertAlign w:val="superscript"/>
        </w:rPr>
        <w:t>2</w:t>
      </w:r>
      <w:r w:rsidRPr="00F75EC6">
        <w:t xml:space="preserve">Diese Mittel sind in einer besonderen Anlage zum Haushaltsplan darzustellen. </w:t>
      </w:r>
      <w:r w:rsidRPr="00F75EC6">
        <w:rPr>
          <w:vertAlign w:val="superscript"/>
        </w:rPr>
        <w:t>3</w:t>
      </w:r>
      <w:r w:rsidRPr="00F75EC6">
        <w:t>Über ihre Verwendung ist ein Nachweis in einfacher Form zu führen.</w:t>
      </w:r>
    </w:p>
    <w:p w14:paraId="5334E197" w14:textId="77777777" w:rsidR="00F75EC6" w:rsidRPr="00095F85" w:rsidRDefault="00F75EC6" w:rsidP="00F75EC6">
      <w:pPr>
        <w:rPr>
          <w:b/>
        </w:rPr>
      </w:pPr>
      <w:r w:rsidRPr="00095F85">
        <w:rPr>
          <w:b/>
        </w:rPr>
        <w:t>§ 71 – Vertretung der Gemeinde</w:t>
      </w:r>
    </w:p>
    <w:p w14:paraId="2EBF3C31" w14:textId="77777777" w:rsidR="00F75EC6" w:rsidRDefault="00F75EC6" w:rsidP="00F75EC6">
      <w:r w:rsidRPr="00F75EC6">
        <w:t xml:space="preserve">(1) </w:t>
      </w:r>
      <w:r w:rsidRPr="00F75EC6">
        <w:rPr>
          <w:vertAlign w:val="superscript"/>
        </w:rPr>
        <w:t>1</w:t>
      </w:r>
      <w:r w:rsidRPr="00F75EC6">
        <w:t>Der Gemeindevorstand vertritt die Gemeinde. (…)</w:t>
      </w:r>
    </w:p>
    <w:p w14:paraId="1F3C1A6D" w14:textId="77777777" w:rsidR="00095F85" w:rsidRPr="00F75EC6" w:rsidRDefault="00095F85" w:rsidP="00F75EC6"/>
    <w:p w14:paraId="7974F193" w14:textId="77777777" w:rsidR="00F75EC6" w:rsidRPr="00095F85" w:rsidRDefault="00F75EC6" w:rsidP="00F75EC6">
      <w:pPr>
        <w:rPr>
          <w:b/>
        </w:rPr>
      </w:pPr>
      <w:r w:rsidRPr="00095F85">
        <w:rPr>
          <w:b/>
        </w:rPr>
        <w:t>Gesetz zur Ausführung der Verwaltungsgerichtsordnung (AGVwGO) des Landes H (in Auszügen):</w:t>
      </w:r>
    </w:p>
    <w:p w14:paraId="16648313" w14:textId="77777777" w:rsidR="00F75EC6" w:rsidRPr="00095F85" w:rsidRDefault="00F75EC6" w:rsidP="00F75EC6">
      <w:pPr>
        <w:rPr>
          <w:b/>
        </w:rPr>
      </w:pPr>
      <w:r w:rsidRPr="00095F85">
        <w:rPr>
          <w:b/>
        </w:rPr>
        <w:t>§ 1 – Sitz und Bezirk der Gerichte</w:t>
      </w:r>
    </w:p>
    <w:p w14:paraId="29052E52" w14:textId="77777777" w:rsidR="00F75EC6" w:rsidRPr="00F75EC6" w:rsidRDefault="00F75EC6" w:rsidP="00F75EC6">
      <w:r w:rsidRPr="00F75EC6">
        <w:t xml:space="preserve">(1) </w:t>
      </w:r>
      <w:r w:rsidRPr="00F75EC6">
        <w:rPr>
          <w:vertAlign w:val="superscript"/>
        </w:rPr>
        <w:t>1</w:t>
      </w:r>
      <w:r w:rsidRPr="00F75EC6">
        <w:t xml:space="preserve">Das Oberverwaltungsgericht führt die Bezeichnung „Verwaltungsgerichtshof“. </w:t>
      </w:r>
      <w:r w:rsidRPr="00F75EC6">
        <w:rPr>
          <w:vertAlign w:val="superscript"/>
        </w:rPr>
        <w:t>2</w:t>
      </w:r>
      <w:r w:rsidRPr="00F75EC6">
        <w:t>Es hat seinen Sitz in K. (…)</w:t>
      </w:r>
    </w:p>
    <w:p w14:paraId="46CEBF07" w14:textId="77777777" w:rsidR="00F75EC6" w:rsidRPr="00095F85" w:rsidRDefault="00F75EC6" w:rsidP="00F75EC6">
      <w:pPr>
        <w:rPr>
          <w:b/>
        </w:rPr>
      </w:pPr>
      <w:r w:rsidRPr="00095F85">
        <w:rPr>
          <w:b/>
        </w:rPr>
        <w:t>§ 15 – Normenkontrolle</w:t>
      </w:r>
    </w:p>
    <w:p w14:paraId="04835513" w14:textId="77777777" w:rsidR="00F75EC6" w:rsidRDefault="00F75EC6" w:rsidP="00F75EC6">
      <w:r w:rsidRPr="00F75EC6">
        <w:t>Der Verwaltungsgerichtshof entscheidet im Normenkontrollverfahren nach § 47 VwGO über die Gültigkeit im Range unter dem Landesgesetz stehender Rechtsvorschriften, auch soweit diese nicht in § 47 I Nr. 1 VwGO genannt sind.</w:t>
      </w:r>
    </w:p>
    <w:p w14:paraId="5FCE8F14" w14:textId="77777777" w:rsidR="00095F85" w:rsidRPr="00F75EC6" w:rsidRDefault="00095F85" w:rsidP="00F75EC6"/>
    <w:p w14:paraId="3D637219" w14:textId="77777777" w:rsidR="00F75EC6" w:rsidRPr="00095F85" w:rsidRDefault="00F75EC6" w:rsidP="00F75EC6">
      <w:pPr>
        <w:rPr>
          <w:b/>
        </w:rPr>
      </w:pPr>
      <w:r w:rsidRPr="00095F85">
        <w:rPr>
          <w:b/>
        </w:rPr>
        <w:t>Kommunalwahlgesetz des Landes H (in Auszügen):</w:t>
      </w:r>
    </w:p>
    <w:p w14:paraId="2B1D0BC4" w14:textId="77777777" w:rsidR="00F75EC6" w:rsidRPr="00095F85" w:rsidRDefault="00F75EC6" w:rsidP="00F75EC6">
      <w:pPr>
        <w:rPr>
          <w:b/>
        </w:rPr>
      </w:pPr>
      <w:r w:rsidRPr="00095F85">
        <w:rPr>
          <w:b/>
        </w:rPr>
        <w:t>§ 35 – Folgen des Verbotes einer Partei oder Wählergruppe</w:t>
      </w:r>
    </w:p>
    <w:p w14:paraId="70569059" w14:textId="4A9D211C" w:rsidR="0001383E" w:rsidRPr="00095F85" w:rsidRDefault="00F75EC6" w:rsidP="00095F85">
      <w:r w:rsidRPr="00F75EC6">
        <w:t xml:space="preserve">(1) </w:t>
      </w:r>
      <w:r w:rsidRPr="00F75EC6">
        <w:rPr>
          <w:vertAlign w:val="superscript"/>
        </w:rPr>
        <w:t>1</w:t>
      </w:r>
      <w:r w:rsidRPr="00F75EC6">
        <w:t>Wird eine Partei oder eine ihrer Teilorganisationen durch das Bundesverfassungsgericht gemäß Art. 21 GG für verfassungswidrig erklärt, oder wird eine Wählergruppe als Ersatzorganisation einer für verfassungswidrig erklärten Partei oder aus anderen Gründen rechtskräftig verboten, so verlieren die Vertreter ihren Sitz, die der Partei, Ersatzorganisation oder Wählergruppe zur Zeit der Antragstellung oder der Verkündung der E</w:t>
      </w:r>
      <w:r w:rsidR="0001383E">
        <w:t>ntscheidung angehört haben. (…)</w:t>
      </w:r>
      <w:r w:rsidR="0001383E">
        <w:br w:type="page"/>
      </w:r>
    </w:p>
    <w:p w14:paraId="02407F75" w14:textId="1D480E3A" w:rsidR="00252B37" w:rsidRPr="00252B37" w:rsidRDefault="00252B37" w:rsidP="0001383E">
      <w:pPr>
        <w:pStyle w:val="berschrift3"/>
      </w:pPr>
      <w:r w:rsidRPr="00252B37">
        <w:t>Lösungsgliederung</w:t>
      </w:r>
    </w:p>
    <w:p w14:paraId="5E92D871" w14:textId="77777777" w:rsidR="00252B37" w:rsidRDefault="00252B37" w:rsidP="00252B37">
      <w:pPr>
        <w:pStyle w:val="Randnummer"/>
        <w:framePr w:wrap="around"/>
      </w:pPr>
    </w:p>
    <w:p w14:paraId="5D1A4C75" w14:textId="4DD7D015" w:rsidR="007537A8" w:rsidRDefault="000434BF">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"Fall13" </w:instrText>
      </w:r>
      <w:r>
        <w:rPr>
          <w:rFonts w:eastAsiaTheme="majorEastAsia"/>
        </w:rPr>
        <w:fldChar w:fldCharType="separate"/>
      </w:r>
      <w:hyperlink w:anchor="_Toc22133298" w:history="1">
        <w:r w:rsidR="007537A8" w:rsidRPr="008D3818">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_Toc22133298 \h </w:instrText>
        </w:r>
        <w:r w:rsidR="007537A8">
          <w:rPr>
            <w:noProof/>
            <w:webHidden/>
          </w:rPr>
        </w:r>
        <w:r w:rsidR="007537A8">
          <w:rPr>
            <w:noProof/>
            <w:webHidden/>
          </w:rPr>
          <w:fldChar w:fldCharType="separate"/>
        </w:r>
        <w:r w:rsidR="007537A8">
          <w:rPr>
            <w:noProof/>
            <w:webHidden/>
          </w:rPr>
          <w:t>202</w:t>
        </w:r>
        <w:r w:rsidR="007537A8">
          <w:rPr>
            <w:noProof/>
            <w:webHidden/>
          </w:rPr>
          <w:fldChar w:fldCharType="end"/>
        </w:r>
      </w:hyperlink>
    </w:p>
    <w:p w14:paraId="54F4028A" w14:textId="49BDC49B" w:rsidR="007537A8" w:rsidRDefault="00091FED">
      <w:pPr>
        <w:pStyle w:val="Verzeichnis4"/>
        <w:tabs>
          <w:tab w:val="right" w:leader="dot" w:pos="7361"/>
        </w:tabs>
        <w:rPr>
          <w:rFonts w:eastAsiaTheme="minorEastAsia"/>
          <w:noProof/>
          <w:sz w:val="22"/>
          <w:szCs w:val="22"/>
          <w:lang w:eastAsia="de-DE"/>
        </w:rPr>
      </w:pPr>
      <w:hyperlink w:anchor="_Toc22133299" w:history="1">
        <w:r w:rsidR="007537A8" w:rsidRPr="008D3818">
          <w:rPr>
            <w:rStyle w:val="Hyperlink"/>
            <w:noProof/>
          </w:rPr>
          <w:t>A. Zulässigkeit der Normenkontrollanträge</w:t>
        </w:r>
        <w:r w:rsidR="007537A8">
          <w:rPr>
            <w:noProof/>
            <w:webHidden/>
          </w:rPr>
          <w:tab/>
        </w:r>
        <w:r w:rsidR="007537A8">
          <w:rPr>
            <w:noProof/>
            <w:webHidden/>
          </w:rPr>
          <w:fldChar w:fldCharType="begin"/>
        </w:r>
        <w:r w:rsidR="007537A8">
          <w:rPr>
            <w:noProof/>
            <w:webHidden/>
          </w:rPr>
          <w:instrText xml:space="preserve"> PAGEREF _Toc22133299 \h </w:instrText>
        </w:r>
        <w:r w:rsidR="007537A8">
          <w:rPr>
            <w:noProof/>
            <w:webHidden/>
          </w:rPr>
        </w:r>
        <w:r w:rsidR="007537A8">
          <w:rPr>
            <w:noProof/>
            <w:webHidden/>
          </w:rPr>
          <w:fldChar w:fldCharType="separate"/>
        </w:r>
        <w:r w:rsidR="007537A8">
          <w:rPr>
            <w:noProof/>
            <w:webHidden/>
          </w:rPr>
          <w:t>202</w:t>
        </w:r>
        <w:r w:rsidR="007537A8">
          <w:rPr>
            <w:noProof/>
            <w:webHidden/>
          </w:rPr>
          <w:fldChar w:fldCharType="end"/>
        </w:r>
      </w:hyperlink>
    </w:p>
    <w:p w14:paraId="30124066" w14:textId="5E336B09" w:rsidR="007537A8" w:rsidRDefault="00091FED">
      <w:pPr>
        <w:pStyle w:val="Verzeichnis5"/>
        <w:tabs>
          <w:tab w:val="right" w:leader="dot" w:pos="7361"/>
        </w:tabs>
        <w:rPr>
          <w:rFonts w:eastAsiaTheme="minorEastAsia"/>
          <w:noProof/>
          <w:sz w:val="22"/>
          <w:szCs w:val="22"/>
          <w:lang w:eastAsia="de-DE"/>
        </w:rPr>
      </w:pPr>
      <w:hyperlink w:anchor="_Toc22133300" w:history="1">
        <w:r w:rsidR="007537A8" w:rsidRPr="008D3818">
          <w:rPr>
            <w:rStyle w:val="Hyperlink"/>
            <w:noProof/>
          </w:rPr>
          <w:t>I. Eröffnung des Verwaltungsrechtswegs – „im Rahmen seiner Gerichtsbarkeit“</w:t>
        </w:r>
        <w:r w:rsidR="007537A8">
          <w:rPr>
            <w:noProof/>
            <w:webHidden/>
          </w:rPr>
          <w:tab/>
        </w:r>
        <w:r w:rsidR="007537A8">
          <w:rPr>
            <w:noProof/>
            <w:webHidden/>
          </w:rPr>
          <w:fldChar w:fldCharType="begin"/>
        </w:r>
        <w:r w:rsidR="007537A8">
          <w:rPr>
            <w:noProof/>
            <w:webHidden/>
          </w:rPr>
          <w:instrText xml:space="preserve"> PAGEREF _Toc22133300 \h </w:instrText>
        </w:r>
        <w:r w:rsidR="007537A8">
          <w:rPr>
            <w:noProof/>
            <w:webHidden/>
          </w:rPr>
        </w:r>
        <w:r w:rsidR="007537A8">
          <w:rPr>
            <w:noProof/>
            <w:webHidden/>
          </w:rPr>
          <w:fldChar w:fldCharType="separate"/>
        </w:r>
        <w:r w:rsidR="007537A8">
          <w:rPr>
            <w:noProof/>
            <w:webHidden/>
          </w:rPr>
          <w:t>202</w:t>
        </w:r>
        <w:r w:rsidR="007537A8">
          <w:rPr>
            <w:noProof/>
            <w:webHidden/>
          </w:rPr>
          <w:fldChar w:fldCharType="end"/>
        </w:r>
      </w:hyperlink>
    </w:p>
    <w:p w14:paraId="473D61D8" w14:textId="4E477495" w:rsidR="007537A8" w:rsidRDefault="00091FED">
      <w:pPr>
        <w:pStyle w:val="Verzeichnis5"/>
        <w:tabs>
          <w:tab w:val="right" w:leader="dot" w:pos="7361"/>
        </w:tabs>
        <w:rPr>
          <w:rFonts w:eastAsiaTheme="minorEastAsia"/>
          <w:noProof/>
          <w:sz w:val="22"/>
          <w:szCs w:val="22"/>
          <w:lang w:eastAsia="de-DE"/>
        </w:rPr>
      </w:pPr>
      <w:hyperlink w:anchor="_Toc22133301" w:history="1">
        <w:r w:rsidR="007537A8" w:rsidRPr="008D3818">
          <w:rPr>
            <w:rStyle w:val="Hyperlink"/>
            <w:noProof/>
          </w:rPr>
          <w:t>II. Statthaftigkeit, Antragsgegenstand</w:t>
        </w:r>
        <w:r w:rsidR="007537A8">
          <w:rPr>
            <w:noProof/>
            <w:webHidden/>
          </w:rPr>
          <w:tab/>
        </w:r>
        <w:r w:rsidR="007537A8">
          <w:rPr>
            <w:noProof/>
            <w:webHidden/>
          </w:rPr>
          <w:fldChar w:fldCharType="begin"/>
        </w:r>
        <w:r w:rsidR="007537A8">
          <w:rPr>
            <w:noProof/>
            <w:webHidden/>
          </w:rPr>
          <w:instrText xml:space="preserve"> PAGEREF _Toc22133301 \h </w:instrText>
        </w:r>
        <w:r w:rsidR="007537A8">
          <w:rPr>
            <w:noProof/>
            <w:webHidden/>
          </w:rPr>
        </w:r>
        <w:r w:rsidR="007537A8">
          <w:rPr>
            <w:noProof/>
            <w:webHidden/>
          </w:rPr>
          <w:fldChar w:fldCharType="separate"/>
        </w:r>
        <w:r w:rsidR="007537A8">
          <w:rPr>
            <w:noProof/>
            <w:webHidden/>
          </w:rPr>
          <w:t>202</w:t>
        </w:r>
        <w:r w:rsidR="007537A8">
          <w:rPr>
            <w:noProof/>
            <w:webHidden/>
          </w:rPr>
          <w:fldChar w:fldCharType="end"/>
        </w:r>
      </w:hyperlink>
    </w:p>
    <w:p w14:paraId="18DF7EAD" w14:textId="05ECE9FD" w:rsidR="007537A8" w:rsidRDefault="00091FED">
      <w:pPr>
        <w:pStyle w:val="Verzeichnis5"/>
        <w:tabs>
          <w:tab w:val="right" w:leader="dot" w:pos="7361"/>
        </w:tabs>
        <w:rPr>
          <w:rFonts w:eastAsiaTheme="minorEastAsia"/>
          <w:noProof/>
          <w:sz w:val="22"/>
          <w:szCs w:val="22"/>
          <w:lang w:eastAsia="de-DE"/>
        </w:rPr>
      </w:pPr>
      <w:hyperlink w:anchor="_Toc22133302" w:history="1">
        <w:r w:rsidR="007537A8" w:rsidRPr="008D3818">
          <w:rPr>
            <w:rStyle w:val="Hyperlink"/>
            <w:noProof/>
          </w:rPr>
          <w:t>III. Antragsberechtigung</w:t>
        </w:r>
        <w:r w:rsidR="007537A8">
          <w:rPr>
            <w:noProof/>
            <w:webHidden/>
          </w:rPr>
          <w:tab/>
        </w:r>
        <w:r w:rsidR="007537A8">
          <w:rPr>
            <w:noProof/>
            <w:webHidden/>
          </w:rPr>
          <w:fldChar w:fldCharType="begin"/>
        </w:r>
        <w:r w:rsidR="007537A8">
          <w:rPr>
            <w:noProof/>
            <w:webHidden/>
          </w:rPr>
          <w:instrText xml:space="preserve"> PAGEREF _Toc22133302 \h </w:instrText>
        </w:r>
        <w:r w:rsidR="007537A8">
          <w:rPr>
            <w:noProof/>
            <w:webHidden/>
          </w:rPr>
        </w:r>
        <w:r w:rsidR="007537A8">
          <w:rPr>
            <w:noProof/>
            <w:webHidden/>
          </w:rPr>
          <w:fldChar w:fldCharType="separate"/>
        </w:r>
        <w:r w:rsidR="007537A8">
          <w:rPr>
            <w:noProof/>
            <w:webHidden/>
          </w:rPr>
          <w:t>203</w:t>
        </w:r>
        <w:r w:rsidR="007537A8">
          <w:rPr>
            <w:noProof/>
            <w:webHidden/>
          </w:rPr>
          <w:fldChar w:fldCharType="end"/>
        </w:r>
      </w:hyperlink>
    </w:p>
    <w:p w14:paraId="510B7934" w14:textId="7073572A" w:rsidR="007537A8" w:rsidRDefault="00091FED">
      <w:pPr>
        <w:pStyle w:val="Verzeichnis5"/>
        <w:tabs>
          <w:tab w:val="right" w:leader="dot" w:pos="7361"/>
        </w:tabs>
        <w:rPr>
          <w:rFonts w:eastAsiaTheme="minorEastAsia"/>
          <w:noProof/>
          <w:sz w:val="22"/>
          <w:szCs w:val="22"/>
          <w:lang w:eastAsia="de-DE"/>
        </w:rPr>
      </w:pPr>
      <w:hyperlink w:anchor="_Toc22133303" w:history="1">
        <w:r w:rsidR="007537A8" w:rsidRPr="008D3818">
          <w:rPr>
            <w:rStyle w:val="Hyperlink"/>
            <w:noProof/>
          </w:rPr>
          <w:t>IV. Antragsbefugnis</w:t>
        </w:r>
        <w:r w:rsidR="007537A8">
          <w:rPr>
            <w:noProof/>
            <w:webHidden/>
          </w:rPr>
          <w:tab/>
        </w:r>
        <w:r w:rsidR="007537A8">
          <w:rPr>
            <w:noProof/>
            <w:webHidden/>
          </w:rPr>
          <w:fldChar w:fldCharType="begin"/>
        </w:r>
        <w:r w:rsidR="007537A8">
          <w:rPr>
            <w:noProof/>
            <w:webHidden/>
          </w:rPr>
          <w:instrText xml:space="preserve"> PAGEREF _Toc22133303 \h </w:instrText>
        </w:r>
        <w:r w:rsidR="007537A8">
          <w:rPr>
            <w:noProof/>
            <w:webHidden/>
          </w:rPr>
        </w:r>
        <w:r w:rsidR="007537A8">
          <w:rPr>
            <w:noProof/>
            <w:webHidden/>
          </w:rPr>
          <w:fldChar w:fldCharType="separate"/>
        </w:r>
        <w:r w:rsidR="007537A8">
          <w:rPr>
            <w:noProof/>
            <w:webHidden/>
          </w:rPr>
          <w:t>204</w:t>
        </w:r>
        <w:r w:rsidR="007537A8">
          <w:rPr>
            <w:noProof/>
            <w:webHidden/>
          </w:rPr>
          <w:fldChar w:fldCharType="end"/>
        </w:r>
      </w:hyperlink>
    </w:p>
    <w:p w14:paraId="4035AF3C" w14:textId="40B35123" w:rsidR="007537A8" w:rsidRDefault="00091FED">
      <w:pPr>
        <w:pStyle w:val="Verzeichnis5"/>
        <w:tabs>
          <w:tab w:val="right" w:leader="dot" w:pos="7361"/>
        </w:tabs>
        <w:rPr>
          <w:rFonts w:eastAsiaTheme="minorEastAsia"/>
          <w:noProof/>
          <w:sz w:val="22"/>
          <w:szCs w:val="22"/>
          <w:lang w:eastAsia="de-DE"/>
        </w:rPr>
      </w:pPr>
      <w:hyperlink w:anchor="_Toc22133304" w:history="1">
        <w:r w:rsidR="007537A8" w:rsidRPr="008D3818">
          <w:rPr>
            <w:rStyle w:val="Hyperlink"/>
            <w:noProof/>
          </w:rPr>
          <w:t>V. Antragsfrist</w:t>
        </w:r>
        <w:r w:rsidR="007537A8">
          <w:rPr>
            <w:noProof/>
            <w:webHidden/>
          </w:rPr>
          <w:tab/>
        </w:r>
        <w:r w:rsidR="007537A8">
          <w:rPr>
            <w:noProof/>
            <w:webHidden/>
          </w:rPr>
          <w:fldChar w:fldCharType="begin"/>
        </w:r>
        <w:r w:rsidR="007537A8">
          <w:rPr>
            <w:noProof/>
            <w:webHidden/>
          </w:rPr>
          <w:instrText xml:space="preserve"> PAGEREF _Toc22133304 \h </w:instrText>
        </w:r>
        <w:r w:rsidR="007537A8">
          <w:rPr>
            <w:noProof/>
            <w:webHidden/>
          </w:rPr>
        </w:r>
        <w:r w:rsidR="007537A8">
          <w:rPr>
            <w:noProof/>
            <w:webHidden/>
          </w:rPr>
          <w:fldChar w:fldCharType="separate"/>
        </w:r>
        <w:r w:rsidR="007537A8">
          <w:rPr>
            <w:noProof/>
            <w:webHidden/>
          </w:rPr>
          <w:t>205</w:t>
        </w:r>
        <w:r w:rsidR="007537A8">
          <w:rPr>
            <w:noProof/>
            <w:webHidden/>
          </w:rPr>
          <w:fldChar w:fldCharType="end"/>
        </w:r>
      </w:hyperlink>
    </w:p>
    <w:p w14:paraId="6690677D" w14:textId="185127E0" w:rsidR="007537A8" w:rsidRDefault="00091FED">
      <w:pPr>
        <w:pStyle w:val="Verzeichnis5"/>
        <w:tabs>
          <w:tab w:val="right" w:leader="dot" w:pos="7361"/>
        </w:tabs>
        <w:rPr>
          <w:rFonts w:eastAsiaTheme="minorEastAsia"/>
          <w:noProof/>
          <w:sz w:val="22"/>
          <w:szCs w:val="22"/>
          <w:lang w:eastAsia="de-DE"/>
        </w:rPr>
      </w:pPr>
      <w:hyperlink w:anchor="_Toc22133305" w:history="1">
        <w:r w:rsidR="007537A8" w:rsidRPr="008D3818">
          <w:rPr>
            <w:rStyle w:val="Hyperlink"/>
            <w:noProof/>
          </w:rPr>
          <w:t>VI. Beteiligte</w:t>
        </w:r>
        <w:r w:rsidR="007537A8">
          <w:rPr>
            <w:noProof/>
            <w:webHidden/>
          </w:rPr>
          <w:tab/>
        </w:r>
        <w:r w:rsidR="007537A8">
          <w:rPr>
            <w:noProof/>
            <w:webHidden/>
          </w:rPr>
          <w:fldChar w:fldCharType="begin"/>
        </w:r>
        <w:r w:rsidR="007537A8">
          <w:rPr>
            <w:noProof/>
            <w:webHidden/>
          </w:rPr>
          <w:instrText xml:space="preserve"> PAGEREF _Toc22133305 \h </w:instrText>
        </w:r>
        <w:r w:rsidR="007537A8">
          <w:rPr>
            <w:noProof/>
            <w:webHidden/>
          </w:rPr>
        </w:r>
        <w:r w:rsidR="007537A8">
          <w:rPr>
            <w:noProof/>
            <w:webHidden/>
          </w:rPr>
          <w:fldChar w:fldCharType="separate"/>
        </w:r>
        <w:r w:rsidR="007537A8">
          <w:rPr>
            <w:noProof/>
            <w:webHidden/>
          </w:rPr>
          <w:t>206</w:t>
        </w:r>
        <w:r w:rsidR="007537A8">
          <w:rPr>
            <w:noProof/>
            <w:webHidden/>
          </w:rPr>
          <w:fldChar w:fldCharType="end"/>
        </w:r>
      </w:hyperlink>
    </w:p>
    <w:p w14:paraId="4CDF0651" w14:textId="226419E6" w:rsidR="007537A8" w:rsidRDefault="00091FED">
      <w:pPr>
        <w:pStyle w:val="Verzeichnis5"/>
        <w:tabs>
          <w:tab w:val="right" w:leader="dot" w:pos="7361"/>
        </w:tabs>
        <w:rPr>
          <w:rFonts w:eastAsiaTheme="minorEastAsia"/>
          <w:noProof/>
          <w:sz w:val="22"/>
          <w:szCs w:val="22"/>
          <w:lang w:eastAsia="de-DE"/>
        </w:rPr>
      </w:pPr>
      <w:hyperlink w:anchor="_Toc22133306" w:history="1">
        <w:r w:rsidR="007537A8" w:rsidRPr="008D3818">
          <w:rPr>
            <w:rStyle w:val="Hyperlink"/>
            <w:noProof/>
          </w:rPr>
          <w:t>VII. Zuständiges Gericht</w:t>
        </w:r>
        <w:r w:rsidR="007537A8">
          <w:rPr>
            <w:noProof/>
            <w:webHidden/>
          </w:rPr>
          <w:tab/>
        </w:r>
        <w:r w:rsidR="007537A8">
          <w:rPr>
            <w:noProof/>
            <w:webHidden/>
          </w:rPr>
          <w:fldChar w:fldCharType="begin"/>
        </w:r>
        <w:r w:rsidR="007537A8">
          <w:rPr>
            <w:noProof/>
            <w:webHidden/>
          </w:rPr>
          <w:instrText xml:space="preserve"> PAGEREF _Toc22133306 \h </w:instrText>
        </w:r>
        <w:r w:rsidR="007537A8">
          <w:rPr>
            <w:noProof/>
            <w:webHidden/>
          </w:rPr>
        </w:r>
        <w:r w:rsidR="007537A8">
          <w:rPr>
            <w:noProof/>
            <w:webHidden/>
          </w:rPr>
          <w:fldChar w:fldCharType="separate"/>
        </w:r>
        <w:r w:rsidR="007537A8">
          <w:rPr>
            <w:noProof/>
            <w:webHidden/>
          </w:rPr>
          <w:t>206</w:t>
        </w:r>
        <w:r w:rsidR="007537A8">
          <w:rPr>
            <w:noProof/>
            <w:webHidden/>
          </w:rPr>
          <w:fldChar w:fldCharType="end"/>
        </w:r>
      </w:hyperlink>
    </w:p>
    <w:p w14:paraId="23023E73" w14:textId="088A27F4" w:rsidR="007537A8" w:rsidRDefault="00091FED">
      <w:pPr>
        <w:pStyle w:val="Verzeichnis5"/>
        <w:tabs>
          <w:tab w:val="right" w:leader="dot" w:pos="7361"/>
        </w:tabs>
        <w:rPr>
          <w:rFonts w:eastAsiaTheme="minorEastAsia"/>
          <w:noProof/>
          <w:sz w:val="22"/>
          <w:szCs w:val="22"/>
          <w:lang w:eastAsia="de-DE"/>
        </w:rPr>
      </w:pPr>
      <w:hyperlink w:anchor="_Toc22133307" w:history="1">
        <w:r w:rsidR="007537A8" w:rsidRPr="008D3818">
          <w:rPr>
            <w:rStyle w:val="Hyperlink"/>
            <w:noProof/>
          </w:rPr>
          <w:t>VIII. Rechtsschutzbedürfnis – Normenkontrollinteresse</w:t>
        </w:r>
        <w:r w:rsidR="007537A8">
          <w:rPr>
            <w:noProof/>
            <w:webHidden/>
          </w:rPr>
          <w:tab/>
        </w:r>
        <w:r w:rsidR="007537A8">
          <w:rPr>
            <w:noProof/>
            <w:webHidden/>
          </w:rPr>
          <w:fldChar w:fldCharType="begin"/>
        </w:r>
        <w:r w:rsidR="007537A8">
          <w:rPr>
            <w:noProof/>
            <w:webHidden/>
          </w:rPr>
          <w:instrText xml:space="preserve"> PAGEREF _Toc22133307 \h </w:instrText>
        </w:r>
        <w:r w:rsidR="007537A8">
          <w:rPr>
            <w:noProof/>
            <w:webHidden/>
          </w:rPr>
        </w:r>
        <w:r w:rsidR="007537A8">
          <w:rPr>
            <w:noProof/>
            <w:webHidden/>
          </w:rPr>
          <w:fldChar w:fldCharType="separate"/>
        </w:r>
        <w:r w:rsidR="007537A8">
          <w:rPr>
            <w:noProof/>
            <w:webHidden/>
          </w:rPr>
          <w:t>206</w:t>
        </w:r>
        <w:r w:rsidR="007537A8">
          <w:rPr>
            <w:noProof/>
            <w:webHidden/>
          </w:rPr>
          <w:fldChar w:fldCharType="end"/>
        </w:r>
      </w:hyperlink>
    </w:p>
    <w:p w14:paraId="28228045" w14:textId="2C085146" w:rsidR="007537A8" w:rsidRDefault="00091FED">
      <w:pPr>
        <w:pStyle w:val="Verzeichnis5"/>
        <w:tabs>
          <w:tab w:val="right" w:leader="dot" w:pos="7361"/>
        </w:tabs>
        <w:rPr>
          <w:rFonts w:eastAsiaTheme="minorEastAsia"/>
          <w:noProof/>
          <w:sz w:val="22"/>
          <w:szCs w:val="22"/>
          <w:lang w:eastAsia="de-DE"/>
        </w:rPr>
      </w:pPr>
      <w:hyperlink w:anchor="_Toc22133308" w:history="1">
        <w:r w:rsidR="007537A8" w:rsidRPr="008D3818">
          <w:rPr>
            <w:rStyle w:val="Hyperlink"/>
            <w:noProof/>
          </w:rPr>
          <w:t>IX. Zwischenergebnis</w:t>
        </w:r>
        <w:r w:rsidR="007537A8">
          <w:rPr>
            <w:noProof/>
            <w:webHidden/>
          </w:rPr>
          <w:tab/>
        </w:r>
        <w:r w:rsidR="007537A8">
          <w:rPr>
            <w:noProof/>
            <w:webHidden/>
          </w:rPr>
          <w:fldChar w:fldCharType="begin"/>
        </w:r>
        <w:r w:rsidR="007537A8">
          <w:rPr>
            <w:noProof/>
            <w:webHidden/>
          </w:rPr>
          <w:instrText xml:space="preserve"> PAGEREF _Toc22133308 \h </w:instrText>
        </w:r>
        <w:r w:rsidR="007537A8">
          <w:rPr>
            <w:noProof/>
            <w:webHidden/>
          </w:rPr>
        </w:r>
        <w:r w:rsidR="007537A8">
          <w:rPr>
            <w:noProof/>
            <w:webHidden/>
          </w:rPr>
          <w:fldChar w:fldCharType="separate"/>
        </w:r>
        <w:r w:rsidR="007537A8">
          <w:rPr>
            <w:noProof/>
            <w:webHidden/>
          </w:rPr>
          <w:t>207</w:t>
        </w:r>
        <w:r w:rsidR="007537A8">
          <w:rPr>
            <w:noProof/>
            <w:webHidden/>
          </w:rPr>
          <w:fldChar w:fldCharType="end"/>
        </w:r>
      </w:hyperlink>
    </w:p>
    <w:p w14:paraId="4E9F9D46" w14:textId="102989A0" w:rsidR="007537A8" w:rsidRDefault="00091FED">
      <w:pPr>
        <w:pStyle w:val="Verzeichnis4"/>
        <w:tabs>
          <w:tab w:val="right" w:leader="dot" w:pos="7361"/>
        </w:tabs>
        <w:rPr>
          <w:rFonts w:eastAsiaTheme="minorEastAsia"/>
          <w:noProof/>
          <w:sz w:val="22"/>
          <w:szCs w:val="22"/>
          <w:lang w:eastAsia="de-DE"/>
        </w:rPr>
      </w:pPr>
      <w:hyperlink w:anchor="_Toc22133309" w:history="1">
        <w:r w:rsidR="007537A8" w:rsidRPr="008D3818">
          <w:rPr>
            <w:rStyle w:val="Hyperlink"/>
            <w:noProof/>
          </w:rPr>
          <w:t>B. Begründetheit des Normenkontrollantrages</w:t>
        </w:r>
        <w:r w:rsidR="007537A8">
          <w:rPr>
            <w:noProof/>
            <w:webHidden/>
          </w:rPr>
          <w:tab/>
        </w:r>
        <w:r w:rsidR="007537A8">
          <w:rPr>
            <w:noProof/>
            <w:webHidden/>
          </w:rPr>
          <w:fldChar w:fldCharType="begin"/>
        </w:r>
        <w:r w:rsidR="007537A8">
          <w:rPr>
            <w:noProof/>
            <w:webHidden/>
          </w:rPr>
          <w:instrText xml:space="preserve"> PAGEREF _Toc22133309 \h </w:instrText>
        </w:r>
        <w:r w:rsidR="007537A8">
          <w:rPr>
            <w:noProof/>
            <w:webHidden/>
          </w:rPr>
        </w:r>
        <w:r w:rsidR="007537A8">
          <w:rPr>
            <w:noProof/>
            <w:webHidden/>
          </w:rPr>
          <w:fldChar w:fldCharType="separate"/>
        </w:r>
        <w:r w:rsidR="007537A8">
          <w:rPr>
            <w:noProof/>
            <w:webHidden/>
          </w:rPr>
          <w:t>207</w:t>
        </w:r>
        <w:r w:rsidR="007537A8">
          <w:rPr>
            <w:noProof/>
            <w:webHidden/>
          </w:rPr>
          <w:fldChar w:fldCharType="end"/>
        </w:r>
      </w:hyperlink>
    </w:p>
    <w:p w14:paraId="5C6167D6" w14:textId="15735314" w:rsidR="007537A8" w:rsidRDefault="00091FED">
      <w:pPr>
        <w:pStyle w:val="Verzeichnis5"/>
        <w:tabs>
          <w:tab w:val="right" w:leader="dot" w:pos="7361"/>
        </w:tabs>
        <w:rPr>
          <w:rFonts w:eastAsiaTheme="minorEastAsia"/>
          <w:noProof/>
          <w:sz w:val="22"/>
          <w:szCs w:val="22"/>
          <w:lang w:eastAsia="de-DE"/>
        </w:rPr>
      </w:pPr>
      <w:hyperlink w:anchor="_Toc22133310" w:history="1">
        <w:r w:rsidR="007537A8" w:rsidRPr="008D3818">
          <w:rPr>
            <w:rStyle w:val="Hyperlink"/>
            <w:noProof/>
          </w:rPr>
          <w:t>I. Richtiger Antragsgegner</w:t>
        </w:r>
        <w:r w:rsidR="007537A8">
          <w:rPr>
            <w:noProof/>
            <w:webHidden/>
          </w:rPr>
          <w:tab/>
        </w:r>
        <w:r w:rsidR="007537A8">
          <w:rPr>
            <w:noProof/>
            <w:webHidden/>
          </w:rPr>
          <w:fldChar w:fldCharType="begin"/>
        </w:r>
        <w:r w:rsidR="007537A8">
          <w:rPr>
            <w:noProof/>
            <w:webHidden/>
          </w:rPr>
          <w:instrText xml:space="preserve"> PAGEREF _Toc22133310 \h </w:instrText>
        </w:r>
        <w:r w:rsidR="007537A8">
          <w:rPr>
            <w:noProof/>
            <w:webHidden/>
          </w:rPr>
        </w:r>
        <w:r w:rsidR="007537A8">
          <w:rPr>
            <w:noProof/>
            <w:webHidden/>
          </w:rPr>
          <w:fldChar w:fldCharType="separate"/>
        </w:r>
        <w:r w:rsidR="007537A8">
          <w:rPr>
            <w:noProof/>
            <w:webHidden/>
          </w:rPr>
          <w:t>207</w:t>
        </w:r>
        <w:r w:rsidR="007537A8">
          <w:rPr>
            <w:noProof/>
            <w:webHidden/>
          </w:rPr>
          <w:fldChar w:fldCharType="end"/>
        </w:r>
      </w:hyperlink>
    </w:p>
    <w:p w14:paraId="1FD95BAE" w14:textId="7759C71B" w:rsidR="007537A8" w:rsidRDefault="00091FED">
      <w:pPr>
        <w:pStyle w:val="Verzeichnis5"/>
        <w:tabs>
          <w:tab w:val="right" w:leader="dot" w:pos="7361"/>
        </w:tabs>
        <w:rPr>
          <w:rFonts w:eastAsiaTheme="minorEastAsia"/>
          <w:noProof/>
          <w:sz w:val="22"/>
          <w:szCs w:val="22"/>
          <w:lang w:eastAsia="de-DE"/>
        </w:rPr>
      </w:pPr>
      <w:hyperlink w:anchor="_Toc22133311" w:history="1">
        <w:r w:rsidR="007537A8" w:rsidRPr="008D3818">
          <w:rPr>
            <w:rStyle w:val="Hyperlink"/>
            <w:noProof/>
          </w:rPr>
          <w:t>II. Vorbehaltsklausel (§ 47 III VwGO)</w:t>
        </w:r>
        <w:r w:rsidR="007537A8">
          <w:rPr>
            <w:noProof/>
            <w:webHidden/>
          </w:rPr>
          <w:tab/>
        </w:r>
        <w:r w:rsidR="007537A8">
          <w:rPr>
            <w:noProof/>
            <w:webHidden/>
          </w:rPr>
          <w:fldChar w:fldCharType="begin"/>
        </w:r>
        <w:r w:rsidR="007537A8">
          <w:rPr>
            <w:noProof/>
            <w:webHidden/>
          </w:rPr>
          <w:instrText xml:space="preserve"> PAGEREF _Toc22133311 \h </w:instrText>
        </w:r>
        <w:r w:rsidR="007537A8">
          <w:rPr>
            <w:noProof/>
            <w:webHidden/>
          </w:rPr>
        </w:r>
        <w:r w:rsidR="007537A8">
          <w:rPr>
            <w:noProof/>
            <w:webHidden/>
          </w:rPr>
          <w:fldChar w:fldCharType="separate"/>
        </w:r>
        <w:r w:rsidR="007537A8">
          <w:rPr>
            <w:noProof/>
            <w:webHidden/>
          </w:rPr>
          <w:t>207</w:t>
        </w:r>
        <w:r w:rsidR="007537A8">
          <w:rPr>
            <w:noProof/>
            <w:webHidden/>
          </w:rPr>
          <w:fldChar w:fldCharType="end"/>
        </w:r>
      </w:hyperlink>
    </w:p>
    <w:p w14:paraId="709EDB01" w14:textId="7795993F" w:rsidR="007537A8" w:rsidRDefault="00091FED">
      <w:pPr>
        <w:pStyle w:val="Verzeichnis5"/>
        <w:tabs>
          <w:tab w:val="right" w:leader="dot" w:pos="7361"/>
        </w:tabs>
        <w:rPr>
          <w:rFonts w:eastAsiaTheme="minorEastAsia"/>
          <w:noProof/>
          <w:sz w:val="22"/>
          <w:szCs w:val="22"/>
          <w:lang w:eastAsia="de-DE"/>
        </w:rPr>
      </w:pPr>
      <w:hyperlink w:anchor="_Toc22133312" w:history="1">
        <w:r w:rsidR="007537A8" w:rsidRPr="008D3818">
          <w:rPr>
            <w:rStyle w:val="Hyperlink"/>
            <w:noProof/>
          </w:rPr>
          <w:t>III. Rechtswidrigkeit der Änderungssatzung</w:t>
        </w:r>
        <w:r w:rsidR="007537A8">
          <w:rPr>
            <w:noProof/>
            <w:webHidden/>
          </w:rPr>
          <w:tab/>
        </w:r>
        <w:r w:rsidR="007537A8">
          <w:rPr>
            <w:noProof/>
            <w:webHidden/>
          </w:rPr>
          <w:fldChar w:fldCharType="begin"/>
        </w:r>
        <w:r w:rsidR="007537A8">
          <w:rPr>
            <w:noProof/>
            <w:webHidden/>
          </w:rPr>
          <w:instrText xml:space="preserve"> PAGEREF _Toc22133312 \h </w:instrText>
        </w:r>
        <w:r w:rsidR="007537A8">
          <w:rPr>
            <w:noProof/>
            <w:webHidden/>
          </w:rPr>
        </w:r>
        <w:r w:rsidR="007537A8">
          <w:rPr>
            <w:noProof/>
            <w:webHidden/>
          </w:rPr>
          <w:fldChar w:fldCharType="separate"/>
        </w:r>
        <w:r w:rsidR="007537A8">
          <w:rPr>
            <w:noProof/>
            <w:webHidden/>
          </w:rPr>
          <w:t>207</w:t>
        </w:r>
        <w:r w:rsidR="007537A8">
          <w:rPr>
            <w:noProof/>
            <w:webHidden/>
          </w:rPr>
          <w:fldChar w:fldCharType="end"/>
        </w:r>
      </w:hyperlink>
    </w:p>
    <w:p w14:paraId="1944A96E" w14:textId="640F491D" w:rsidR="007537A8" w:rsidRDefault="00091FED">
      <w:pPr>
        <w:pStyle w:val="Verzeichnis6"/>
        <w:tabs>
          <w:tab w:val="right" w:leader="dot" w:pos="7361"/>
        </w:tabs>
        <w:rPr>
          <w:noProof/>
          <w:sz w:val="22"/>
          <w:szCs w:val="22"/>
          <w:lang w:eastAsia="de-DE"/>
        </w:rPr>
      </w:pPr>
      <w:hyperlink w:anchor="_Toc22133313" w:history="1">
        <w:r w:rsidR="007537A8" w:rsidRPr="008D3818">
          <w:rPr>
            <w:rStyle w:val="Hyperlink"/>
            <w:noProof/>
          </w:rPr>
          <w:t>1. (Kein) Verstoß gegen die Wahlrechtsgleichheit</w:t>
        </w:r>
        <w:r w:rsidR="007537A8">
          <w:rPr>
            <w:noProof/>
            <w:webHidden/>
          </w:rPr>
          <w:tab/>
        </w:r>
        <w:r w:rsidR="007537A8">
          <w:rPr>
            <w:noProof/>
            <w:webHidden/>
          </w:rPr>
          <w:fldChar w:fldCharType="begin"/>
        </w:r>
        <w:r w:rsidR="007537A8">
          <w:rPr>
            <w:noProof/>
            <w:webHidden/>
          </w:rPr>
          <w:instrText xml:space="preserve"> PAGEREF _Toc22133313 \h </w:instrText>
        </w:r>
        <w:r w:rsidR="007537A8">
          <w:rPr>
            <w:noProof/>
            <w:webHidden/>
          </w:rPr>
        </w:r>
        <w:r w:rsidR="007537A8">
          <w:rPr>
            <w:noProof/>
            <w:webHidden/>
          </w:rPr>
          <w:fldChar w:fldCharType="separate"/>
        </w:r>
        <w:r w:rsidR="007537A8">
          <w:rPr>
            <w:noProof/>
            <w:webHidden/>
          </w:rPr>
          <w:t>208</w:t>
        </w:r>
        <w:r w:rsidR="007537A8">
          <w:rPr>
            <w:noProof/>
            <w:webHidden/>
          </w:rPr>
          <w:fldChar w:fldCharType="end"/>
        </w:r>
      </w:hyperlink>
    </w:p>
    <w:p w14:paraId="7A24A25F" w14:textId="6DC2EE18" w:rsidR="007537A8" w:rsidRDefault="00091FED">
      <w:pPr>
        <w:pStyle w:val="Verzeichnis6"/>
        <w:tabs>
          <w:tab w:val="right" w:leader="dot" w:pos="7361"/>
        </w:tabs>
        <w:rPr>
          <w:noProof/>
          <w:sz w:val="22"/>
          <w:szCs w:val="22"/>
          <w:lang w:eastAsia="de-DE"/>
        </w:rPr>
      </w:pPr>
      <w:hyperlink w:anchor="_Toc22133314" w:history="1">
        <w:r w:rsidR="007537A8" w:rsidRPr="008D3818">
          <w:rPr>
            <w:rStyle w:val="Hyperlink"/>
            <w:noProof/>
          </w:rPr>
          <w:t>2. (Kein) Verstoß gegen das Diskriminierungsverbot des Art. 3 III 1 GG („politische Anschauung“)</w:t>
        </w:r>
        <w:r w:rsidR="007537A8">
          <w:rPr>
            <w:noProof/>
            <w:webHidden/>
          </w:rPr>
          <w:tab/>
        </w:r>
        <w:r w:rsidR="007537A8">
          <w:rPr>
            <w:noProof/>
            <w:webHidden/>
          </w:rPr>
          <w:fldChar w:fldCharType="begin"/>
        </w:r>
        <w:r w:rsidR="007537A8">
          <w:rPr>
            <w:noProof/>
            <w:webHidden/>
          </w:rPr>
          <w:instrText xml:space="preserve"> PAGEREF _Toc22133314 \h </w:instrText>
        </w:r>
        <w:r w:rsidR="007537A8">
          <w:rPr>
            <w:noProof/>
            <w:webHidden/>
          </w:rPr>
        </w:r>
        <w:r w:rsidR="007537A8">
          <w:rPr>
            <w:noProof/>
            <w:webHidden/>
          </w:rPr>
          <w:fldChar w:fldCharType="separate"/>
        </w:r>
        <w:r w:rsidR="007537A8">
          <w:rPr>
            <w:noProof/>
            <w:webHidden/>
          </w:rPr>
          <w:t>208</w:t>
        </w:r>
        <w:r w:rsidR="007537A8">
          <w:rPr>
            <w:noProof/>
            <w:webHidden/>
          </w:rPr>
          <w:fldChar w:fldCharType="end"/>
        </w:r>
      </w:hyperlink>
    </w:p>
    <w:p w14:paraId="6A76064D" w14:textId="5997E5B8" w:rsidR="007537A8" w:rsidRDefault="00091FED">
      <w:pPr>
        <w:pStyle w:val="Verzeichnis6"/>
        <w:tabs>
          <w:tab w:val="right" w:leader="dot" w:pos="7361"/>
        </w:tabs>
        <w:rPr>
          <w:noProof/>
          <w:sz w:val="22"/>
          <w:szCs w:val="22"/>
          <w:lang w:eastAsia="de-DE"/>
        </w:rPr>
      </w:pPr>
      <w:hyperlink w:anchor="_Toc22133315" w:history="1">
        <w:r w:rsidR="007537A8" w:rsidRPr="008D3818">
          <w:rPr>
            <w:rStyle w:val="Hyperlink"/>
            <w:noProof/>
          </w:rPr>
          <w:t>3. Verstoß gegen den allgemeinen Gleichheitssatz (Art. 3 I i.V.m. Art. 20 III GG)</w:t>
        </w:r>
        <w:r w:rsidR="007537A8">
          <w:rPr>
            <w:noProof/>
            <w:webHidden/>
          </w:rPr>
          <w:tab/>
        </w:r>
        <w:r w:rsidR="007537A8">
          <w:rPr>
            <w:noProof/>
            <w:webHidden/>
          </w:rPr>
          <w:fldChar w:fldCharType="begin"/>
        </w:r>
        <w:r w:rsidR="007537A8">
          <w:rPr>
            <w:noProof/>
            <w:webHidden/>
          </w:rPr>
          <w:instrText xml:space="preserve"> PAGEREF _Toc22133315 \h </w:instrText>
        </w:r>
        <w:r w:rsidR="007537A8">
          <w:rPr>
            <w:noProof/>
            <w:webHidden/>
          </w:rPr>
        </w:r>
        <w:r w:rsidR="007537A8">
          <w:rPr>
            <w:noProof/>
            <w:webHidden/>
          </w:rPr>
          <w:fldChar w:fldCharType="separate"/>
        </w:r>
        <w:r w:rsidR="007537A8">
          <w:rPr>
            <w:noProof/>
            <w:webHidden/>
          </w:rPr>
          <w:t>209</w:t>
        </w:r>
        <w:r w:rsidR="007537A8">
          <w:rPr>
            <w:noProof/>
            <w:webHidden/>
          </w:rPr>
          <w:fldChar w:fldCharType="end"/>
        </w:r>
      </w:hyperlink>
    </w:p>
    <w:p w14:paraId="4CDCB879" w14:textId="63A9605D" w:rsidR="007537A8" w:rsidRDefault="00091FED">
      <w:pPr>
        <w:pStyle w:val="Verzeichnis7"/>
        <w:tabs>
          <w:tab w:val="right" w:leader="dot" w:pos="7361"/>
        </w:tabs>
        <w:rPr>
          <w:noProof/>
          <w:sz w:val="22"/>
          <w:szCs w:val="22"/>
          <w:lang w:eastAsia="de-DE"/>
        </w:rPr>
      </w:pPr>
      <w:hyperlink w:anchor="_Toc22133316" w:history="1">
        <w:r w:rsidR="007537A8" w:rsidRPr="008D3818">
          <w:rPr>
            <w:rStyle w:val="Hyperlink"/>
            <w:noProof/>
          </w:rPr>
          <w:t>a) Zweckbindung der Fraktionszuwendung</w:t>
        </w:r>
        <w:r w:rsidR="007537A8">
          <w:rPr>
            <w:noProof/>
            <w:webHidden/>
          </w:rPr>
          <w:tab/>
        </w:r>
        <w:r w:rsidR="007537A8">
          <w:rPr>
            <w:noProof/>
            <w:webHidden/>
          </w:rPr>
          <w:fldChar w:fldCharType="begin"/>
        </w:r>
        <w:r w:rsidR="007537A8">
          <w:rPr>
            <w:noProof/>
            <w:webHidden/>
          </w:rPr>
          <w:instrText xml:space="preserve"> PAGEREF _Toc22133316 \h </w:instrText>
        </w:r>
        <w:r w:rsidR="007537A8">
          <w:rPr>
            <w:noProof/>
            <w:webHidden/>
          </w:rPr>
        </w:r>
        <w:r w:rsidR="007537A8">
          <w:rPr>
            <w:noProof/>
            <w:webHidden/>
          </w:rPr>
          <w:fldChar w:fldCharType="separate"/>
        </w:r>
        <w:r w:rsidR="007537A8">
          <w:rPr>
            <w:noProof/>
            <w:webHidden/>
          </w:rPr>
          <w:t>210</w:t>
        </w:r>
        <w:r w:rsidR="007537A8">
          <w:rPr>
            <w:noProof/>
            <w:webHidden/>
          </w:rPr>
          <w:fldChar w:fldCharType="end"/>
        </w:r>
      </w:hyperlink>
    </w:p>
    <w:p w14:paraId="4A9DE780" w14:textId="378D586D" w:rsidR="007537A8" w:rsidRDefault="00091FED">
      <w:pPr>
        <w:pStyle w:val="Verzeichnis7"/>
        <w:tabs>
          <w:tab w:val="right" w:leader="dot" w:pos="7361"/>
        </w:tabs>
        <w:rPr>
          <w:noProof/>
          <w:sz w:val="22"/>
          <w:szCs w:val="22"/>
          <w:lang w:eastAsia="de-DE"/>
        </w:rPr>
      </w:pPr>
      <w:hyperlink w:anchor="_Toc22133317" w:history="1">
        <w:r w:rsidR="007537A8" w:rsidRPr="008D3818">
          <w:rPr>
            <w:rStyle w:val="Hyperlink"/>
            <w:noProof/>
          </w:rPr>
          <w:t>b) Rechtfertigung durch kollidierendes Verfassungsrecht?</w:t>
        </w:r>
        <w:r w:rsidR="007537A8">
          <w:rPr>
            <w:noProof/>
            <w:webHidden/>
          </w:rPr>
          <w:tab/>
        </w:r>
        <w:r w:rsidR="007537A8">
          <w:rPr>
            <w:noProof/>
            <w:webHidden/>
          </w:rPr>
          <w:fldChar w:fldCharType="begin"/>
        </w:r>
        <w:r w:rsidR="007537A8">
          <w:rPr>
            <w:noProof/>
            <w:webHidden/>
          </w:rPr>
          <w:instrText xml:space="preserve"> PAGEREF _Toc22133317 \h </w:instrText>
        </w:r>
        <w:r w:rsidR="007537A8">
          <w:rPr>
            <w:noProof/>
            <w:webHidden/>
          </w:rPr>
        </w:r>
        <w:r w:rsidR="007537A8">
          <w:rPr>
            <w:noProof/>
            <w:webHidden/>
          </w:rPr>
          <w:fldChar w:fldCharType="separate"/>
        </w:r>
        <w:r w:rsidR="007537A8">
          <w:rPr>
            <w:noProof/>
            <w:webHidden/>
          </w:rPr>
          <w:t>210</w:t>
        </w:r>
        <w:r w:rsidR="007537A8">
          <w:rPr>
            <w:noProof/>
            <w:webHidden/>
          </w:rPr>
          <w:fldChar w:fldCharType="end"/>
        </w:r>
      </w:hyperlink>
    </w:p>
    <w:p w14:paraId="26C708C5" w14:textId="1FC21A00" w:rsidR="007537A8" w:rsidRDefault="00091FED">
      <w:pPr>
        <w:pStyle w:val="Verzeichnis8"/>
        <w:tabs>
          <w:tab w:val="right" w:leader="dot" w:pos="7361"/>
        </w:tabs>
        <w:rPr>
          <w:noProof/>
          <w:sz w:val="22"/>
          <w:szCs w:val="22"/>
          <w:lang w:eastAsia="de-DE"/>
        </w:rPr>
      </w:pPr>
      <w:hyperlink w:anchor="_Toc22133318" w:history="1">
        <w:r w:rsidR="007537A8" w:rsidRPr="008D3818">
          <w:rPr>
            <w:rStyle w:val="Hyperlink"/>
            <w:noProof/>
          </w:rPr>
          <w:t>aa) „Parteienprivileg“ des Art. 21 III, IV GG</w:t>
        </w:r>
        <w:r w:rsidR="007537A8">
          <w:rPr>
            <w:noProof/>
            <w:webHidden/>
          </w:rPr>
          <w:tab/>
        </w:r>
        <w:r w:rsidR="007537A8">
          <w:rPr>
            <w:noProof/>
            <w:webHidden/>
          </w:rPr>
          <w:fldChar w:fldCharType="begin"/>
        </w:r>
        <w:r w:rsidR="007537A8">
          <w:rPr>
            <w:noProof/>
            <w:webHidden/>
          </w:rPr>
          <w:instrText xml:space="preserve"> PAGEREF _Toc22133318 \h </w:instrText>
        </w:r>
        <w:r w:rsidR="007537A8">
          <w:rPr>
            <w:noProof/>
            <w:webHidden/>
          </w:rPr>
        </w:r>
        <w:r w:rsidR="007537A8">
          <w:rPr>
            <w:noProof/>
            <w:webHidden/>
          </w:rPr>
          <w:fldChar w:fldCharType="separate"/>
        </w:r>
        <w:r w:rsidR="007537A8">
          <w:rPr>
            <w:noProof/>
            <w:webHidden/>
          </w:rPr>
          <w:t>211</w:t>
        </w:r>
        <w:r w:rsidR="007537A8">
          <w:rPr>
            <w:noProof/>
            <w:webHidden/>
          </w:rPr>
          <w:fldChar w:fldCharType="end"/>
        </w:r>
      </w:hyperlink>
    </w:p>
    <w:p w14:paraId="3CA83D4A" w14:textId="003868BC" w:rsidR="007537A8" w:rsidRDefault="00091FED">
      <w:pPr>
        <w:pStyle w:val="Verzeichnis8"/>
        <w:tabs>
          <w:tab w:val="right" w:leader="dot" w:pos="7361"/>
        </w:tabs>
        <w:rPr>
          <w:noProof/>
          <w:sz w:val="22"/>
          <w:szCs w:val="22"/>
          <w:lang w:eastAsia="de-DE"/>
        </w:rPr>
      </w:pPr>
      <w:hyperlink w:anchor="_Toc22133319" w:history="1">
        <w:r w:rsidR="007537A8" w:rsidRPr="008D3818">
          <w:rPr>
            <w:rStyle w:val="Hyperlink"/>
            <w:noProof/>
          </w:rPr>
          <w:t>bb) Gleichsetzung von Parteien- und Fraktionsfinanzierung?</w:t>
        </w:r>
        <w:r w:rsidR="007537A8">
          <w:rPr>
            <w:noProof/>
            <w:webHidden/>
          </w:rPr>
          <w:tab/>
        </w:r>
        <w:r w:rsidR="007537A8">
          <w:rPr>
            <w:noProof/>
            <w:webHidden/>
          </w:rPr>
          <w:fldChar w:fldCharType="begin"/>
        </w:r>
        <w:r w:rsidR="007537A8">
          <w:rPr>
            <w:noProof/>
            <w:webHidden/>
          </w:rPr>
          <w:instrText xml:space="preserve"> PAGEREF _Toc22133319 \h </w:instrText>
        </w:r>
        <w:r w:rsidR="007537A8">
          <w:rPr>
            <w:noProof/>
            <w:webHidden/>
          </w:rPr>
        </w:r>
        <w:r w:rsidR="007537A8">
          <w:rPr>
            <w:noProof/>
            <w:webHidden/>
          </w:rPr>
          <w:fldChar w:fldCharType="separate"/>
        </w:r>
        <w:r w:rsidR="007537A8">
          <w:rPr>
            <w:noProof/>
            <w:webHidden/>
          </w:rPr>
          <w:t>213</w:t>
        </w:r>
        <w:r w:rsidR="007537A8">
          <w:rPr>
            <w:noProof/>
            <w:webHidden/>
          </w:rPr>
          <w:fldChar w:fldCharType="end"/>
        </w:r>
      </w:hyperlink>
    </w:p>
    <w:p w14:paraId="1D4423EA" w14:textId="59D954C9" w:rsidR="007537A8" w:rsidRDefault="00091FED">
      <w:pPr>
        <w:pStyle w:val="Verzeichnis4"/>
        <w:tabs>
          <w:tab w:val="right" w:leader="dot" w:pos="7361"/>
        </w:tabs>
        <w:rPr>
          <w:rFonts w:eastAsiaTheme="minorEastAsia"/>
          <w:noProof/>
          <w:sz w:val="22"/>
          <w:szCs w:val="22"/>
          <w:lang w:eastAsia="de-DE"/>
        </w:rPr>
      </w:pPr>
      <w:hyperlink w:anchor="_Toc22133320" w:history="1">
        <w:r w:rsidR="007537A8" w:rsidRPr="008D3818">
          <w:rPr>
            <w:rStyle w:val="Hyperlink"/>
            <w:noProof/>
          </w:rPr>
          <w:t>C. Ergebnis</w:t>
        </w:r>
        <w:r w:rsidR="007537A8">
          <w:rPr>
            <w:noProof/>
            <w:webHidden/>
          </w:rPr>
          <w:tab/>
        </w:r>
        <w:r w:rsidR="007537A8">
          <w:rPr>
            <w:noProof/>
            <w:webHidden/>
          </w:rPr>
          <w:fldChar w:fldCharType="begin"/>
        </w:r>
        <w:r w:rsidR="007537A8">
          <w:rPr>
            <w:noProof/>
            <w:webHidden/>
          </w:rPr>
          <w:instrText xml:space="preserve"> PAGEREF _Toc22133320 \h </w:instrText>
        </w:r>
        <w:r w:rsidR="007537A8">
          <w:rPr>
            <w:noProof/>
            <w:webHidden/>
          </w:rPr>
        </w:r>
        <w:r w:rsidR="007537A8">
          <w:rPr>
            <w:noProof/>
            <w:webHidden/>
          </w:rPr>
          <w:fldChar w:fldCharType="separate"/>
        </w:r>
        <w:r w:rsidR="007537A8">
          <w:rPr>
            <w:noProof/>
            <w:webHidden/>
          </w:rPr>
          <w:t>215</w:t>
        </w:r>
        <w:r w:rsidR="007537A8">
          <w:rPr>
            <w:noProof/>
            <w:webHidden/>
          </w:rPr>
          <w:fldChar w:fldCharType="end"/>
        </w:r>
      </w:hyperlink>
    </w:p>
    <w:p w14:paraId="008C3132" w14:textId="5A228E4A" w:rsidR="0001383E" w:rsidRDefault="000434BF" w:rsidP="00261442">
      <w:pPr>
        <w:rPr>
          <w:rFonts w:ascii="Calibri" w:eastAsiaTheme="majorEastAsia" w:hAnsi="Calibri" w:cstheme="majorBidi"/>
          <w:sz w:val="26"/>
          <w:szCs w:val="26"/>
        </w:rPr>
      </w:pPr>
      <w:r>
        <w:rPr>
          <w:rFonts w:eastAsiaTheme="majorEastAsia"/>
        </w:rPr>
        <w:fldChar w:fldCharType="end"/>
      </w:r>
      <w:r w:rsidR="0001383E">
        <w:br w:type="page"/>
      </w:r>
    </w:p>
    <w:p w14:paraId="5CE7D073" w14:textId="6D26B21F" w:rsidR="00F75EC6" w:rsidRPr="00252B37" w:rsidRDefault="00F75EC6" w:rsidP="0001383E">
      <w:pPr>
        <w:pStyle w:val="berschrift3"/>
      </w:pPr>
      <w:bookmarkStart w:id="503" w:name="_Toc22133298"/>
      <w:bookmarkStart w:id="504" w:name="Fall13"/>
      <w:r w:rsidRPr="00252B37">
        <w:t>Lösungsvorschlag</w:t>
      </w:r>
      <w:bookmarkEnd w:id="503"/>
    </w:p>
    <w:p w14:paraId="4434A385" w14:textId="773A6587" w:rsidR="00F75EC6" w:rsidRPr="00F75EC6" w:rsidRDefault="008C1818" w:rsidP="00F75EC6">
      <w:pPr>
        <w:rPr>
          <w:i/>
        </w:rPr>
      </w:pPr>
      <w:r>
        <w:rPr>
          <w:i/>
        </w:rPr>
        <w:t>Lösungsh</w:t>
      </w:r>
      <w:r w:rsidR="00F75EC6" w:rsidRPr="00F75EC6">
        <w:rPr>
          <w:i/>
        </w:rPr>
        <w:t>inweis: Die nachfolgenden unverbindlichen Hinweise zur Lösung behandeln die nach Auffassung des Erstellers maßgeblichen Probleme der Aufgabe. Sie stellen keine „Musterlösung“ dar und schließen andere vertretbare, folgerichtig begründete Ansichten selbstverständlich nicht aus. Der Inhalt und der Umfang der Lösungshinweise, die Ausführlichkeit und die Detailgenauigkeit der Darlegungen sowie die wiedergegebene Rechtsprechung und Literatur gehen mitunter über das hinaus, was man den Bearbeitern – auch im Referendarexamen – abverlangen kann.</w:t>
      </w:r>
    </w:p>
    <w:p w14:paraId="1D3CA2B0" w14:textId="77777777" w:rsidR="00A512B6" w:rsidRDefault="00A512B6" w:rsidP="00A512B6">
      <w:pPr>
        <w:pStyle w:val="Randnummer"/>
        <w:framePr w:wrap="around"/>
      </w:pPr>
    </w:p>
    <w:p w14:paraId="3271FF28" w14:textId="77777777" w:rsidR="00F75EC6" w:rsidRPr="00F75EC6" w:rsidRDefault="00F75EC6" w:rsidP="00F75EC6">
      <w:r w:rsidRPr="00F75EC6">
        <w:t>Die Anträge des A sowie der N-Fraktion, jeweils vertreten durch Rechtsanwalt R, haben Erfolg, wenn sie zulässig und begründet sind.</w:t>
      </w:r>
    </w:p>
    <w:p w14:paraId="5A567334" w14:textId="77777777" w:rsidR="00F75EC6" w:rsidRPr="00635C3A" w:rsidRDefault="00F75EC6" w:rsidP="005B6EF7">
      <w:pPr>
        <w:pStyle w:val="berschrift4"/>
      </w:pPr>
      <w:bookmarkStart w:id="505" w:name="_Toc22133299"/>
      <w:r w:rsidRPr="00635C3A">
        <w:t>A. Zulässigkeit der Normenkontrollanträge</w:t>
      </w:r>
      <w:bookmarkEnd w:id="505"/>
    </w:p>
    <w:p w14:paraId="3F5F4EC9" w14:textId="77777777" w:rsidR="00F75EC6" w:rsidRPr="00F75EC6" w:rsidRDefault="00F75EC6" w:rsidP="00F75EC6">
      <w:pPr>
        <w:pStyle w:val="Randnummer"/>
        <w:framePr w:wrap="around"/>
      </w:pPr>
    </w:p>
    <w:p w14:paraId="418E6B48" w14:textId="77777777" w:rsidR="00F75EC6" w:rsidRPr="00F75EC6" w:rsidRDefault="00F75EC6" w:rsidP="00F75EC6">
      <w:r w:rsidRPr="00F75EC6">
        <w:t>Die Anträge müssten zunächst zulässig sein.</w:t>
      </w:r>
    </w:p>
    <w:p w14:paraId="0FB67762" w14:textId="77777777" w:rsidR="00F75EC6" w:rsidRPr="00635C3A" w:rsidRDefault="00F75EC6" w:rsidP="005B6EF7">
      <w:pPr>
        <w:pStyle w:val="berschrift5"/>
      </w:pPr>
      <w:bookmarkStart w:id="506" w:name="_Toc22133300"/>
      <w:r w:rsidRPr="00635C3A">
        <w:t>I. Eröffnung des Verwaltungsrechtswegs – „im Rahmen seiner Gerichtsbarkeit“</w:t>
      </w:r>
      <w:bookmarkEnd w:id="506"/>
    </w:p>
    <w:p w14:paraId="6B62F0D7" w14:textId="77777777" w:rsidR="00F75EC6" w:rsidRPr="00F75EC6" w:rsidRDefault="00F75EC6" w:rsidP="00F75EC6">
      <w:pPr>
        <w:pStyle w:val="Randnummer"/>
        <w:framePr w:wrap="around"/>
      </w:pPr>
    </w:p>
    <w:p w14:paraId="660EB65A" w14:textId="2775372E" w:rsidR="00F75EC6" w:rsidRPr="00F75EC6" w:rsidRDefault="00F75EC6" w:rsidP="00F75EC6">
      <w:r w:rsidRPr="00F75EC6">
        <w:t>Das OVG entscheidet gem. § 47 I VwGO nur „im Rahmen seiner Gerichtsbarkeit“. Demnach muss es sich um ein Verfahren handeln, für das der Verwaltungsrechtsweg i.S.d. § 40 VwGO eröffnet ist. Maßgeblich ist, ob sich aus der Anwendung bzw. dem Vollzug der angegriffenen Rechtsvorschrift Streitigkeiten ergeben können, für die der Verwaltungsrechtsweg gegeben ist.</w:t>
      </w:r>
      <w:r w:rsidR="00053A01">
        <w:rPr>
          <w:rStyle w:val="Funotenzeichen"/>
        </w:rPr>
        <w:footnoteReference w:id="430"/>
      </w:r>
      <w:r w:rsidRPr="00F75EC6">
        <w:t xml:space="preserve"> Die Regelung des § 5 III 4 der Entschädigungssatzung ist eine öffentlich-rechtliche Norm, deren Vollzug nicht anderen Gerichtsbarkeiten unterworfen ist.</w:t>
      </w:r>
      <w:r w:rsidRPr="00F75EC6">
        <w:rPr>
          <w:vertAlign w:val="superscript"/>
        </w:rPr>
        <w:footnoteReference w:id="431"/>
      </w:r>
      <w:r w:rsidRPr="00F75EC6">
        <w:t xml:space="preserve"> Obgleich hier Organe der Kommunalverfassung streiten,</w:t>
      </w:r>
      <w:r w:rsidRPr="00F75EC6">
        <w:rPr>
          <w:vertAlign w:val="superscript"/>
        </w:rPr>
        <w:footnoteReference w:id="432"/>
      </w:r>
      <w:r w:rsidRPr="00F75EC6">
        <w:t xml:space="preserve"> handelt es sich nicht um eine Streitigkeit verfassungsrechtlicher Art. Insoweit fehlt es an der sog. doppelten Verfassungsunmittelbarkeit, die gem. § 40 I 1 VwGO den Verwaltungsrechtsweg sperren würde:</w:t>
      </w:r>
      <w:r w:rsidRPr="00F75EC6">
        <w:rPr>
          <w:vertAlign w:val="superscript"/>
        </w:rPr>
        <w:footnoteReference w:id="433"/>
      </w:r>
      <w:r w:rsidRPr="00F75EC6">
        <w:t xml:space="preserve"> Die Beteiligten eines Kommunalverfassungsstreits sind schon keine Verfassungsorgane oder -organteile. Überdies streiten sie auch nicht über verfassungsrechtliche Rechte und/oder Pflichten.</w:t>
      </w:r>
      <w:r w:rsidRPr="00F75EC6">
        <w:rPr>
          <w:vertAlign w:val="superscript"/>
        </w:rPr>
        <w:footnoteReference w:id="434"/>
      </w:r>
    </w:p>
    <w:p w14:paraId="5D768D09" w14:textId="77777777" w:rsidR="00F75EC6" w:rsidRPr="00F75EC6" w:rsidRDefault="00F75EC6" w:rsidP="00F75EC6">
      <w:r w:rsidRPr="00F75EC6">
        <w:t>Das OVG entscheidet hier mithin im Rahmen seiner Gerichtsbarkeit.</w:t>
      </w:r>
    </w:p>
    <w:p w14:paraId="280D7327" w14:textId="77777777" w:rsidR="00F75EC6" w:rsidRPr="00635C3A" w:rsidRDefault="00F75EC6" w:rsidP="005B6EF7">
      <w:pPr>
        <w:pStyle w:val="berschrift5"/>
      </w:pPr>
      <w:bookmarkStart w:id="507" w:name="_Toc22133301"/>
      <w:r w:rsidRPr="00635C3A">
        <w:t>II. Statthaftigkeit, Antragsgegenstand</w:t>
      </w:r>
      <w:bookmarkEnd w:id="507"/>
    </w:p>
    <w:p w14:paraId="4DBE6802" w14:textId="77777777" w:rsidR="00F75EC6" w:rsidRPr="00F75EC6" w:rsidRDefault="00F75EC6" w:rsidP="00F75EC6">
      <w:pPr>
        <w:pStyle w:val="Randnummer"/>
        <w:framePr w:wrap="around"/>
      </w:pPr>
    </w:p>
    <w:p w14:paraId="270773B0" w14:textId="3F7AFC54" w:rsidR="00F75EC6" w:rsidRPr="00F75EC6" w:rsidRDefault="00F75EC6" w:rsidP="00F75EC6">
      <w:r w:rsidRPr="00F75EC6">
        <w:t>Die Anträge müssten statthaft sein. Auf welchen Gegenstand die Anträge abzielen, richtet sich nach den Antragsbegehren (vgl. § 88 VwGO [ggf. i.V.m. § 122 I VwGO]). Sowohl A als auch die N-Fraktion wenden sich gegen die Änderung der gemeindlichen Entschädigungssatzung vom 2</w:t>
      </w:r>
      <w:r w:rsidR="0010010B">
        <w:t>4</w:t>
      </w:r>
      <w:r w:rsidRPr="00F75EC6">
        <w:t>.1.2019, die am 1.2.2019 in Kraft getreten ist. Demnach könnte die verwaltungsgerichtliche Normenkontrolle (§ 47 VwGO) statthaft sein.</w:t>
      </w:r>
    </w:p>
    <w:p w14:paraId="63EDFC94" w14:textId="065AA609" w:rsidR="00F75EC6" w:rsidRPr="00F75EC6" w:rsidRDefault="00F75EC6" w:rsidP="00F75EC6">
      <w:r w:rsidRPr="00F75EC6">
        <w:t>Statthafter Antragsgegenstand eines Normenkontrollverfahrens ist u.a. eine bereits erlassene,</w:t>
      </w:r>
      <w:r w:rsidRPr="00F75EC6">
        <w:rPr>
          <w:vertAlign w:val="superscript"/>
        </w:rPr>
        <w:footnoteReference w:id="435"/>
      </w:r>
      <w:r w:rsidRPr="00F75EC6">
        <w:t xml:space="preserve"> im Rang unter dem Landesgesetz stehende Rechtsvorschrift, sofern das Landesrecht dies bestimmt (§ 47 I Nr. 2 VwGO). Die Antragsteller wenden sich vorliegend gegen die am 2</w:t>
      </w:r>
      <w:r w:rsidR="0010010B">
        <w:t>4</w:t>
      </w:r>
      <w:r w:rsidRPr="00F75EC6">
        <w:t xml:space="preserve">.1.2019 beschlossene Änderung der Entschädigungssatzung der Stadt S. </w:t>
      </w:r>
    </w:p>
    <w:p w14:paraId="3BFFAB35" w14:textId="36EC5D27" w:rsidR="00F75EC6" w:rsidRPr="00F75EC6" w:rsidRDefault="00F75EC6" w:rsidP="00F75EC6">
      <w:r w:rsidRPr="00F75EC6">
        <w:t>Die angegriffene Vorschrift des § 5 III 4 der Entschädigungssatzung regelt finanzielle Zuwendungen der Gemeinde an die Fraktionen ihres Vertretungsorgans (interkommunalverfassungsrechtlicher Streit). Es handelt sich mithin um eine Norm, die dem staatlichen „Binnenrecht“ zuzuordnen ist. Dabei ist fraglich, ob diese Binnenrechtsvorschrift zum Gegenstand einer Normenkontrolle gemacht werden kann oder ob ihr die für eine Rechtsvorschrift charakteristische Außenwirkung fehlt. Indes ist die verwaltungsgerichtliche Normenkontrolle nicht nur bei Rechtssätzen im formellen und materiellen Sinne statthaft. Um die Prozessökonomie zu fördern, den Rechtsschutz zu beschleunigen und die Verwaltungsgerichte zu entlasten, ist sie darüber hinaus – in analoger Anwendung des § 47 I VwGO – ebenso auf Binnenrecht zu erstrecken. Zu den unter dem Landesgesetz stehenden Rechtsvorschriften i.S.d. § 47 I Nr. 2 VwGO zählen mithin auch solche untergesetzliche Regelungen, die organschaftliche Rechte der Gemeindevertretung nebst ihrer Untergliederungen (</w:t>
      </w:r>
      <w:r w:rsidR="00163CBE">
        <w:t>z.B.</w:t>
      </w:r>
      <w:r w:rsidRPr="00F75EC6">
        <w:t xml:space="preserve"> Fraktionen) verbürgen.</w:t>
      </w:r>
    </w:p>
    <w:p w14:paraId="5A57EA3E" w14:textId="77777777" w:rsidR="00F75EC6" w:rsidRPr="00F75EC6" w:rsidRDefault="00F75EC6" w:rsidP="00F75EC6">
      <w:r w:rsidRPr="00F75EC6">
        <w:t>Hieran gemessen ist der auf der gesetzlichen Grundlage des § 36a IV 1 i.V.m. § 5 I 1 HGO erlassene § 5 III 4 der Entschädigungssatzung eine untergesetzliche, landesrechtliche Vorschrift, deren Gültigkeit nach § 47 I Nr. 2 VwGO i.V.m. § 15 AGVwGO</w:t>
      </w:r>
      <w:r w:rsidRPr="00F75EC6">
        <w:rPr>
          <w:vertAlign w:val="superscript"/>
        </w:rPr>
        <w:footnoteReference w:id="436"/>
      </w:r>
      <w:r w:rsidRPr="00F75EC6">
        <w:t xml:space="preserve"> von dem OVG überprüft werden kann.</w:t>
      </w:r>
    </w:p>
    <w:p w14:paraId="79C22C21" w14:textId="77777777" w:rsidR="00F75EC6" w:rsidRPr="00635C3A" w:rsidRDefault="00F75EC6" w:rsidP="005B6EF7">
      <w:pPr>
        <w:pStyle w:val="berschrift5"/>
      </w:pPr>
      <w:bookmarkStart w:id="508" w:name="_Toc22133302"/>
      <w:r w:rsidRPr="00635C3A">
        <w:t>III. Antragsberechtigung</w:t>
      </w:r>
      <w:bookmarkEnd w:id="508"/>
    </w:p>
    <w:p w14:paraId="2A952639" w14:textId="77777777" w:rsidR="00F75EC6" w:rsidRPr="00F75EC6" w:rsidRDefault="00F75EC6" w:rsidP="00F75EC6">
      <w:pPr>
        <w:pStyle w:val="Randnummer"/>
        <w:framePr w:wrap="around"/>
      </w:pPr>
    </w:p>
    <w:p w14:paraId="2923E580" w14:textId="77777777" w:rsidR="00F75EC6" w:rsidRPr="00F75EC6" w:rsidRDefault="00F75EC6" w:rsidP="00F75EC6">
      <w:r w:rsidRPr="00F75EC6">
        <w:t xml:space="preserve">A ist als natürliche Person ohne weiteres antragsberechtigt (§ 47 II 1 VwGO). </w:t>
      </w:r>
    </w:p>
    <w:p w14:paraId="61282E8C" w14:textId="77777777" w:rsidR="00F75EC6" w:rsidRPr="00F75EC6" w:rsidRDefault="00F75EC6" w:rsidP="00F75EC6">
      <w:r w:rsidRPr="00F75EC6">
        <w:t>Fraglich ist, ob das ebenso für die N-Fraktion gilt. Nach dem Wortlaut des § 47 II 1 VwGO können den Antrag namentlich nur eine „natürliche“ oder „juristische Person“ sowie eine „Behörde“ stellen. Anders als § 61 Nr. 2 VwGO erklärt § 47 VwGO Vereinigungen, soweit ihnen ein Recht zustehen kann, nicht ausdrücklich für antragsberechtigt. Wortlaut und Systematik sprechen daher an sich gegen eine Antragsberechtigung der N-Fraktion. Gleichwohl ist anerkannt, dass auch derartige Vereinigungen einen Normenkontrollantrag stellen können.</w:t>
      </w:r>
      <w:r w:rsidRPr="00F75EC6">
        <w:rPr>
          <w:vertAlign w:val="superscript"/>
        </w:rPr>
        <w:footnoteReference w:id="437"/>
      </w:r>
      <w:r w:rsidRPr="00F75EC6">
        <w:t xml:space="preserve"> Dafür streitet insbesondere die Bündelungsfunktion des § 47 VwGO, wonach die Normenkontrolle geeignet ist, zahlreichen Einzelprozessen vorzubeugen.</w:t>
      </w:r>
      <w:r w:rsidRPr="00F75EC6">
        <w:rPr>
          <w:vertAlign w:val="superscript"/>
        </w:rPr>
        <w:footnoteReference w:id="438"/>
      </w:r>
      <w:r w:rsidRPr="00F75EC6">
        <w:t xml:space="preserve"> Liegt der Normenkontrolle – wie hier – ein Kommunalverfassungsstreit zugrunde, ist nach dem Sinn und Zweck des § 47 VwGO auch ein Kollegialorgan wie eine Fraktion</w:t>
      </w:r>
      <w:r w:rsidRPr="00F75EC6">
        <w:rPr>
          <w:vertAlign w:val="superscript"/>
        </w:rPr>
        <w:footnoteReference w:id="439"/>
      </w:r>
      <w:r w:rsidRPr="00F75EC6">
        <w:t xml:space="preserve"> (vgl. § 36a HGO) der Gemeindevertretung antragsberechtigt. Mithin ist auch die N-Fraktion berechtigt, einen Antrag zu stellen.</w:t>
      </w:r>
    </w:p>
    <w:p w14:paraId="5D8EA2E6" w14:textId="77777777" w:rsidR="00F75EC6" w:rsidRPr="00635C3A" w:rsidRDefault="00F75EC6" w:rsidP="005B6EF7">
      <w:pPr>
        <w:pStyle w:val="berschrift5"/>
      </w:pPr>
      <w:bookmarkStart w:id="509" w:name="_Toc22133303"/>
      <w:r w:rsidRPr="00635C3A">
        <w:t>IV. Antragsbefugnis</w:t>
      </w:r>
      <w:bookmarkEnd w:id="509"/>
    </w:p>
    <w:p w14:paraId="7949AA3F" w14:textId="77777777" w:rsidR="00F75EC6" w:rsidRPr="00F75EC6" w:rsidRDefault="00F75EC6" w:rsidP="00F75EC6">
      <w:pPr>
        <w:pStyle w:val="Randnummer"/>
        <w:framePr w:wrap="around"/>
      </w:pPr>
    </w:p>
    <w:p w14:paraId="440C3CED" w14:textId="77777777" w:rsidR="00F75EC6" w:rsidRPr="00F75EC6" w:rsidRDefault="00F75EC6" w:rsidP="00F75EC6">
      <w:r w:rsidRPr="00F75EC6">
        <w:t xml:space="preserve">Problematisch ist, ob der A sowie die N-Fraktion jeweils antragsbefugt sind. Nach § 47 II 1 Alt. 1 VwGO müssen sie geltend machen können, durch die Rechtsvorschrift oder deren Anwendung in ihren Rechten verletzt zu sein oder in absehbarer Zeit verletzt zu werden. </w:t>
      </w:r>
    </w:p>
    <w:p w14:paraId="248A351A" w14:textId="77777777" w:rsidR="00F75EC6" w:rsidRPr="00F75EC6" w:rsidRDefault="00F75EC6" w:rsidP="00F75EC6">
      <w:r w:rsidRPr="00F75EC6">
        <w:t>An die Geltendmachung einer Rechtsverletzung nach § 47 II 1 VwGO sind grundsätzlich keine höheren Anforderungen zu stellen als nach § 42 II VwGO. Erforderlich – aber auch ausreichend – ist, dass der Antragsteller hinreichend substantiiert Tatsachen vorträgt, die eine Verletzung in eigenen Rechten zumindest als möglich erscheinen lassen (sog. Möglichkeitstheorie</w:t>
      </w:r>
      <w:r w:rsidRPr="00F75EC6">
        <w:rPr>
          <w:vertAlign w:val="superscript"/>
        </w:rPr>
        <w:footnoteReference w:id="440"/>
      </w:r>
      <w:r w:rsidRPr="00F75EC6">
        <w:t>).</w:t>
      </w:r>
    </w:p>
    <w:p w14:paraId="6523FA96" w14:textId="77777777" w:rsidR="00F75EC6" w:rsidRPr="00F75EC6" w:rsidRDefault="00F75EC6" w:rsidP="00F75EC6">
      <w:r w:rsidRPr="00F75EC6">
        <w:t>§ 47 II 1 VwGO setzt bei kommunalverfassungsrechtlichen Normenkontrollen voraus, dass die angegriffene Vorschrift organschaftliche Rechte des Antragstellers zum Gegenstand hat und entweder schon durch ihre Regelungswirkung oder jedenfalls mit ihrem Vollzug in diese Rechte eingreift. Soweit ein normativer Eingriff in Rechte eines Organs oder Organteils in Rede steht, muss sich der Anwendungsbereich der Regelung auf das jeweilige Organ oder Organteil erstrecken. Im Rahmen des § 47 II 1 VwGO können insoweit „nur“ sog. organschaftliche Rechte geltend gemacht werden.</w:t>
      </w:r>
    </w:p>
    <w:p w14:paraId="30514C05" w14:textId="77777777" w:rsidR="00F75EC6" w:rsidRPr="00F75EC6" w:rsidRDefault="00F75EC6" w:rsidP="00F75EC6">
      <w:r w:rsidRPr="00F75EC6">
        <w:t>Die N-Fraktion ist eine teilrechtsfähige Untergliederung der Gemeindevertretung. Es erscheint vorliegend nicht offensichtlich und eindeutig nach jeder Betrachtungsweise ausgeschlossen, dass die N-Fraktion in ihrem Recht auf gleichberechtigte Teilhabe an den Mitteln für Fraktionszuwendungen (§ 36a IV HGO i.V.m. Art. 3 I GG) verletzt ist oder zumindest droht, in absehbarer Zeit verletzt zu werden. Im Übrigen hat die Stadt S nach dem Sachverhalt die Zahlungen an die N-Fraktion infolge der Satzungsänderung auch tatsächlich eingestellt.</w:t>
      </w:r>
    </w:p>
    <w:p w14:paraId="39DE3B80" w14:textId="77777777" w:rsidR="00F75EC6" w:rsidRPr="00F75EC6" w:rsidRDefault="00F75EC6" w:rsidP="00F75EC6">
      <w:r w:rsidRPr="00F75EC6">
        <w:t>Anders könnte es sich bei A verhalten.</w:t>
      </w:r>
    </w:p>
    <w:p w14:paraId="1D9D759E" w14:textId="77777777" w:rsidR="00F75EC6" w:rsidRPr="00F75EC6" w:rsidRDefault="00F75EC6" w:rsidP="00F75EC6">
      <w:r w:rsidRPr="00F75EC6">
        <w:t>Die Ermächtigung, auf der die Änderungssatzung gründet, adressiert nach dem eindeutigen Wortlaut nur Fraktionen (§ 36a IV 1 HGO). Es sind die Fraktionen, die diese Mittel in einer besonderen Anlage zu ihrem Haushaltsplan auszuweisen haben (§ 36a IV 2 HGO). Nach Wortlaut und Systematik begründet § 36a IV HGO nur Rechte der Fraktionen und nicht – auch – der Fraktionsmitglieder. Ebenso wie Fraktionen nicht Rechte ihrer Mitglieder geltend machen können,</w:t>
      </w:r>
      <w:r w:rsidRPr="00F75EC6">
        <w:rPr>
          <w:vertAlign w:val="superscript"/>
        </w:rPr>
        <w:footnoteReference w:id="441"/>
      </w:r>
      <w:r w:rsidRPr="00F75EC6">
        <w:t xml:space="preserve"> können – umgekehrt – Mitglieder auch nicht Rechte ihrer Fraktionen geltend machen.</w:t>
      </w:r>
      <w:r w:rsidRPr="00F75EC6">
        <w:rPr>
          <w:vertAlign w:val="superscript"/>
        </w:rPr>
        <w:footnoteReference w:id="442"/>
      </w:r>
    </w:p>
    <w:p w14:paraId="3CB5F941" w14:textId="77777777" w:rsidR="00F75EC6" w:rsidRPr="00F75EC6" w:rsidRDefault="00F75EC6" w:rsidP="00F75EC6">
      <w:r w:rsidRPr="00F75EC6">
        <w:t>A macht ferner geltend, der Ausschluss seiner Fraktion von Zuwendungen könne nachteilige Folgen für die freie Mandatsausübung und die Mandatsgleichheit der Fraktionsmitglieder (vgl. Art. 28 I 2 GG) zeitigen. Indes begründet die (mögliche) Rechtsverletzung nach dem Wortlaut des § 47 II 1 VwGO nur dann die Antragsbefugnis, wenn sie „durch“ die angegriffene Vorschrift selbst oder deren „Anwendung“ erfolgt. Die Rechtsverletzung muss hiernach auf die angegriffene Vorschrift zurückgehen und sich ihr zuordnen lassen (Kausalität).</w:t>
      </w:r>
    </w:p>
    <w:p w14:paraId="2C27F7B3" w14:textId="77777777" w:rsidR="00F75EC6" w:rsidRPr="00F75EC6" w:rsidRDefault="00F75EC6" w:rsidP="00F75EC6">
      <w:r w:rsidRPr="00F75EC6">
        <w:t>Die Regelung des § 5 III 4 der Entschädigungssatzung beschneidet möglicherweise „nur“ die Rechte der N-Fraktion unmittelbar. Der Ausschluss von Fraktionszuwendungen greift nicht auf das Mandat der „hinter“ der Fraktion stehenden Gemeindevertreter durch. Die möglichen Nachteile erschöpfen sich vielmehr in „bloß“ mittelbaren, faktischen Beeinträchtigungen. Sie können daher keine Antragsbefugnis i.S.d. § 47 II 1 VwGO vermitteln.</w:t>
      </w:r>
    </w:p>
    <w:p w14:paraId="145653A4" w14:textId="77777777" w:rsidR="00F75EC6" w:rsidRPr="00F75EC6" w:rsidRDefault="00F75EC6" w:rsidP="00F75EC6">
      <w:r w:rsidRPr="00F75EC6">
        <w:t>Somit kann A weder als Fraktionsmitglied noch als Mandatsträger geltend machen, durch § 5 III 4 der Entschädigungssatzung oder seine Anwendung in eigenen organschaftlichen Rechten verletzt zu sein oder in absehbarer Zeit verletzt zu werden.</w:t>
      </w:r>
    </w:p>
    <w:p w14:paraId="4ED3643D" w14:textId="77777777" w:rsidR="00F75EC6" w:rsidRPr="00F75EC6" w:rsidRDefault="00F75EC6" w:rsidP="00F75EC6">
      <w:r w:rsidRPr="00F75EC6">
        <w:t>Sein Antrag ist als unzulässig abzulehnen.</w:t>
      </w:r>
      <w:r w:rsidRPr="00F75EC6">
        <w:rPr>
          <w:vertAlign w:val="superscript"/>
        </w:rPr>
        <w:footnoteReference w:id="443"/>
      </w:r>
    </w:p>
    <w:p w14:paraId="1EB951B4" w14:textId="77777777" w:rsidR="00F75EC6" w:rsidRPr="00635C3A" w:rsidRDefault="00F75EC6" w:rsidP="005B6EF7">
      <w:pPr>
        <w:pStyle w:val="berschrift5"/>
      </w:pPr>
      <w:bookmarkStart w:id="510" w:name="_Toc22133304"/>
      <w:r w:rsidRPr="00635C3A">
        <w:t>V. Antragsfrist</w:t>
      </w:r>
      <w:bookmarkEnd w:id="510"/>
    </w:p>
    <w:p w14:paraId="089BBF05" w14:textId="77777777" w:rsidR="00F75EC6" w:rsidRPr="00F75EC6" w:rsidRDefault="00F75EC6" w:rsidP="00F75EC6">
      <w:pPr>
        <w:pStyle w:val="Randnummer"/>
        <w:framePr w:wrap="around"/>
      </w:pPr>
    </w:p>
    <w:p w14:paraId="46801C30" w14:textId="77777777" w:rsidR="00F75EC6" w:rsidRPr="00F75EC6" w:rsidRDefault="00F75EC6" w:rsidP="00F75EC6">
      <w:r w:rsidRPr="00F75EC6">
        <w:t>Die N-Fraktion müsste den Antrag auch fristgerecht erhoben haben. Nach § 47 II 1 VwGO ist der Antrag innerhalb eines Jahres nach Bekanntmachung der angegriffenen Rechtsvorschrift zu stellen. § 5 III 4 der Änderungssatzung wurde am 24.1.2019 (ordnungsgemäß) bekannt gemacht. Die Frist ist nach § 57 II VwGO, § 222 I ZPO, §§ 187, 188 BGB zu berechnen.</w:t>
      </w:r>
      <w:r w:rsidRPr="00F75EC6">
        <w:rPr>
          <w:vertAlign w:val="superscript"/>
        </w:rPr>
        <w:footnoteReference w:id="444"/>
      </w:r>
      <w:r w:rsidRPr="00F75EC6">
        <w:t xml:space="preserve"> Sie beginnt gem. § 187 I BGB am 25.1.2019 um 0.00 Uhr und würde gem. § 188 II Alt. 1 BGB an sich mit Ablauf des 24.2.2019 enden. Damit fällt das Ende der Frist aber auf einen Sonntag, sodass sie gem. § 57 II VwGO, § 222 II ZPO erst mit Ablauf des nächsten Werktages endet. Mit der Antragstellung am 25.2.2019 wurde die Antragsfrist somit gewahrt.</w:t>
      </w:r>
    </w:p>
    <w:p w14:paraId="3BC64750" w14:textId="77777777" w:rsidR="00F75EC6" w:rsidRPr="00635C3A" w:rsidRDefault="00F75EC6" w:rsidP="005B6EF7">
      <w:pPr>
        <w:pStyle w:val="berschrift5"/>
      </w:pPr>
      <w:bookmarkStart w:id="511" w:name="_Toc22133305"/>
      <w:r w:rsidRPr="00635C3A">
        <w:t>VI. Beteiligte</w:t>
      </w:r>
      <w:bookmarkEnd w:id="511"/>
    </w:p>
    <w:p w14:paraId="59FBE294" w14:textId="77777777" w:rsidR="00F75EC6" w:rsidRPr="00F75EC6" w:rsidRDefault="00F75EC6" w:rsidP="00F75EC6">
      <w:pPr>
        <w:pStyle w:val="Randnummer"/>
        <w:framePr w:wrap="around"/>
      </w:pPr>
    </w:p>
    <w:p w14:paraId="40AA94CA" w14:textId="77777777" w:rsidR="00F75EC6" w:rsidRPr="00F75EC6" w:rsidRDefault="00F75EC6" w:rsidP="00F75EC6">
      <w:r w:rsidRPr="00F75EC6">
        <w:t>Die N-Fraktion ist analog § 61 Nr. 2 VwGO beteiligungsfähig; sie wird durch ihren Fraktionsvorsitzenden im Prozess vertreten (§ 62 III VwGO).</w:t>
      </w:r>
      <w:r w:rsidRPr="00F75EC6">
        <w:rPr>
          <w:vertAlign w:val="superscript"/>
        </w:rPr>
        <w:footnoteReference w:id="445"/>
      </w:r>
    </w:p>
    <w:p w14:paraId="6B1AE338" w14:textId="77777777" w:rsidR="00F75EC6" w:rsidRPr="00F75EC6" w:rsidRDefault="00F75EC6" w:rsidP="00F75EC6">
      <w:r w:rsidRPr="00F75EC6">
        <w:t>Die Stadt S ist gem. § 61 Nr. 1 VwGO beteiligungsfähig. Sie wird im Prozess gem. § 62 III VwGO, § 71 I 1 HGO durch den Magistrat (§ 9 II 2 HGO) vertreten.</w:t>
      </w:r>
      <w:r w:rsidRPr="00F75EC6">
        <w:rPr>
          <w:vertAlign w:val="superscript"/>
        </w:rPr>
        <w:footnoteReference w:id="446"/>
      </w:r>
    </w:p>
    <w:p w14:paraId="018BD362" w14:textId="513E86A4" w:rsidR="00F75EC6" w:rsidRPr="00F75EC6" w:rsidRDefault="00F75EC6" w:rsidP="00F75EC6">
      <w:r w:rsidRPr="00F75EC6">
        <w:t>Die Beteiligten müssen sich vor dem OVG durch einen Prozessbevollmächtigten vertreten lassen (§ 67 IV 1 VwGO; sog. Vertretungszwang). Dies gilt nach § 67 IV 2 VwGO auch für Prozesshandlungen, durch die – wie hier den Antrag – ein Normenkontrollverfahren eingeleitet wird. Die Antragsteller werden jeweils durch Rechtsanwalt R, die Antragsgegnerin durch Rechtsanwalt Z vertreten.</w:t>
      </w:r>
      <w:r w:rsidRPr="00F75EC6">
        <w:rPr>
          <w:vertAlign w:val="superscript"/>
        </w:rPr>
        <w:footnoteReference w:id="447"/>
      </w:r>
      <w:r w:rsidRPr="00F75EC6">
        <w:t xml:space="preserve"> Die Voraussetzungen der Postulationsfähigkeit</w:t>
      </w:r>
      <w:r w:rsidRPr="00F75EC6">
        <w:rPr>
          <w:vertAlign w:val="superscript"/>
        </w:rPr>
        <w:footnoteReference w:id="448"/>
      </w:r>
      <w:r w:rsidRPr="00F75EC6">
        <w:t xml:space="preserve"> (§ 67 IV 1 und 2 sowie IV 3 i.V.m. II 1 VwGO) liegen damit vor.</w:t>
      </w:r>
    </w:p>
    <w:p w14:paraId="6C3909C6" w14:textId="77777777" w:rsidR="00F75EC6" w:rsidRPr="00635C3A" w:rsidRDefault="00F75EC6" w:rsidP="005B6EF7">
      <w:pPr>
        <w:pStyle w:val="berschrift5"/>
      </w:pPr>
      <w:bookmarkStart w:id="512" w:name="_Toc22133306"/>
      <w:r w:rsidRPr="00635C3A">
        <w:t>VII. Zuständiges Gericht</w:t>
      </w:r>
      <w:bookmarkEnd w:id="512"/>
    </w:p>
    <w:p w14:paraId="305D4919" w14:textId="77777777" w:rsidR="00F75EC6" w:rsidRPr="00F75EC6" w:rsidRDefault="00F75EC6" w:rsidP="00F75EC6">
      <w:pPr>
        <w:pStyle w:val="Randnummer"/>
        <w:framePr w:wrap="around"/>
      </w:pPr>
    </w:p>
    <w:p w14:paraId="6338F374" w14:textId="77777777" w:rsidR="00F75EC6" w:rsidRPr="00F75EC6" w:rsidRDefault="00F75EC6" w:rsidP="00F75EC6">
      <w:r w:rsidRPr="00F75EC6">
        <w:t>Die örtliche Zuständigkeit richtet sich nach § 52 Nr. 1 VwGO.</w:t>
      </w:r>
      <w:r w:rsidRPr="00F75EC6">
        <w:rPr>
          <w:vertAlign w:val="superscript"/>
        </w:rPr>
        <w:footnoteReference w:id="449"/>
      </w:r>
      <w:r w:rsidRPr="00F75EC6">
        <w:t xml:space="preserve"> Gem. § 47 I VwGO i.V.m. § 1 I AGVwGO ist – abweichend von § 45 VwGO – der VGH mit Sitz in K sachlich zuständig.</w:t>
      </w:r>
    </w:p>
    <w:p w14:paraId="1AE09E8E" w14:textId="77777777" w:rsidR="00F75EC6" w:rsidRPr="00635C3A" w:rsidRDefault="00F75EC6" w:rsidP="005B6EF7">
      <w:pPr>
        <w:pStyle w:val="berschrift5"/>
      </w:pPr>
      <w:bookmarkStart w:id="513" w:name="_Toc22133307"/>
      <w:r w:rsidRPr="00635C3A">
        <w:t>VIII. Rechtsschutzbedürfnis – Normenkontrollinteresse</w:t>
      </w:r>
      <w:bookmarkEnd w:id="513"/>
    </w:p>
    <w:p w14:paraId="05C9FEE8" w14:textId="77777777" w:rsidR="00F75EC6" w:rsidRPr="00F75EC6" w:rsidRDefault="00F75EC6" w:rsidP="00F75EC6">
      <w:pPr>
        <w:pStyle w:val="Randnummer"/>
        <w:framePr w:wrap="around"/>
      </w:pPr>
    </w:p>
    <w:p w14:paraId="362F7944" w14:textId="77777777" w:rsidR="00F75EC6" w:rsidRPr="00F75EC6" w:rsidRDefault="00F75EC6" w:rsidP="00F75EC6">
      <w:r w:rsidRPr="00F75EC6">
        <w:t>Die Antragsbefugnis indiziert das Rechtsschutzbedürfnis.</w:t>
      </w:r>
      <w:r w:rsidRPr="00F75EC6">
        <w:rPr>
          <w:vertAlign w:val="superscript"/>
        </w:rPr>
        <w:footnoteReference w:id="450"/>
      </w:r>
      <w:r w:rsidRPr="00F75EC6">
        <w:t xml:space="preserve"> Es würde nur fehlen, wenn die Antragstellerin ihre (subjektive) Rechtsstellung mit der begehrten gerichtlichen Entscheidung nicht verbessern kann und die Inanspruchnahme des OVG deshalb für sie nutzlos erscheint. Das ist der Fall, wenn der Antrag, selbst wenn er (im Übrigen) zulässig und begründet wäre, der Antragstellerin keinen Nutzen bringen könnte oder wenn es einen anderen, einfacheren Weg zu dem erstrebten Ziel gäbe. Vorliegend sind Anhaltspunkte hierfür weder vorgetragen noch ersichtlich.</w:t>
      </w:r>
    </w:p>
    <w:p w14:paraId="564BEAB6" w14:textId="77777777" w:rsidR="00F75EC6" w:rsidRPr="00635C3A" w:rsidRDefault="00F75EC6" w:rsidP="005B6EF7">
      <w:pPr>
        <w:pStyle w:val="berschrift5"/>
      </w:pPr>
      <w:bookmarkStart w:id="514" w:name="_Toc22133308"/>
      <w:r w:rsidRPr="00635C3A">
        <w:t>IX. Zwischenergebnis</w:t>
      </w:r>
      <w:bookmarkEnd w:id="514"/>
    </w:p>
    <w:p w14:paraId="3144ADF3" w14:textId="77777777" w:rsidR="00F75EC6" w:rsidRPr="00F75EC6" w:rsidRDefault="00F75EC6" w:rsidP="00F75EC6">
      <w:pPr>
        <w:pStyle w:val="Randnummer"/>
        <w:framePr w:wrap="around"/>
      </w:pPr>
    </w:p>
    <w:p w14:paraId="39782D1F" w14:textId="77777777" w:rsidR="00F75EC6" w:rsidRDefault="00F75EC6" w:rsidP="00F75EC6">
      <w:r w:rsidRPr="00F75EC6">
        <w:t>Der Antrag der N-Fraktion ist zulässig. Der Antrag des A ist unzulässig und somit abzulehnen.</w:t>
      </w:r>
    </w:p>
    <w:p w14:paraId="368AF910" w14:textId="77777777" w:rsidR="005B6EF7" w:rsidRPr="00F75EC6" w:rsidRDefault="005B6EF7" w:rsidP="00F75EC6"/>
    <w:p w14:paraId="5267D268" w14:textId="77777777" w:rsidR="00F75EC6" w:rsidRPr="00635C3A" w:rsidRDefault="00F75EC6" w:rsidP="005B6EF7">
      <w:pPr>
        <w:pStyle w:val="berschrift4"/>
      </w:pPr>
      <w:bookmarkStart w:id="515" w:name="_Toc22133309"/>
      <w:r w:rsidRPr="00635C3A">
        <w:t>B. Begründetheit des Normenkontrollantrages</w:t>
      </w:r>
      <w:bookmarkEnd w:id="515"/>
    </w:p>
    <w:p w14:paraId="47C4659B" w14:textId="77777777" w:rsidR="00F75EC6" w:rsidRPr="00F75EC6" w:rsidRDefault="00F75EC6" w:rsidP="00F75EC6">
      <w:pPr>
        <w:pStyle w:val="Randnummer"/>
        <w:framePr w:wrap="around"/>
      </w:pPr>
    </w:p>
    <w:p w14:paraId="73FFB8F1" w14:textId="77777777" w:rsidR="00F75EC6" w:rsidRPr="00F75EC6" w:rsidRDefault="00F75EC6" w:rsidP="00F75EC6">
      <w:r w:rsidRPr="00F75EC6">
        <w:t>Der Normenkontrollantrag der N-Fraktion ist begründet, wenn er sich gegen den richtigen Antragsgegner richtet (§ 47 II 2 VwGO; dazu unten I.) und die angegriffene Rechtsvorschrift ungültig ist (§ 47 V 2 Hs. 1 VwGO; dazu unten III.). Letzteres ist der Fall, wenn sie gegen höherrangiges formelles oder materielles Recht verstößt, an dem der VGH sie bei seiner Entscheidung zu messen hat (§ 47 III VwGO; dazu unten II.).</w:t>
      </w:r>
      <w:r w:rsidRPr="00F75EC6">
        <w:rPr>
          <w:vertAlign w:val="superscript"/>
        </w:rPr>
        <w:footnoteReference w:id="451"/>
      </w:r>
    </w:p>
    <w:p w14:paraId="3466FB99" w14:textId="77777777" w:rsidR="00F75EC6" w:rsidRPr="00635C3A" w:rsidRDefault="00F75EC6" w:rsidP="005B6EF7">
      <w:pPr>
        <w:pStyle w:val="berschrift5"/>
      </w:pPr>
      <w:bookmarkStart w:id="516" w:name="_Toc22133310"/>
      <w:r w:rsidRPr="00635C3A">
        <w:t>I. Richtiger Antragsgegner</w:t>
      </w:r>
      <w:bookmarkEnd w:id="516"/>
    </w:p>
    <w:p w14:paraId="1166CF9B" w14:textId="77777777" w:rsidR="00F75EC6" w:rsidRPr="00F75EC6" w:rsidRDefault="00F75EC6" w:rsidP="00F75EC6">
      <w:pPr>
        <w:pStyle w:val="Randnummer"/>
        <w:framePr w:wrap="around"/>
      </w:pPr>
    </w:p>
    <w:p w14:paraId="6DCEF4C5" w14:textId="65E5D4E2" w:rsidR="00F75EC6" w:rsidRPr="00F75EC6" w:rsidRDefault="00F75EC6" w:rsidP="00F75EC6">
      <w:r w:rsidRPr="00F75EC6">
        <w:t>Der Antrag ist gemäß § 47 II 2 VwGO gegen den Rechtsträger zu richten, der die angegriffene Rechtsvorschrift erlassen hat.</w:t>
      </w:r>
      <w:r w:rsidR="001A34E4">
        <w:rPr>
          <w:rStyle w:val="Funotenzeichen"/>
        </w:rPr>
        <w:footnoteReference w:id="452"/>
      </w:r>
      <w:r w:rsidRPr="00F75EC6">
        <w:t xml:space="preserve"> Dies ist vorliegend die Stadt S; sie ist ihr eigener Rechtsträger (Gebietskörperschaft).</w:t>
      </w:r>
    </w:p>
    <w:p w14:paraId="379121C1" w14:textId="77777777" w:rsidR="00F75EC6" w:rsidRPr="00635C3A" w:rsidRDefault="00F75EC6" w:rsidP="005B6EF7">
      <w:pPr>
        <w:pStyle w:val="berschrift5"/>
      </w:pPr>
      <w:bookmarkStart w:id="517" w:name="_Toc22133311"/>
      <w:r w:rsidRPr="00635C3A">
        <w:t>II. Vorbehaltsklausel (§ 47 III VwGO)</w:t>
      </w:r>
      <w:bookmarkEnd w:id="517"/>
    </w:p>
    <w:p w14:paraId="2A06A418" w14:textId="77777777" w:rsidR="00F75EC6" w:rsidRPr="00F75EC6" w:rsidRDefault="00F75EC6" w:rsidP="00F75EC6">
      <w:pPr>
        <w:pStyle w:val="Randnummer"/>
        <w:framePr w:wrap="around"/>
      </w:pPr>
    </w:p>
    <w:p w14:paraId="55C8AA13" w14:textId="77777777" w:rsidR="00F75EC6" w:rsidRPr="00F75EC6" w:rsidRDefault="00F75EC6" w:rsidP="00F75EC6">
      <w:r w:rsidRPr="00F75EC6">
        <w:t>Nach § 47 III VwGO i.V.m. Art. 132 HV prüft der VGH die angegriffene Rechtsvorschrift nicht am Maßstab der Verfassung des Landes H.</w:t>
      </w:r>
      <w:r w:rsidRPr="00F75EC6">
        <w:rPr>
          <w:vertAlign w:val="superscript"/>
        </w:rPr>
        <w:footnoteReference w:id="453"/>
      </w:r>
      <w:r w:rsidRPr="00F75EC6">
        <w:t xml:space="preserve"> Insoweit kommt dem Staatsgerichtshof des Landes H das Entscheidungsmonopol zu. Im Übrigen bleibt die Zuständigkeit und die Befugnis des VGH, die Rechtsvorschrift (hier: § 5 III 4 der Entschädigungssatzung) am Maßstab sonstigen höherrangigen Rechts zu prüfen, unberührt.</w:t>
      </w:r>
      <w:r w:rsidRPr="00F75EC6">
        <w:rPr>
          <w:vertAlign w:val="superscript"/>
        </w:rPr>
        <w:footnoteReference w:id="454"/>
      </w:r>
    </w:p>
    <w:p w14:paraId="0E318741" w14:textId="77777777" w:rsidR="00F75EC6" w:rsidRPr="00635C3A" w:rsidRDefault="00F75EC6" w:rsidP="005B6EF7">
      <w:pPr>
        <w:pStyle w:val="berschrift5"/>
      </w:pPr>
      <w:bookmarkStart w:id="518" w:name="_Toc22133312"/>
      <w:r w:rsidRPr="00635C3A">
        <w:t>III. Rechtswidrigkeit der Änderungssatzung</w:t>
      </w:r>
      <w:bookmarkEnd w:id="518"/>
    </w:p>
    <w:p w14:paraId="622BB71E" w14:textId="77777777" w:rsidR="00F75EC6" w:rsidRPr="00F75EC6" w:rsidRDefault="00F75EC6" w:rsidP="00F75EC6">
      <w:pPr>
        <w:pStyle w:val="Randnummer"/>
        <w:framePr w:wrap="around"/>
      </w:pPr>
    </w:p>
    <w:p w14:paraId="1D1E6EC1" w14:textId="77777777" w:rsidR="00F75EC6" w:rsidRPr="00F75EC6" w:rsidRDefault="00F75EC6" w:rsidP="00F75EC6">
      <w:r w:rsidRPr="00F75EC6">
        <w:t>Die angegriffene Satzungsbestimmung ist laut Sachverhalt formell rechtmäßig zustande gekommen. Somit bleibt zu prüfen, ob sie auch materiell rechtmäßig ist.</w:t>
      </w:r>
    </w:p>
    <w:p w14:paraId="338BA70C" w14:textId="77777777" w:rsidR="00F75EC6" w:rsidRPr="00F75EC6" w:rsidRDefault="00F75EC6" w:rsidP="00F75EC6">
      <w:r w:rsidRPr="00F75EC6">
        <w:t>Nach § 36a IV 1 HGO kann die Gemeinde den Fraktionen Mittel aus ihrem Haushalt zu den sächlichen und personellen Aufwendungen für die Geschäftsführung gewähren. Wie der Wortlaut der Norm („kann“) zeigt, vermittelt sie der einzelnen Fraktion keinen Anspruch auf Fraktionszuwendungen.</w:t>
      </w:r>
      <w:r w:rsidRPr="00F75EC6">
        <w:rPr>
          <w:vertAlign w:val="superscript"/>
        </w:rPr>
        <w:footnoteReference w:id="455"/>
      </w:r>
      <w:r w:rsidRPr="00F75EC6">
        <w:t xml:space="preserve"> Vielmehr verbürgt § 36a IV 1 HGO ein Recht auf ermessensfehlerfreie und gleichberechtigte Berücksichtigung bei der Verteilung etwaiger, für Zuwendungen bereitgestellter Mittel.</w:t>
      </w:r>
    </w:p>
    <w:p w14:paraId="0F945566" w14:textId="77777777" w:rsidR="00F75EC6" w:rsidRPr="00F75EC6" w:rsidRDefault="00F75EC6" w:rsidP="00F75EC6">
      <w:r w:rsidRPr="00F75EC6">
        <w:t>Macht die Gemeinde – wie hier die Stadt S – von der Ermächtigung Gebrauch, muss sie dies in einer Weise tun, die verfassungsrechtlichen Direktiven genügt. Die Antragstellerin rügt insoweit eine Verletzung der Wahlrechtsgleichheit (dazu unten 1.), des Diskriminierungsverbots aus Art. 3 III 1 GG (dazu unten 2.) sowie einen Verstoß gegen den allgemeinen Gleichheitssatz (dazu unten 3.).</w:t>
      </w:r>
    </w:p>
    <w:p w14:paraId="489CDBF5" w14:textId="77777777" w:rsidR="00F75EC6" w:rsidRPr="00635C3A" w:rsidRDefault="00F75EC6" w:rsidP="005B6EF7">
      <w:pPr>
        <w:pStyle w:val="berschrift6"/>
      </w:pPr>
      <w:bookmarkStart w:id="519" w:name="_Toc22133313"/>
      <w:r w:rsidRPr="00635C3A">
        <w:t>1. (Kein) Verstoß gegen die Wahlrechtsgleichheit</w:t>
      </w:r>
      <w:bookmarkEnd w:id="519"/>
    </w:p>
    <w:p w14:paraId="3AD25529" w14:textId="77777777" w:rsidR="00F75EC6" w:rsidRPr="00F75EC6" w:rsidRDefault="00F75EC6" w:rsidP="00F75EC6">
      <w:pPr>
        <w:pStyle w:val="Randnummer"/>
        <w:framePr w:wrap="around"/>
      </w:pPr>
    </w:p>
    <w:p w14:paraId="44AF1ECB" w14:textId="77777777" w:rsidR="00F75EC6" w:rsidRPr="00F75EC6" w:rsidRDefault="00F75EC6" w:rsidP="00F75EC6">
      <w:r w:rsidRPr="00F75EC6">
        <w:t>§ 5 III 4 der Entschädigungssatzung könnte gegen die verfassungsrechtlich garantierte Gleichheit der Wahl verstoßen.</w:t>
      </w:r>
    </w:p>
    <w:p w14:paraId="0D3D34F4" w14:textId="77777777" w:rsidR="00F75EC6" w:rsidRPr="00F75EC6" w:rsidRDefault="00F75EC6" w:rsidP="00F75EC6">
      <w:r w:rsidRPr="00F75EC6">
        <w:t>Der Grundsatz der Wahlrechtsgleichheit (vgl. Art. 28 I 2 GG) wurzelt im Demokratieprinzip und ist demgemäß als Gebot streng formaler Gleichbehandlung aufzufassen. Er lässt eine Differenzierung nur aus zwingenden Gründen zu. Zwar beschränkt sich dieser Grundsatz zuvörderst auf die Wahl und den Wahlvorgang; gleichwohl setzt er sich nach der Wahl im Grundsatz der strengen Gleichheit der Abgeordneten und Mandatsträger fort. Ihre Rechtsstellung und Mitwirkungsbefugnisse in der (Gemeinde-)Vertretung müssen daher ebenfalls in einem streng formalen Sinne gleich sein.</w:t>
      </w:r>
    </w:p>
    <w:p w14:paraId="00253B01" w14:textId="77777777" w:rsidR="00F75EC6" w:rsidRPr="00F75EC6" w:rsidRDefault="00F75EC6" w:rsidP="00F75EC6">
      <w:r w:rsidRPr="00F75EC6">
        <w:t xml:space="preserve">Indes gilt das Gebot strenger Gleichbehandlung für die gewählten Abgeordneten und Ratsmitglieder selbst – sie leiten dieses Recht unmittelbar aus ihrem Mandat, mithin aus der Wahl her. Für die Fraktionen gilt dies nicht in gleicher Weise: Denn aus der formalen Gleichheit der Mandatsträger folgt noch keine ebenso formale Gleichheit der von ihnen gebildeten Fraktionen (vgl. § 36a I 1 HGO). </w:t>
      </w:r>
    </w:p>
    <w:p w14:paraId="2F5537FB" w14:textId="77777777" w:rsidR="00F75EC6" w:rsidRPr="00F75EC6" w:rsidRDefault="00F75EC6" w:rsidP="00F75EC6">
      <w:r w:rsidRPr="00F75EC6">
        <w:t>„Vertreter“, wie sie § 5 III 4 der Entschädigungssatzung nennt, und „Fraktion“ sind insoweit streng zu trennen. Für die N-Fraktion lässt sich demnach aus der Wahlrechtsgleichheit nichts gewinnen; die auf § 36a IV 1 HGO fußende Fraktionsfinanzierung ist streng zweckgebunden. Dies schließt selbst (unmittelbare oder „versteckte“) Zuwendungen an die „hinter“ den Fraktionen stehenden Gemeindevertreter grundsätzlich aus.</w:t>
      </w:r>
      <w:r w:rsidRPr="00F75EC6">
        <w:rPr>
          <w:vertAlign w:val="superscript"/>
        </w:rPr>
        <w:footnoteReference w:id="456"/>
      </w:r>
    </w:p>
    <w:p w14:paraId="73516EE0" w14:textId="77777777" w:rsidR="00F75EC6" w:rsidRPr="00F75EC6" w:rsidRDefault="00F75EC6" w:rsidP="00F75EC6">
      <w:r w:rsidRPr="00F75EC6">
        <w:t>Die N-Fraktion kann sich somit nicht auf den Grundsatz der Wahlrechtsgleichheit berufen.</w:t>
      </w:r>
    </w:p>
    <w:p w14:paraId="161775AC" w14:textId="77777777" w:rsidR="00F75EC6" w:rsidRPr="00635C3A" w:rsidRDefault="00F75EC6" w:rsidP="005B6EF7">
      <w:pPr>
        <w:pStyle w:val="berschrift6"/>
      </w:pPr>
      <w:bookmarkStart w:id="520" w:name="_Toc22133314"/>
      <w:r w:rsidRPr="00635C3A">
        <w:t>2. (Kein) Verstoß gegen das Diskriminierungsverbot des Art. 3 III 1 GG („politische Anschauung“)</w:t>
      </w:r>
      <w:bookmarkEnd w:id="520"/>
    </w:p>
    <w:p w14:paraId="030A2FB5" w14:textId="77777777" w:rsidR="00F75EC6" w:rsidRPr="00F75EC6" w:rsidRDefault="00F75EC6" w:rsidP="00F75EC6">
      <w:pPr>
        <w:pStyle w:val="Randnummer"/>
        <w:framePr w:wrap="around"/>
      </w:pPr>
    </w:p>
    <w:p w14:paraId="1D0A0959" w14:textId="77777777" w:rsidR="00F75EC6" w:rsidRPr="00F75EC6" w:rsidRDefault="00F75EC6" w:rsidP="00F75EC6">
      <w:r w:rsidRPr="00F75EC6">
        <w:t xml:space="preserve">Die verfahrensgegenständliche Satzungsbestimmung könnte jedoch dem grundrechtlichen Diskriminierungsverbot des Art. 3 III 1 GG widersprechen. </w:t>
      </w:r>
    </w:p>
    <w:p w14:paraId="25156836" w14:textId="77777777" w:rsidR="00F75EC6" w:rsidRPr="00F75EC6" w:rsidRDefault="00F75EC6" w:rsidP="00F75EC6">
      <w:r w:rsidRPr="00F75EC6">
        <w:t>Hiernach darf niemand wegen seiner politischen Anschauungen benachteiligt (oder bevorzugt) werden. Auf den ersten Blick benachteiligt § 5 III 4 der Entschädigungssatzung aber Fraktionen, die aus Vertretern erkennbar verfassungsfeindlicher Parteien oder Vereinigungen bestehen. Fraglich ist jedoch, ob sich die N-Fraktion auf Art. 3 III 1 GG berufen kann.</w:t>
      </w:r>
    </w:p>
    <w:p w14:paraId="414BA108" w14:textId="77777777" w:rsidR="00F75EC6" w:rsidRPr="00F75EC6" w:rsidRDefault="00F75EC6" w:rsidP="00F75EC6">
      <w:r w:rsidRPr="00F75EC6">
        <w:t>Art. 3 III 1 GG schützt davor, allein deshalb benachteiligt zu werden, weil eine bestimmte politische Auffassung vertreten wird.</w:t>
      </w:r>
      <w:r w:rsidRPr="00F75EC6">
        <w:rPr>
          <w:vertAlign w:val="superscript"/>
        </w:rPr>
        <w:footnoteReference w:id="457"/>
      </w:r>
      <w:r w:rsidRPr="00F75EC6">
        <w:t xml:space="preserve"> Die Vorschrift verbürgt als Diskriminierungsverbot ein individuelles Grundrecht, kein Gruppengrundrecht.</w:t>
      </w:r>
      <w:r w:rsidRPr="00F75EC6">
        <w:rPr>
          <w:vertAlign w:val="superscript"/>
        </w:rPr>
        <w:footnoteReference w:id="458"/>
      </w:r>
      <w:r w:rsidRPr="00F75EC6">
        <w:t xml:space="preserve"> (Kommunale) Fraktionen sind indes keine Grundrechtsträger. Sie gehören als Teile der Gemeindevertretung zu den kommunalen Organen. Damit sind sie Teil des Staates, der durch die Grundrechte verpflichtet, nicht aber berechtigt wird. Denn weder der Staat noch seine Einrichtungen können gleichzeitig Träger und Adressat von Grundrechten sein (sog. Konfusionsargument).</w:t>
      </w:r>
      <w:r w:rsidRPr="00F75EC6">
        <w:rPr>
          <w:vertAlign w:val="superscript"/>
        </w:rPr>
        <w:footnoteReference w:id="459"/>
      </w:r>
    </w:p>
    <w:p w14:paraId="0D6D7957" w14:textId="77777777" w:rsidR="00F75EC6" w:rsidRPr="00F75EC6" w:rsidRDefault="00F75EC6" w:rsidP="00F75EC6">
      <w:r w:rsidRPr="00F75EC6">
        <w:t>Im Übrigen schützt das Verbot der Benachteiligung wegen der politischen Anschauung eine individuelle, höchstpersönliche Überzeugung. Es ergänzt die Gewährleistung der Meinungsfreiheit (Art. 5 I GG) und gilt ebenso wie diese nur für Grundrechtsträger. Somit ist Art. 3 III 1 GG auch kein über die Grundrechtsgewährleistung hinausgehender allgemeiner rechtsstaatlicher Grundsatz, der auf innerstaatliche Rechtsverhältnisse anzuwenden wäre, zu entnehmen. Er beinhaltet mithin keine objektiv-rechtliche Gewährleistung.</w:t>
      </w:r>
    </w:p>
    <w:p w14:paraId="3BD4B262" w14:textId="77777777" w:rsidR="00F75EC6" w:rsidRPr="00F75EC6" w:rsidRDefault="00F75EC6" w:rsidP="00F75EC6">
      <w:r w:rsidRPr="00F75EC6">
        <w:t>Die Regelung des § 5 III 4 der Entschädigungssatzung ist somit nicht an Art. 3 III 1 GG zu messen.</w:t>
      </w:r>
    </w:p>
    <w:p w14:paraId="69CC20C8" w14:textId="77777777" w:rsidR="00F75EC6" w:rsidRPr="00635C3A" w:rsidRDefault="00F75EC6" w:rsidP="005B6EF7">
      <w:pPr>
        <w:pStyle w:val="berschrift6"/>
      </w:pPr>
      <w:bookmarkStart w:id="521" w:name="_Toc22133315"/>
      <w:r w:rsidRPr="00635C3A">
        <w:t>3. Verstoß gegen den allgemeinen Gleichheitssatz (Art. 3 I i.V.m. Art. 20 III GG)</w:t>
      </w:r>
      <w:bookmarkEnd w:id="521"/>
    </w:p>
    <w:p w14:paraId="7C99B73D" w14:textId="77777777" w:rsidR="00F75EC6" w:rsidRPr="00F75EC6" w:rsidRDefault="00F75EC6" w:rsidP="00F75EC6">
      <w:pPr>
        <w:pStyle w:val="Randnummer"/>
        <w:framePr w:wrap="around"/>
      </w:pPr>
    </w:p>
    <w:p w14:paraId="571287EC" w14:textId="77777777" w:rsidR="00F75EC6" w:rsidRPr="00F75EC6" w:rsidRDefault="00F75EC6" w:rsidP="00F75EC6">
      <w:r w:rsidRPr="00F75EC6">
        <w:t xml:space="preserve">Die angegriffene Rechtsvorschrift könnte jedoch gegen den in Art. 3 I GG verbürgten allgemeinen Gleichheitssatz verstoßen. </w:t>
      </w:r>
    </w:p>
    <w:p w14:paraId="7CF55ED1" w14:textId="77777777" w:rsidR="00F75EC6" w:rsidRPr="00F75EC6" w:rsidRDefault="00F75EC6" w:rsidP="00F75EC6">
      <w:r w:rsidRPr="00F75EC6">
        <w:t>Die N-Fraktion kann sich zwar nicht unmittelbar auf Art. 3 I GG berufen:</w:t>
      </w:r>
      <w:r w:rsidRPr="00F75EC6">
        <w:rPr>
          <w:vertAlign w:val="superscript"/>
        </w:rPr>
        <w:footnoteReference w:id="460"/>
      </w:r>
      <w:r w:rsidRPr="00F75EC6">
        <w:t xml:space="preserve"> Sie ist nicht grundrechtsberechtigt, sondern -verpflichtet (s.o.). Der allgemeine Gleichheitssatz gilt aber als Bestandteil des allgemeinen Rechtsstaatsgebots (Art. 20 III, 28 I 1 GG) auch für kommunalverfassungsrechtliche Rechtsbeziehungen zwischen der Gemeinde und den Fraktionen des Gemeinderats (hier: der Stadtverordnetenversammlung).</w:t>
      </w:r>
      <w:r w:rsidRPr="00F75EC6">
        <w:rPr>
          <w:vertAlign w:val="superscript"/>
        </w:rPr>
        <w:footnoteReference w:id="461"/>
      </w:r>
    </w:p>
    <w:p w14:paraId="6C438251" w14:textId="77777777" w:rsidR="00F75EC6" w:rsidRPr="00F75EC6" w:rsidRDefault="00F75EC6" w:rsidP="00F75EC6">
      <w:r w:rsidRPr="00F75EC6">
        <w:t>Art. 3 I GG gebietet, wesentlich Gleiches gleich und wesentlich Ungleiches nach seiner Eigenart verschieden zu behandeln. Der Normgeber muss für seine Unterscheidungen und Nichtunterscheidungen einen vernünftigen, sich aus der Natur der Sache ergebenden oder sonst wie einleuchtenden Grund angeben können. Das gilt gleichermaßen für Belastungen und Begünstigungen.</w:t>
      </w:r>
    </w:p>
    <w:p w14:paraId="74EB4A25" w14:textId="77777777" w:rsidR="00F75EC6" w:rsidRPr="00F75EC6" w:rsidRDefault="00F75EC6" w:rsidP="00F75EC6">
      <w:r w:rsidRPr="00F75EC6">
        <w:t>§ 5 III 4 der Entschädigungssatzung behandelt Fraktionen der Gemeindevertretung insoweit ungleich, als sie solche aus Vertretern „erkennbar verfassungsfeindlicher Parteien/Vereinigungen“ von Fraktionszuwendungen ausschließt. Die Regelung differenziert insoweit nach dem Kriterium „Verfassungsfeindlichkeit“. Fraglich ist, ob sich dieses Differenzierungskriterium sachlich bzw. verfassungsrechtlich rechtfertigen lässt.</w:t>
      </w:r>
      <w:r w:rsidRPr="00F75EC6">
        <w:rPr>
          <w:vertAlign w:val="superscript"/>
        </w:rPr>
        <w:footnoteReference w:id="462"/>
      </w:r>
    </w:p>
    <w:p w14:paraId="01885CDD" w14:textId="77777777" w:rsidR="00F75EC6" w:rsidRPr="00635C3A" w:rsidRDefault="00F75EC6" w:rsidP="005B6EF7">
      <w:pPr>
        <w:pStyle w:val="berschrift7"/>
      </w:pPr>
      <w:bookmarkStart w:id="522" w:name="_Toc22133316"/>
      <w:r w:rsidRPr="00635C3A">
        <w:t>a) Zweckbindung der Fraktionszuwendung</w:t>
      </w:r>
      <w:bookmarkEnd w:id="522"/>
    </w:p>
    <w:p w14:paraId="15433C0E" w14:textId="77777777" w:rsidR="00F75EC6" w:rsidRPr="00F75EC6" w:rsidRDefault="00F75EC6" w:rsidP="00F75EC6">
      <w:pPr>
        <w:pStyle w:val="Randnummer"/>
        <w:framePr w:wrap="around"/>
      </w:pPr>
    </w:p>
    <w:p w14:paraId="675F41A8" w14:textId="77777777" w:rsidR="00F75EC6" w:rsidRPr="00F75EC6" w:rsidRDefault="00F75EC6" w:rsidP="00F75EC6">
      <w:r w:rsidRPr="00F75EC6">
        <w:t>Indem § 5 III 4 der Entschädigungssatzung auf die Verfassungsfeindlichkeit einer Partei oder einer Wählervereinigung abhebt, könnte sich die Stadtverordnetenversammlung eines Kriteriums bedienen, das bereits sachlich ungeeignet ist, eine Differenzierung zu rechtfertigen.</w:t>
      </w:r>
    </w:p>
    <w:p w14:paraId="4C66ACCA" w14:textId="77777777" w:rsidR="00F75EC6" w:rsidRPr="00F75EC6" w:rsidRDefault="00F75EC6" w:rsidP="00F75EC6">
      <w:r w:rsidRPr="00F75EC6">
        <w:t>Zunächst gibt der gesetzliche bestimmte Zweck die sachlichen Gründe vor, die eine Ungleichbehandlung bei der Gewährung von Fraktionszuwendungen rechtfertigen können. Nach § 36a IV 1 HGO dienen die Zuwendungen dazu, die sächlichen oder gesetzlichen Aufwendungen der Fraktionen für ihre Geschäftsführung ganz oder teilweise zu decken. Damit ist der Ermächtigungsgrundlage des § 36a IV 1 HGO eine strenge Zweckbindung eingeschrieben: Die Zuwendungen dürfen keinesfalls zur Finanzierung der „hinter“ den Fraktionen stehenden Parteien zweckentfremdet werden. Hieran gemessen sind die Fraktionszuwendungen nach einem Maßstab zu verteilen, der sich am tatsächlichen oder erwartbaren Bedarf der jeweiligen Fraktion für ihre Geschäftsführung orientiert. Kriterien, die hiervon abweichen und sich nicht am Bedarf orientieren, können eine Differenzierung nicht rechtfertigen.</w:t>
      </w:r>
      <w:r w:rsidRPr="00F75EC6">
        <w:rPr>
          <w:vertAlign w:val="superscript"/>
        </w:rPr>
        <w:footnoteReference w:id="463"/>
      </w:r>
    </w:p>
    <w:p w14:paraId="19FF8FC3" w14:textId="77777777" w:rsidR="00F75EC6" w:rsidRPr="00F75EC6" w:rsidRDefault="00F75EC6" w:rsidP="00F75EC6">
      <w:r w:rsidRPr="00F75EC6">
        <w:t>Die angegriffene Vorschrift stellt darauf ab, ob die Fraktion aus Vertretern erkennbar verfassungsfeindlicher Parteien oder Vereinigungen besteht. Doch fehlt bereits jeder sachliche Zusammenhang zwischen der politischen Ausrichtung einer Fraktion (oder ihrer Mitglieder) und ihrem Geschäftsführungsbedarf.</w:t>
      </w:r>
      <w:r w:rsidRPr="00F75EC6">
        <w:rPr>
          <w:vertAlign w:val="superscript"/>
        </w:rPr>
        <w:footnoteReference w:id="464"/>
      </w:r>
    </w:p>
    <w:p w14:paraId="7C3ADF2A" w14:textId="77777777" w:rsidR="00F75EC6" w:rsidRPr="00F75EC6" w:rsidRDefault="00F75EC6" w:rsidP="00F75EC6">
      <w:r w:rsidRPr="00F75EC6">
        <w:t>Insoweit fehlt es bereits an einem sachlichen Differenzierungskriterium.</w:t>
      </w:r>
    </w:p>
    <w:p w14:paraId="7990385A" w14:textId="77777777" w:rsidR="00F75EC6" w:rsidRPr="00635C3A" w:rsidRDefault="00F75EC6" w:rsidP="005B6EF7">
      <w:pPr>
        <w:pStyle w:val="berschrift7"/>
      </w:pPr>
      <w:bookmarkStart w:id="523" w:name="_Toc22133317"/>
      <w:r w:rsidRPr="00635C3A">
        <w:t>b) Rechtfertigung durch kollidierendes Verfassungsrecht?</w:t>
      </w:r>
      <w:bookmarkEnd w:id="523"/>
    </w:p>
    <w:p w14:paraId="70F8590B" w14:textId="77777777" w:rsidR="00F75EC6" w:rsidRPr="00F75EC6" w:rsidRDefault="00F75EC6" w:rsidP="00F75EC6">
      <w:pPr>
        <w:pStyle w:val="Randnummer"/>
        <w:framePr w:wrap="around"/>
      </w:pPr>
    </w:p>
    <w:p w14:paraId="2CCEDCB1" w14:textId="77777777" w:rsidR="00F75EC6" w:rsidRPr="00F75EC6" w:rsidRDefault="00F75EC6" w:rsidP="00F75EC6">
      <w:r w:rsidRPr="00F75EC6">
        <w:t>Womöglich ließe sich die angegriffene Differenzierung mit der Verfassungsentscheidung für eine wehrhafte Demokratie oder dem verfassungsrechtlichen Schutz der freiheitlich-demokratischen Grundordnung rechtfertigen.</w:t>
      </w:r>
    </w:p>
    <w:p w14:paraId="16F53FDB" w14:textId="77777777" w:rsidR="00F75EC6" w:rsidRPr="00F75EC6" w:rsidRDefault="00F75EC6" w:rsidP="00F75EC6">
      <w:r w:rsidRPr="00F75EC6">
        <w:t>Das Prinzip der „streitbaren“ oder „wehrhaften“ Demokratie, das vor allem in Art. 9 II, 18 und 21 II GG verfassungsrechtlich verankert ist, soll gewährleisten, dass Verfassungsfeinde nicht unter Berufung auf die Freiheiten, die das Grundgesetz gewährt und unter ihrem Schutz die Verfassungsordnung oder den Bestand des Staates gefährden, beeinträchtigen oder zerstören.</w:t>
      </w:r>
      <w:r w:rsidRPr="00F75EC6">
        <w:rPr>
          <w:vertAlign w:val="superscript"/>
        </w:rPr>
        <w:footnoteReference w:id="465"/>
      </w:r>
    </w:p>
    <w:p w14:paraId="599F67F5" w14:textId="77777777" w:rsidR="00F75EC6" w:rsidRPr="00F75EC6" w:rsidRDefault="00F75EC6" w:rsidP="00F75EC6">
      <w:r w:rsidRPr="00F75EC6">
        <w:t>Der Begriff der freiheitlich demokratischen Grundordnung i.S.d. Art. 21 II GG umfasst „nur“ jene zentralen Grundprinzipien, die für den freiheitlichen Verfassungsstaat schlechthin unentbehrlich sind: Sie findet ihren Ausgangspunkt in der Würde des Menschen (Art. 1 I GG), konstituiert sich im Demokratieprinzip und schließt die im Rechtsstaatsprinzip wurzelnde Rechtsbindung der öffentlichen Gewalt (Art. 20 III GG) sowie die Kontrolle dieser Bindung durch unabhängige Gerichte ein.</w:t>
      </w:r>
      <w:r w:rsidRPr="00F75EC6">
        <w:rPr>
          <w:vertAlign w:val="superscript"/>
        </w:rPr>
        <w:footnoteReference w:id="466"/>
      </w:r>
    </w:p>
    <w:p w14:paraId="53641312" w14:textId="77777777" w:rsidR="00F75EC6" w:rsidRPr="00635C3A" w:rsidRDefault="00F75EC6" w:rsidP="005B6EF7">
      <w:pPr>
        <w:pStyle w:val="berschrift8"/>
      </w:pPr>
      <w:bookmarkStart w:id="524" w:name="_Toc22133318"/>
      <w:r w:rsidRPr="00635C3A">
        <w:t>aa) „Parteienprivileg“ des Art. 21 III, IV GG</w:t>
      </w:r>
      <w:bookmarkEnd w:id="524"/>
    </w:p>
    <w:p w14:paraId="07E57113" w14:textId="77777777" w:rsidR="00F75EC6" w:rsidRPr="00F75EC6" w:rsidRDefault="00F75EC6" w:rsidP="00F75EC6">
      <w:pPr>
        <w:pStyle w:val="Randnummer"/>
        <w:framePr w:wrap="around"/>
      </w:pPr>
    </w:p>
    <w:p w14:paraId="413C770D" w14:textId="77777777" w:rsidR="00F75EC6" w:rsidRPr="00F75EC6" w:rsidRDefault="00F75EC6" w:rsidP="00F75EC6">
      <w:r w:rsidRPr="00F75EC6">
        <w:t>Die Regelung des § 5 III 4 der Entschädigungssatzung, die Fraktionen aus Vertretern erkennbar verfassungsfeindlicher Parteien und Wählervereinigungen von kommunaler Finanzierung ausschließt, könnte sich möglicherweise auf Art. 21 III GG berufen.</w:t>
      </w:r>
    </w:p>
    <w:p w14:paraId="47AFFB93" w14:textId="77777777" w:rsidR="00F75EC6" w:rsidRPr="00F75EC6" w:rsidRDefault="00F75EC6" w:rsidP="00F75EC6">
      <w:r w:rsidRPr="00F75EC6">
        <w:t>Unterhalb der „Schwelle“ des Parteiverbots nach Art. 21 II GG („darauf ausgehen“), eröffnet Art. 21 III 1 GG nunmehr („darauf ausgerichtet“) die Möglichkeit, verfassungsfeindliche Parteien von staatlicher Finanzierung auszuschließen. Dies ist tatbestandlich dann der Fall, wenn die Partei nach ihren Zielen oder dem Verhalten ihrer Anhänger darauf ausgerichtet ist, die freiheitliche demokratische Grundordnung zu beeinträchtigen oder zu beseitigen oder den Bestand der Bundesrepublik Deutschland zu gefährden.</w:t>
      </w:r>
    </w:p>
    <w:p w14:paraId="455305AD" w14:textId="77777777" w:rsidR="00F75EC6" w:rsidRPr="00F75EC6" w:rsidRDefault="00F75EC6" w:rsidP="00F75EC6">
      <w:r w:rsidRPr="00F75EC6">
        <w:t>Die Verfassung gibt damit die Losung aus: „Keine unbedingte Freiheit für die Feinde der Freiheit“</w:t>
      </w:r>
      <w:r w:rsidRPr="00F75EC6">
        <w:rPr>
          <w:vertAlign w:val="superscript"/>
        </w:rPr>
        <w:footnoteReference w:id="467"/>
      </w:r>
      <w:r w:rsidRPr="00F75EC6">
        <w:t>. Einer Partei, die einer verfassungsfeindlichen Grundtendenz folgt, versagt das Grundgesetz, die Parteienfreiheit des Art. 21 GG zu missbrauchen, um gegen die freiheitliche demokratische Grundordnung in den „Kampf“ zu ziehen.</w:t>
      </w:r>
      <w:r w:rsidRPr="00F75EC6">
        <w:rPr>
          <w:vertAlign w:val="superscript"/>
        </w:rPr>
        <w:footnoteReference w:id="468"/>
      </w:r>
      <w:r w:rsidRPr="00F75EC6">
        <w:t xml:space="preserve"> Als Minus zum Parteiverbot soll der Staat aber zumindest nicht verpflichtet sein, die „Verfassungsfeinde“ zu finanzieren (vgl. Art. 21 III GG).</w:t>
      </w:r>
    </w:p>
    <w:p w14:paraId="1D0D9E6F" w14:textId="41436E3E" w:rsidR="00F75EC6" w:rsidRPr="00F75EC6" w:rsidRDefault="00F75EC6" w:rsidP="00F75EC6">
      <w:r w:rsidRPr="00F75EC6">
        <w:t>Insoweit wäre das Merkmal „Verfassungsfeindlichkeit“ durchaus geeignet, in sachlich rechtfertigbarer Weise zu differenzieren. Die Stadtverordnetenversammlung war von dem Willen beseelt, eine verfassungsfeindliche Partei nicht so</w:t>
      </w:r>
      <w:r w:rsidR="005B4212">
        <w:t xml:space="preserve"> </w:t>
      </w:r>
      <w:r w:rsidRPr="00F75EC6">
        <w:t>lange zu „alimentieren“ bis sie zu einer Gefahr für die freiheitlich demokratische Grundordnung herangewachsen ist.</w:t>
      </w:r>
    </w:p>
    <w:p w14:paraId="2E83C0F9" w14:textId="77777777" w:rsidR="00F75EC6" w:rsidRPr="00F75EC6" w:rsidRDefault="00F75EC6" w:rsidP="00F75EC6">
      <w:r w:rsidRPr="00F75EC6">
        <w:t>Doch könnte vorliegend das sog. Parteienprivileg eine solche Benachteiligung ausschließen. Die Satzungsänderung stellt darauf ab, dass sich die Fraktion aus Vertretern „erkennbar“ verfassungsfeindlicher Parteien oder Wählervereinigungen zusammensetzt. Welche Maßstäbe an die „Erkennbarkeit“ zu stellen sind, konkretisiert die Satzung der Antragsgegnerin nicht.</w:t>
      </w:r>
    </w:p>
    <w:p w14:paraId="0F8ED039" w14:textId="4DDA18C4" w:rsidR="00F75EC6" w:rsidRPr="00F75EC6" w:rsidRDefault="00F75EC6" w:rsidP="00F75EC6">
      <w:r w:rsidRPr="00F75EC6">
        <w:t>Über die Frage, ob die Partei von staatlicher Finanzierung auszuschließen ist, entscheidet allein das Bundesverfassungsgericht (Art. 21 IV Alt. 2 GG; Entscheidungsmonopol</w:t>
      </w:r>
      <w:r w:rsidRPr="00F75EC6">
        <w:rPr>
          <w:vertAlign w:val="superscript"/>
        </w:rPr>
        <w:footnoteReference w:id="469"/>
      </w:r>
      <w:r w:rsidRPr="00F75EC6">
        <w:t>).</w:t>
      </w:r>
    </w:p>
    <w:p w14:paraId="74D6E449" w14:textId="77777777" w:rsidR="00F75EC6" w:rsidRPr="00F75EC6" w:rsidRDefault="00F75EC6" w:rsidP="00F75EC6">
      <w:r w:rsidRPr="00F75EC6">
        <w:t>Der Stadtverordnetenversammlung ist es damit verwehrt, rechtliche Folgen an die behauptete bzw. „erkennbare“, aber vom Bundesverfassungsgericht (noch) nicht festgestellte „Verfassungsfeindlichkeit“ einer Partei zu knüpfen.</w:t>
      </w:r>
      <w:r w:rsidRPr="00F75EC6">
        <w:rPr>
          <w:vertAlign w:val="superscript"/>
        </w:rPr>
        <w:footnoteReference w:id="470"/>
      </w:r>
    </w:p>
    <w:p w14:paraId="7300AC98" w14:textId="77777777" w:rsidR="00F75EC6" w:rsidRPr="00F75EC6" w:rsidRDefault="00F75EC6" w:rsidP="00F75EC6">
      <w:r w:rsidRPr="00F75EC6">
        <w:t>Bis zu diesem Zeitpunkt schließt Art. 21 IV Alt. 2 GG jedes (administrative wie strafrechtliche) Einschreiten gegen eine politische Partei schlechthin aus, mag diese sich gegenüber der freiheitlichen demokratischen Grundordnung auch noch so feindlich verhalten. Zwar darf eine solche Partei politisch bekämpft werden. In ihren politischen Aktivitäten muss sie aber von jeder Behinderung frei sein. Das Grundgesetz nimmt (zumindest in seiner gegenwärtigen Form) die Gefahr, die im Wirken einer Partei bis zur Feststellung ihrer Verfassungswidrigkeit bzw. dem Ausschluss von staatlicher Finanzierung liegt, um der politischen Freiheit willen in Kauf. Das Parteienprivileg des Art. 21 II GG setzt sich mithin in Art. 21 III jeweils i.V.m. IV GG „unterschwellig“ fort.</w:t>
      </w:r>
    </w:p>
    <w:p w14:paraId="7BEA2898" w14:textId="77777777" w:rsidR="00F75EC6" w:rsidRPr="00F75EC6" w:rsidRDefault="00F75EC6" w:rsidP="00F75EC6">
      <w:r w:rsidRPr="00F75EC6">
        <w:t>Im Ergebnis steht das Parteienprivileg</w:t>
      </w:r>
      <w:r w:rsidRPr="00F75EC6">
        <w:rPr>
          <w:vertAlign w:val="superscript"/>
        </w:rPr>
        <w:footnoteReference w:id="471"/>
      </w:r>
      <w:r w:rsidRPr="00F75EC6">
        <w:t xml:space="preserve"> des Art. 21 III, IV Alt. 2 GG einer Differenzierung nach dem Kriterium „erkennbar verfassungsfeindliche Partei“ entgegen.</w:t>
      </w:r>
      <w:r w:rsidRPr="00F75EC6">
        <w:rPr>
          <w:vertAlign w:val="superscript"/>
        </w:rPr>
        <w:footnoteReference w:id="472"/>
      </w:r>
    </w:p>
    <w:p w14:paraId="61244647" w14:textId="77777777" w:rsidR="00F75EC6" w:rsidRPr="00635C3A" w:rsidRDefault="00F75EC6" w:rsidP="005B6EF7">
      <w:pPr>
        <w:pStyle w:val="berschrift8"/>
      </w:pPr>
      <w:bookmarkStart w:id="525" w:name="_Toc22133319"/>
      <w:r w:rsidRPr="00635C3A">
        <w:t>bb) Gleichsetzung von Parteien- und Fraktionsfinanzierung?</w:t>
      </w:r>
      <w:bookmarkEnd w:id="525"/>
    </w:p>
    <w:p w14:paraId="3418CD50" w14:textId="77777777" w:rsidR="00F75EC6" w:rsidRPr="00F75EC6" w:rsidRDefault="00F75EC6" w:rsidP="00F75EC6">
      <w:pPr>
        <w:pStyle w:val="Randnummer"/>
        <w:framePr w:wrap="around"/>
      </w:pPr>
    </w:p>
    <w:p w14:paraId="47A903C2" w14:textId="77777777" w:rsidR="00F75EC6" w:rsidRPr="00F75EC6" w:rsidRDefault="00F75EC6" w:rsidP="00F75EC6">
      <w:r w:rsidRPr="00F75EC6">
        <w:t>Im Übrigen ist fraglich, ob Partei- und Fraktionsfinanzierung überhaupt (verfassungsrechtlich) gleichgesetzt werden können.</w:t>
      </w:r>
    </w:p>
    <w:p w14:paraId="3A020DE2" w14:textId="77777777" w:rsidR="00F75EC6" w:rsidRPr="00F75EC6" w:rsidRDefault="00F75EC6" w:rsidP="00F75EC6">
      <w:r w:rsidRPr="00F75EC6">
        <w:t>Wie der Wortlaut des Art. 21 GG sowie dessen (nichtamtliche) Überschrift verlautbart, adressiert er allein „Parteien“. Demgegenüber schließt § 5 III 4 der Entschädigungssatzung „Fraktionen“ von kommunaler Finanzierung aus, auch wenn sie sich aus Vertretern (erkennbar verfassungsfeindlicher) Parteien zusammensetzen. Art. 21 GG adressiert mithin Parteien, die angegriffene Satzungsbestimmung dagegen Fraktionen.</w:t>
      </w:r>
    </w:p>
    <w:p w14:paraId="7BDB59DC" w14:textId="77777777" w:rsidR="00F75EC6" w:rsidRPr="00F75EC6" w:rsidRDefault="00F75EC6" w:rsidP="00F75EC6">
      <w:r w:rsidRPr="00F75EC6">
        <w:t>Richtig ist zwar, dass die Fraktionen den politischen Parteien eng verbunden sind und dass die Parteien insbesondere über die Fraktionen und die zu ihnen gehörenden Mandatsträgern auf die staatlichen Entscheidungen einwirken.</w:t>
      </w:r>
      <w:r w:rsidRPr="00F75EC6">
        <w:rPr>
          <w:vertAlign w:val="superscript"/>
        </w:rPr>
        <w:footnoteReference w:id="473"/>
      </w:r>
      <w:r w:rsidRPr="00F75EC6">
        <w:t xml:space="preserve"> Was für die Parlamente im „Großen“ gilt, muss gleichermaßen für die Gemeindevertretung im „Kleinen“ gelten. Gleichwohl ist zu unterscheiden:</w:t>
      </w:r>
    </w:p>
    <w:p w14:paraId="2913470F" w14:textId="77777777" w:rsidR="00F75EC6" w:rsidRPr="00F75EC6" w:rsidRDefault="00F75EC6" w:rsidP="00F75EC6">
      <w:r w:rsidRPr="00F75EC6">
        <w:t>Die Parteienfinanzierung ist dem gesellschaftlichen Bereich zuzuordnen. Sie bezieht sich auf die Mitwirkung der Parteien an der politischen Willensbildung des Volkes (Art. 21 I 1 GG). Art. 21 I GG legt die Struktur der Parteien als „frei konkurrierender, aus eigener Kraft wirkender und vom Staat unabhängiger Gruppen verfassungskräftig“ fest.</w:t>
      </w:r>
      <w:r w:rsidRPr="00F75EC6">
        <w:rPr>
          <w:vertAlign w:val="superscript"/>
        </w:rPr>
        <w:footnoteReference w:id="474"/>
      </w:r>
      <w:r w:rsidRPr="00F75EC6">
        <w:t xml:space="preserve"> Indes können die Parteien ihre Aufgabe nur erfüllen, wenn „ihre Führung und die ihr zur Verfügung stehende Organisation sich ihrer mitgliedschaftlichen Basis und der Bürgerschaft insgesamt nicht entfremden“</w:t>
      </w:r>
      <w:r w:rsidRPr="00F75EC6">
        <w:rPr>
          <w:vertAlign w:val="superscript"/>
        </w:rPr>
        <w:footnoteReference w:id="475"/>
      </w:r>
      <w:r w:rsidRPr="00F75EC6">
        <w:t>. Der Staat begegnet einer dahingehenden Entwicklung nicht schon dadurch, dass sich die Finanzierung auf bestimmte Betätigungen der Partei – etwa die Vorbereitung von Wahlen – beschränkt. Vielmehr sind Finanzhilfen so zu gewähren, dass „der politische Prozess offen, der Parteienwettbewerb erhalten und die Rückbindung der Parteiführungen an ihre gesellschaftliche Basis erhalten bleiben“</w:t>
      </w:r>
      <w:r w:rsidRPr="00F75EC6">
        <w:rPr>
          <w:vertAlign w:val="superscript"/>
        </w:rPr>
        <w:footnoteReference w:id="476"/>
      </w:r>
      <w:r w:rsidRPr="00F75EC6">
        <w:t>. Wer Parteien, die die Voraussetzungen des Art. 21 III GG, nicht aber die des Art. 21 II GG erfüllen (sog. verfassungsfeindliche Parteien), von der Finanzierung ausschließt, versagt ihnen – zumindest teilweise – die Teilnahme an diesem politischen Wettbewerb.</w:t>
      </w:r>
    </w:p>
    <w:p w14:paraId="6399C0EC" w14:textId="77777777" w:rsidR="00F75EC6" w:rsidRPr="00F75EC6" w:rsidRDefault="00F75EC6" w:rsidP="00F75EC6">
      <w:r w:rsidRPr="00F75EC6">
        <w:t>Demgegenüber setzt § 5 III 4 der Entschädigungssatzung bei der Fraktion an. Nimmt man bestimmte, etwa verfassungsfeindliche Fraktionen von staatlichen Zuwendungen aus, berührt das die Arbeit einer Untergliederung einer (demokratisch) gewählten Volksvertretung. Die Fraktion ist der „organisierten Staatlichkeit“ zuzurechnen.</w:t>
      </w:r>
      <w:r w:rsidRPr="00F75EC6">
        <w:rPr>
          <w:vertAlign w:val="superscript"/>
        </w:rPr>
        <w:footnoteReference w:id="477"/>
      </w:r>
      <w:r w:rsidRPr="00F75EC6">
        <w:t xml:space="preserve"> Daraus folgt, dass Fraktionszuwendungen von Verfassungs wegen (aber auch einfach-rechtlich, s. § 36a HGO) nicht zu einer „verschleierten Parteifinanzierung“ missbraucht werden dürfen.</w:t>
      </w:r>
      <w:r w:rsidRPr="00F75EC6">
        <w:rPr>
          <w:vertAlign w:val="superscript"/>
        </w:rPr>
        <w:footnoteReference w:id="478"/>
      </w:r>
      <w:r w:rsidRPr="00F75EC6">
        <w:t xml:space="preserve"> Damit einher geht das Verbot, Fraktionszuwendungen an „hinter“ den Fraktionen stehenden Parteien oder Parteivertretern weiterzureichen. Für Zuwendungen an Fraktionen gilt somit ein strenges Zweckbindungsgebot, das sich auf Landesebene einfach-rechtlich in § 36a IV 1 HGO niederschlägt: Die Gemeinde darf den Fraktionen nur Mittel für die „sächlichen und personellen Aufwendungen für die Geschäftsführung gewähren“.</w:t>
      </w:r>
    </w:p>
    <w:p w14:paraId="1C8AF999" w14:textId="77777777" w:rsidR="00F75EC6" w:rsidRPr="00F75EC6" w:rsidRDefault="00F75EC6" w:rsidP="00F75EC6">
      <w:r w:rsidRPr="00F75EC6">
        <w:t>Dem steht auch nicht entgegen, dass die Fraktionen nicht nur bei der Willensbildung und Entscheidungsfindung in der Gemeindevertretung mitwirken (§ 36a III Hs. 1 HGO), sondern insoweit ihre Auffassung auch öffentlich darstellen können (Hs. 2). Zwar führt dies gerade auf kommunaler Ebene nicht selten zu einer Verflechtung von Fraktions- und Parteiarbeit. Anders als die Antragsgegnerin geltend macht, wird dadurch jedoch eine Abgrenzung von Partei- und Fraktionsarbeit weder unbestimmt noch unmöglich, sondern allenfalls im Einzelfall erschwert. Wie der Wortlaut des § 36a III Hs. 2 HGO („insoweit“) zeigt, darf sich die Öffentlichkeitsarbeit der Fraktion nur auf die Mitwirkung bei der Willensbildung und Entscheidungsfindung in der Gemeindevertretung beziehen. Die zitierte Vorschrift schließt damit allgemeinpolitische Stellungnahme ebenso aus wie parteipolitische Äußerungen ohne Bezug zur Agenda der Gemeindevertretung.</w:t>
      </w:r>
    </w:p>
    <w:p w14:paraId="1A963096" w14:textId="77777777" w:rsidR="00F75EC6" w:rsidRPr="00F75EC6" w:rsidRDefault="00F75EC6" w:rsidP="00F75EC6">
      <w:r w:rsidRPr="00F75EC6">
        <w:t>Hinzu kommt, dass die demokratische Legitimation der Gemeindevertreter aus ihrer Wahl und dem dabei errungenen Mandat herrührt. Ihre kommunalrechtliche Stellung gründet demnach gerade nicht auf ihrer politischen Tätigkeit. Sie verlieren ihre demokratische Legitimation nicht bereits dadurch, dass sie Mitglied in einer „erkennbar verfassungsfeindlichen“ Partei sind. Vielmehr endet diese, wenn eine Partei durch das Bundesverfassungsgericht gem. Art. 21 GG für verfassungswidrig erklärt oder eine Wählergruppe rechtskräftig verboten wird (vgl. § 35 I 1 des Kommunalwahlgesetzes des Landes H – KWG). Denn „erst“ dann verliert der Vertreter seinen Sitz in der Gemeindevertretung.</w:t>
      </w:r>
    </w:p>
    <w:p w14:paraId="0ED2A158" w14:textId="77777777" w:rsidR="00F75EC6" w:rsidRPr="00F75EC6" w:rsidRDefault="00F75EC6" w:rsidP="00F75EC6">
      <w:r w:rsidRPr="00F75EC6">
        <w:t>Im Ergebnis besteht ein „Trennungsgebot“ zwischen Partei und Fraktion:</w:t>
      </w:r>
      <w:r w:rsidRPr="00F75EC6">
        <w:rPr>
          <w:vertAlign w:val="superscript"/>
        </w:rPr>
        <w:footnoteReference w:id="479"/>
      </w:r>
      <w:r w:rsidRPr="00F75EC6">
        <w:t xml:space="preserve"> Die Partei agiert in der gesellschaftlichen, die Fraktion hingegen in der staatlichen Sphäre. Beide Sphären sind gerade auch in finanzieller Hinsicht streng zu trennen. Insofern ist die Fraktion von der „hinter“ ihr stehenden „Mutterpartei“ rechtlich unabhängig.</w:t>
      </w:r>
      <w:r w:rsidRPr="00F75EC6">
        <w:rPr>
          <w:vertAlign w:val="superscript"/>
        </w:rPr>
        <w:footnoteReference w:id="480"/>
      </w:r>
      <w:r w:rsidRPr="00F75EC6">
        <w:t xml:space="preserve"> An diesem Grundsatz ist selbst nach der Entscheidung des Bundesverfassungsgerichts, mit der es die „verfassungsrechtliche Dichotomie“ von verbotenen und anderen Parteien „aufweichte“, festzuhalten.</w:t>
      </w:r>
      <w:r w:rsidRPr="00F75EC6">
        <w:rPr>
          <w:vertAlign w:val="superscript"/>
        </w:rPr>
        <w:footnoteReference w:id="481"/>
      </w:r>
    </w:p>
    <w:p w14:paraId="41845EF2" w14:textId="77777777" w:rsidR="00F75EC6" w:rsidRDefault="00F75EC6" w:rsidP="00F75EC6">
      <w:r w:rsidRPr="00F75EC6">
        <w:t>Parteien- und Fraktionsfinanzierung dürfen verfassungsrechtlich nicht gleich gesetzt werden. Der Stadtverordnetenversammlung ist es mithin verwehrt, eine Fraktion von Zuwendungen auszuschließen, indem sie an die „Verfassungsfeindlichkeit“ der „hinter“ der Fraktion stehenden Partei anknüpft. Dies gilt selbst dann, wenn das Bundesverfassungsgericht im Verfahren nach Art. 21 IV Alt. 2 GG i.V.m. § 13 Nr. 2a, § 46a BVerfGG festgestellt hätte, dass die Partei verfassungsfeindliche Ziele verfolgt.</w:t>
      </w:r>
      <w:r w:rsidRPr="00F75EC6">
        <w:rPr>
          <w:vertAlign w:val="superscript"/>
        </w:rPr>
        <w:footnoteReference w:id="482"/>
      </w:r>
    </w:p>
    <w:p w14:paraId="0C819B1B" w14:textId="77777777" w:rsidR="005B6EF7" w:rsidRPr="00F75EC6" w:rsidRDefault="005B6EF7" w:rsidP="00F75EC6"/>
    <w:p w14:paraId="0E3B49AD" w14:textId="480F904B" w:rsidR="00F75EC6" w:rsidRPr="00635C3A" w:rsidRDefault="00D91781" w:rsidP="005B6EF7">
      <w:pPr>
        <w:pStyle w:val="berschrift4"/>
      </w:pPr>
      <w:bookmarkStart w:id="526" w:name="_Toc22133320"/>
      <w:r>
        <w:t>C</w:t>
      </w:r>
      <w:r w:rsidR="00F75EC6" w:rsidRPr="00635C3A">
        <w:t>. Ergebnis</w:t>
      </w:r>
      <w:bookmarkEnd w:id="526"/>
    </w:p>
    <w:p w14:paraId="10F977C9" w14:textId="77777777" w:rsidR="00F75EC6" w:rsidRPr="00F75EC6" w:rsidRDefault="00F75EC6" w:rsidP="00F75EC6">
      <w:pPr>
        <w:pStyle w:val="Randnummer"/>
        <w:framePr w:wrap="around"/>
      </w:pPr>
    </w:p>
    <w:p w14:paraId="13862A92" w14:textId="77777777" w:rsidR="00F75EC6" w:rsidRPr="00F75EC6" w:rsidRDefault="00F75EC6" w:rsidP="00F75EC6">
      <w:r w:rsidRPr="00F75EC6">
        <w:t>Die angegriffene Rechtsvorschrift verstößt gegen Art. 3 I GG. Der Normenkontrollantrag der N-Fraktion ist begründet. Der VGH erklärt § 5 III 4 der Entschädigungssatzung für unwirksam (§ 47 V 2 Hs. 1 VwGO).</w:t>
      </w:r>
      <w:bookmarkEnd w:id="501"/>
      <w:bookmarkEnd w:id="504"/>
    </w:p>
    <w:p w14:paraId="3EB2BF7B" w14:textId="181F666A" w:rsidR="00F75EC6" w:rsidRPr="00F75EC6" w:rsidRDefault="00F75EC6" w:rsidP="00F75EC6"/>
    <w:p w14:paraId="599F69F9" w14:textId="77777777" w:rsidR="007E71EB" w:rsidRDefault="007E71EB" w:rsidP="00F75EC6">
      <w:pPr>
        <w:sectPr w:rsidR="007E71EB" w:rsidSect="000C4535">
          <w:footnotePr>
            <w:numRestart w:val="eachSect"/>
          </w:footnotePr>
          <w:pgSz w:w="9639" w:h="13608"/>
          <w:pgMar w:top="1418" w:right="1134" w:bottom="1134" w:left="1134" w:header="709" w:footer="709" w:gutter="0"/>
          <w:cols w:space="708"/>
          <w:docGrid w:linePitch="360"/>
        </w:sectPr>
      </w:pPr>
    </w:p>
    <w:p w14:paraId="293AB7C9" w14:textId="098058BB" w:rsidR="00303824" w:rsidRDefault="008779DD" w:rsidP="00303824">
      <w:pPr>
        <w:pStyle w:val="berschrift1"/>
      </w:pPr>
      <w:bookmarkStart w:id="527" w:name="_Toc10464303"/>
      <w:bookmarkStart w:id="528" w:name="_Toc22132790"/>
      <w:r>
        <w:t xml:space="preserve">§ </w:t>
      </w:r>
      <w:r w:rsidR="00601E96">
        <w:t>8</w:t>
      </w:r>
      <w:r>
        <w:t xml:space="preserve"> Übungsfall zum</w:t>
      </w:r>
      <w:r w:rsidR="00A0667A">
        <w:t xml:space="preserve"> Antrag nach § 80 V VwGO</w:t>
      </w:r>
      <w:bookmarkEnd w:id="527"/>
      <w:bookmarkEnd w:id="528"/>
    </w:p>
    <w:p w14:paraId="1237AA1E" w14:textId="6170FF0F" w:rsidR="003F18F9" w:rsidRDefault="003F18F9" w:rsidP="003F18F9">
      <w:pPr>
        <w:pStyle w:val="berschrift2"/>
      </w:pPr>
      <w:bookmarkStart w:id="529" w:name="_Toc22132791"/>
      <w:r>
        <w:t>Die Struktur des Antrags nach § 80 V VwGO (Nikolas Eisentraut)</w:t>
      </w:r>
      <w:bookmarkEnd w:id="529"/>
    </w:p>
    <w:p w14:paraId="139F4D9B" w14:textId="46F5D4CA" w:rsidR="003F18F9" w:rsidRDefault="003F18F9" w:rsidP="003F18F9">
      <w:pPr>
        <w:pStyle w:val="Autorin"/>
      </w:pPr>
      <w:r>
        <w:t>Nikolas Eisentraut</w:t>
      </w:r>
    </w:p>
    <w:p w14:paraId="1C93D60A" w14:textId="77777777" w:rsidR="003F18F9" w:rsidRDefault="003F18F9" w:rsidP="003F18F9">
      <w:r>
        <w:t>Der gutachterlichen Prüfung des Antrags nach § 80 V VwGO</w:t>
      </w:r>
      <w:r>
        <w:fldChar w:fldCharType="begin"/>
      </w:r>
      <w:r>
        <w:instrText xml:space="preserve"> XE "</w:instrText>
      </w:r>
      <w:r w:rsidRPr="002E151E">
        <w:instrText>Antrag nach § 80 V VwGO</w:instrText>
      </w:r>
      <w:r>
        <w:instrText xml:space="preserve">" </w:instrText>
      </w:r>
      <w:r>
        <w:fldChar w:fldCharType="end"/>
      </w:r>
      <w:r>
        <w:t xml:space="preserve"> liegt die folgende Struktur zugrunde</w:t>
      </w:r>
      <w:r>
        <w:fldChar w:fldCharType="begin"/>
      </w:r>
      <w:r>
        <w:instrText xml:space="preserve"> XE "</w:instrText>
      </w:r>
      <w:r w:rsidRPr="00C7742E">
        <w:instrText>Einstweiliger Rechtsschutz:Antrag nach § 80 V VwGO</w:instrText>
      </w:r>
      <w:r>
        <w:instrText xml:space="preserve">" </w:instrText>
      </w:r>
      <w:r>
        <w:fldChar w:fldCharType="end"/>
      </w:r>
      <w:r>
        <w:t>:</w:t>
      </w:r>
    </w:p>
    <w:p w14:paraId="6E86F873" w14:textId="77777777" w:rsidR="003F18F9" w:rsidRDefault="003F18F9" w:rsidP="003F18F9">
      <w:r>
        <w:t>A. Zulässigkeit</w:t>
      </w:r>
      <w:r>
        <w:fldChar w:fldCharType="begin"/>
      </w:r>
      <w:r>
        <w:instrText xml:space="preserve"> XE "</w:instrText>
      </w:r>
      <w:r w:rsidRPr="00197EDE">
        <w:instrText>Antrag nach § 80 V VwGO:Zulässigkeitsprüfung</w:instrText>
      </w:r>
      <w:r>
        <w:instrText xml:space="preserve">" </w:instrText>
      </w:r>
      <w:r>
        <w:fldChar w:fldCharType="end"/>
      </w:r>
    </w:p>
    <w:p w14:paraId="0CA07E03" w14:textId="3EA7C49F" w:rsidR="003F18F9" w:rsidRPr="00D16DAC" w:rsidRDefault="003F18F9" w:rsidP="003F18F9">
      <w:pPr>
        <w:ind w:firstLine="708"/>
      </w:pPr>
      <w:r w:rsidRPr="00D16DAC">
        <w:t>I. Eröffnung des Verwaltungsrechtswegs</w:t>
      </w:r>
      <w:r>
        <w:t xml:space="preserve"> (s. § 1 Rn. </w:t>
      </w:r>
      <w:r w:rsidR="005B4212">
        <w:t>8</w:t>
      </w:r>
      <w:r>
        <w:t> ff.)</w:t>
      </w:r>
      <w:r>
        <w:rPr>
          <w:rStyle w:val="Funotenzeichen"/>
        </w:rPr>
        <w:footnoteReference w:id="483"/>
      </w:r>
    </w:p>
    <w:p w14:paraId="040EE082" w14:textId="00F31414" w:rsidR="003F18F9" w:rsidRPr="00D16DAC" w:rsidRDefault="003F18F9" w:rsidP="003F18F9">
      <w:pPr>
        <w:ind w:left="708"/>
      </w:pPr>
      <w:r w:rsidRPr="00D16DAC">
        <w:t xml:space="preserve">II. Statthafte </w:t>
      </w:r>
      <w:r>
        <w:t>Antragsart</w:t>
      </w:r>
      <w:r w:rsidRPr="00D16DAC">
        <w:t xml:space="preserve"> (</w:t>
      </w:r>
      <w:r>
        <w:t>s. § 1 Rn. </w:t>
      </w:r>
      <w:r w:rsidR="005B4212">
        <w:t>6</w:t>
      </w:r>
      <w:r>
        <w:t> ff.)</w:t>
      </w:r>
      <w:r>
        <w:rPr>
          <w:rStyle w:val="Funotenzeichen"/>
        </w:rPr>
        <w:footnoteReference w:id="484"/>
      </w:r>
    </w:p>
    <w:p w14:paraId="38788505" w14:textId="5957897E" w:rsidR="003F18F9" w:rsidRDefault="003F18F9" w:rsidP="003F18F9">
      <w:pPr>
        <w:ind w:firstLine="708"/>
      </w:pPr>
      <w:r>
        <w:t>III. Antragsbefugnis</w:t>
      </w:r>
      <w:r>
        <w:rPr>
          <w:rStyle w:val="Funotenzeichen"/>
        </w:rPr>
        <w:footnoteReference w:id="485"/>
      </w:r>
    </w:p>
    <w:p w14:paraId="7D8758C1" w14:textId="082F4EF0" w:rsidR="003F18F9" w:rsidRDefault="003F18F9" w:rsidP="003F18F9">
      <w:pPr>
        <w:ind w:firstLine="708"/>
      </w:pPr>
      <w:r>
        <w:t>IV. Beteiligte</w:t>
      </w:r>
      <w:r>
        <w:rPr>
          <w:rStyle w:val="Funotenzeichen"/>
        </w:rPr>
        <w:footnoteReference w:id="486"/>
      </w:r>
    </w:p>
    <w:p w14:paraId="4C64E31E" w14:textId="6EE3BA48" w:rsidR="003F18F9" w:rsidRDefault="003F18F9" w:rsidP="003F18F9">
      <w:pPr>
        <w:ind w:firstLine="708"/>
      </w:pPr>
      <w:r>
        <w:t>V. Zuständiges Gericht</w:t>
      </w:r>
      <w:r>
        <w:rPr>
          <w:rStyle w:val="Funotenzeichen"/>
        </w:rPr>
        <w:footnoteReference w:id="487"/>
      </w:r>
    </w:p>
    <w:p w14:paraId="5569E22B" w14:textId="738F4EAC" w:rsidR="003F18F9" w:rsidRDefault="003F18F9" w:rsidP="003F18F9">
      <w:pPr>
        <w:ind w:firstLine="708"/>
      </w:pPr>
      <w:r>
        <w:t>VI. Rechtsschutzbedürfnis</w:t>
      </w:r>
      <w:r>
        <w:rPr>
          <w:rStyle w:val="Funotenzeichen"/>
        </w:rPr>
        <w:footnoteReference w:id="488"/>
      </w:r>
    </w:p>
    <w:p w14:paraId="5A167784" w14:textId="5771CD2D" w:rsidR="003F18F9" w:rsidRDefault="003F18F9" w:rsidP="003F18F9">
      <w:r>
        <w:t>B. Begründetheit</w:t>
      </w:r>
      <w:r>
        <w:rPr>
          <w:rStyle w:val="Funotenzeichen"/>
        </w:rPr>
        <w:footnoteReference w:id="489"/>
      </w:r>
    </w:p>
    <w:p w14:paraId="2AF3F260" w14:textId="49B31890" w:rsidR="003F18F9" w:rsidRDefault="003F18F9" w:rsidP="003F18F9">
      <w:r>
        <w:t>Variante 1: Antrag auf Anordnung der aufschiebenden Wirkung</w:t>
      </w:r>
    </w:p>
    <w:p w14:paraId="6BA6042B" w14:textId="56E4DC30" w:rsidR="003F18F9" w:rsidRDefault="003F18F9" w:rsidP="003F18F9">
      <w:r>
        <w:t>Variante 2: Antrag auf Wiederherstellung der aufschiebenden Wirkung</w:t>
      </w:r>
    </w:p>
    <w:p w14:paraId="5AFAE7C5" w14:textId="24DFF255" w:rsidR="003F18F9" w:rsidRDefault="003F18F9" w:rsidP="003F18F9">
      <w:pPr>
        <w:ind w:left="708"/>
      </w:pPr>
      <w:r>
        <w:t xml:space="preserve">I. Formelle Rechtmäßigkeit der Anordnung der sofortigen Vollziehbarkeit </w:t>
      </w:r>
    </w:p>
    <w:p w14:paraId="0F2553FD" w14:textId="54A6E2F2" w:rsidR="003F18F9" w:rsidRDefault="003F18F9" w:rsidP="003F18F9">
      <w:pPr>
        <w:ind w:left="708"/>
      </w:pPr>
      <w:r>
        <w:t>II. Abwägung Aussetzungsinteresse mit Vollzugsinteresse (summarische Prüfung der Erfolgsaussichten in der Hauptsache → Rechtmäßigkeit des Verwaltungsakts)</w:t>
      </w:r>
    </w:p>
    <w:p w14:paraId="5FF12A43" w14:textId="62D936B9" w:rsidR="003F18F9" w:rsidRDefault="003F18F9" w:rsidP="003F18F9">
      <w:pPr>
        <w:ind w:firstLine="708"/>
      </w:pPr>
      <w:r>
        <w:t>III. Ggf.: Besonderes Vollzugsinteresse</w:t>
      </w:r>
      <w:r>
        <w:br w:type="page"/>
      </w:r>
    </w:p>
    <w:p w14:paraId="49F302B5" w14:textId="215CEF24" w:rsidR="00A0667A" w:rsidRDefault="008779DD" w:rsidP="008779DD">
      <w:pPr>
        <w:pStyle w:val="berschrift2"/>
      </w:pPr>
      <w:bookmarkStart w:id="530" w:name="_Toc10464335"/>
      <w:bookmarkStart w:id="531" w:name="_Toc13826763"/>
      <w:bookmarkStart w:id="532" w:name="_Toc22132792"/>
      <w:bookmarkStart w:id="533" w:name="Antrag80V"/>
      <w:r>
        <w:t>F</w:t>
      </w:r>
      <w:r w:rsidR="0062057E">
        <w:t>all</w:t>
      </w:r>
      <w:r w:rsidR="00F1012B">
        <w:t xml:space="preserve"> 14</w:t>
      </w:r>
      <w:r w:rsidR="000B7A1C">
        <w:t xml:space="preserve">: Antrag nach § 80 V VwGO bei </w:t>
      </w:r>
      <w:r w:rsidR="004D7C04">
        <w:t xml:space="preserve">einer </w:t>
      </w:r>
      <w:r w:rsidR="000B7A1C">
        <w:t xml:space="preserve">Versammlung unter </w:t>
      </w:r>
      <w:r w:rsidR="003218E8">
        <w:t>Aufl</w:t>
      </w:r>
      <w:r w:rsidR="00F1012B">
        <w:t>age</w:t>
      </w:r>
      <w:r w:rsidR="000B7A1C">
        <w:t>n</w:t>
      </w:r>
      <w:r w:rsidR="00936764">
        <w:t xml:space="preserve"> (Hendrik Prinz)</w:t>
      </w:r>
      <w:bookmarkEnd w:id="530"/>
      <w:bookmarkEnd w:id="531"/>
      <w:bookmarkEnd w:id="532"/>
    </w:p>
    <w:p w14:paraId="42BC1970" w14:textId="4528ADA3" w:rsidR="0017745A" w:rsidRPr="0017745A" w:rsidRDefault="0017745A" w:rsidP="0017745A">
      <w:pPr>
        <w:pStyle w:val="Autorin"/>
      </w:pPr>
      <w:r>
        <w:t>Hendrik Prinz</w:t>
      </w:r>
    </w:p>
    <w:p w14:paraId="549E303C" w14:textId="77777777" w:rsidR="00113AB2" w:rsidRPr="0062057E" w:rsidRDefault="00113AB2" w:rsidP="005A16FB">
      <w:pPr>
        <w:pStyle w:val="Randnummer"/>
        <w:framePr w:wrap="around"/>
        <w:numPr>
          <w:ilvl w:val="0"/>
          <w:numId w:val="12"/>
        </w:numPr>
      </w:pPr>
    </w:p>
    <w:p w14:paraId="047238EA" w14:textId="0DD920A2" w:rsidR="0062057E" w:rsidRDefault="0062057E" w:rsidP="0062057E">
      <w:r>
        <w:t xml:space="preserve">Schwerpunkte/Lernziele: </w:t>
      </w:r>
      <w:r w:rsidR="005632C5">
        <w:t>Gutachterliche Lösung eines Antrags nach § 80 V VwGO</w:t>
      </w:r>
      <w:r w:rsidR="005B4212">
        <w:t>,</w:t>
      </w:r>
      <w:r w:rsidR="005632C5">
        <w:t xml:space="preserve"> insbesondere Rechtsschutzbedürfnis im Rahmen der Zulässigkeit sowie Abwägung von Suspensivinteresse und öffentlichem Vollziehungsinteresse in der Begründetheit; </w:t>
      </w:r>
      <w:r w:rsidR="005B4212">
        <w:t>i</w:t>
      </w:r>
      <w:r w:rsidR="005632C5">
        <w:t>n der Abwandlung steht die gutachterliche Prüfung der formellen Rechtmäßigkeit der Anordnung der sofortigen Vollziehung im Vordergrund</w:t>
      </w:r>
    </w:p>
    <w:p w14:paraId="10C1234A" w14:textId="77777777" w:rsidR="00B347CC" w:rsidRDefault="00B347CC" w:rsidP="0062057E"/>
    <w:p w14:paraId="34FCE8BD" w14:textId="77777777" w:rsidR="0062057E" w:rsidRPr="00252B37" w:rsidRDefault="0062057E" w:rsidP="0001383E">
      <w:pPr>
        <w:pStyle w:val="berschrift3"/>
      </w:pPr>
      <w:r w:rsidRPr="00252B37">
        <w:t>Sachverhalt</w:t>
      </w:r>
    </w:p>
    <w:p w14:paraId="2686184C" w14:textId="77777777" w:rsidR="0062057E" w:rsidRPr="0062057E" w:rsidRDefault="0062057E" w:rsidP="0062057E">
      <w:pPr>
        <w:pStyle w:val="Randnummer"/>
        <w:framePr w:wrap="around"/>
      </w:pPr>
    </w:p>
    <w:p w14:paraId="65796763" w14:textId="760B9F5A" w:rsidR="0062057E" w:rsidRPr="0062057E" w:rsidRDefault="0062057E" w:rsidP="0062057E">
      <w:r w:rsidRPr="0062057E">
        <w:t>A, Studentin in Leipzig und ihres Zeichens bekennende Umweltschützerin, findet schon länger, dass die Abholzung der Regenwälder und auch der sonstige Umgang der Menschheit mit der Erde untragbar sei. Der Klimawandel zwinge die Gesellschaft vielmehr dazu, nachhaltiger zu handeln und die Erde auch für die kommenden Generationen zu erhalten. Als A dann am Montag, den 10.9.2018 erfährt, dass nun auch noch der „Hambacher Forst“ durch einen Energiekonzern gerodet werden soll, ist sie zwar nicht überrascht, weil sich aus ihrer Sicht ja sowieso immer alles nur ums gute Geld drehe. Sowohl die geplante Rodung des „Hambacher Forsts“ als auch der grundsätzliche Umgang mit dem Umweltschutz finden in den darauffolgenden Tagen eine große mediale Resonanz und werden auch in der Bevölkerung intensiv und kontrovers diskutiert. A möchte das Feld nicht kampflos räumen und beschließt, gegen die Rodung zu demonstrieren. Sie meldet deshalb noch am Montag eine Demonstration unter dem Titel „Hambi bleibt!“ auf dem Leipziger Marktplatz an, zu der sie – zutreffend – ca. 1000 Teilnehmer*innen erwartet. Die Demonstration soll am Freitag, den 14.9.2018 stattfinden.</w:t>
      </w:r>
    </w:p>
    <w:p w14:paraId="36912282" w14:textId="581860B6" w:rsidR="0062057E" w:rsidRPr="0062057E" w:rsidRDefault="0062057E" w:rsidP="0062057E">
      <w:r w:rsidRPr="0062057E">
        <w:t>Die zuständige Versammlungsbehörde der Stadt Leipzig (Stadt L) antwortet A – nach erfolgter Anhörung – am Mittwoch, den 12.9.2018, dass sie ihre Demonstration auf dem Marktplatz nicht veranstalten könne – da freitags immer der Markt auf dem „Marktplatz“ sei, der schließlich ja auch deswegen so heiße. Obwohl der Markt dienstags ohne Umsatzeinbußen der Händler*innen auf dem Augustusplatz stattfinde, sei es den Händler*innen und Marktbesucher*innen organisatorisch nicht zuzumuten, auch am Freitag auf den ca. 500m entfernten Augustusplatz auszuweichen. Schließlich seien die Händler*innen ja auch zuerst da gewesen und es sei eben kein Platz für beides. Tradition sei Tradition. Deshalb werde der A die Demonstration zwar „genehmigt“, allerdings unter der „</w:t>
      </w:r>
      <w:r w:rsidR="003218E8">
        <w:t>Au</w:t>
      </w:r>
      <w:r w:rsidR="005632C5">
        <w:t>flage</w:t>
      </w:r>
      <w:r w:rsidRPr="0062057E">
        <w:t>“, dass die Demonstration auf dem Augustusplatz stattfinden müsse. Aufgrund des zu erwartenden Personenaufkommens am Wochenende versieht die Behörde den Bescheid „vorsichtshalber“ mit einer formell ordnungsgemäßen Anordnung der sofortigen Vollziehung des Bescheids.</w:t>
      </w:r>
    </w:p>
    <w:p w14:paraId="1E6E715E" w14:textId="62AE18F3" w:rsidR="0062057E" w:rsidRPr="0062057E" w:rsidRDefault="0062057E" w:rsidP="0062057E">
      <w:r w:rsidRPr="0062057E">
        <w:t xml:space="preserve">A verspricht sich jedoch aufgrund der vielen Passant*innen, die wegen der umliegenden Geschäfte und </w:t>
      </w:r>
      <w:r w:rsidR="005B4212">
        <w:t>im</w:t>
      </w:r>
      <w:r w:rsidRPr="0062057E">
        <w:t xml:space="preserve"> Hinblick auf den Wochenendbeginn über den Marktplatz strömen, eine größere Resonanz als auf dem Augustusplatz. Sie möchte die Veranstaltung deshalb, wie geplant, am Freitag auf dem Marktplatz abhalten und notfalls auch gerichtlich gegen den Bescheid vom 12.9.2018 vorgehen.</w:t>
      </w:r>
    </w:p>
    <w:p w14:paraId="01F188E3" w14:textId="77777777" w:rsidR="0062057E" w:rsidRPr="005B4212" w:rsidRDefault="0062057E" w:rsidP="0062057E">
      <w:pPr>
        <w:rPr>
          <w:b/>
          <w:bCs/>
        </w:rPr>
      </w:pPr>
      <w:r w:rsidRPr="005B4212">
        <w:rPr>
          <w:b/>
          <w:bCs/>
        </w:rPr>
        <w:t>Frage: Hätte ein gerichtliches Vorgehen der A Aussicht auf Erfolg?</w:t>
      </w:r>
    </w:p>
    <w:p w14:paraId="4BDBB1EC" w14:textId="77777777" w:rsidR="0062057E" w:rsidRPr="0062057E" w:rsidRDefault="0062057E" w:rsidP="0062057E">
      <w:r w:rsidRPr="0062057E">
        <w:rPr>
          <w:b/>
        </w:rPr>
        <w:t xml:space="preserve">Abwandlung: </w:t>
      </w:r>
      <w:r w:rsidRPr="0062057E">
        <w:t>Die Versammlungsbehörde begründet die Anordnung der sofortigen Vollziehung damit, dass ein besonderes öffentliches Interesse an der sofortigen Vollziehung des Bescheids bestehe.</w:t>
      </w:r>
    </w:p>
    <w:p w14:paraId="76D30C5A" w14:textId="77777777" w:rsidR="0062057E" w:rsidRPr="0062057E" w:rsidRDefault="0062057E" w:rsidP="0062057E"/>
    <w:p w14:paraId="20475F7B" w14:textId="3FB096E8" w:rsidR="0001383E" w:rsidRPr="00095F85" w:rsidRDefault="00B347CC" w:rsidP="00095F85">
      <w:r>
        <w:rPr>
          <w:b/>
          <w:bCs/>
        </w:rPr>
        <w:t>Bearbeitungs</w:t>
      </w:r>
      <w:r w:rsidR="0062057E" w:rsidRPr="0062057E">
        <w:rPr>
          <w:b/>
          <w:bCs/>
        </w:rPr>
        <w:t>vermerk:</w:t>
      </w:r>
      <w:r w:rsidR="0062057E" w:rsidRPr="0062057E">
        <w:t xml:space="preserve"> Es ist davon auszugehen, dass der Markt auch freitags ohne wesentliche Umsatzeinbußen auf dem Augustusplatz stattfinden kann. Beurteilen Sie den Erfolg des gerichtlichen Vorgehens unter Rückgriff auf die jeweils in Ihrem Bundesland gelt</w:t>
      </w:r>
      <w:r w:rsidR="00095F85">
        <w:t>enden landesrechtlichen Normen.</w:t>
      </w:r>
      <w:r w:rsidR="0001383E">
        <w:br w:type="page"/>
      </w:r>
    </w:p>
    <w:p w14:paraId="44497F11" w14:textId="0FD60340" w:rsidR="00252B37" w:rsidRDefault="00252B37" w:rsidP="0001383E">
      <w:pPr>
        <w:pStyle w:val="berschrift3"/>
      </w:pPr>
      <w:r w:rsidRPr="00252B37">
        <w:t>Lösungsgliederung</w:t>
      </w:r>
    </w:p>
    <w:p w14:paraId="4EA86799" w14:textId="77777777" w:rsidR="00252B37" w:rsidRPr="00252B37" w:rsidRDefault="00252B37" w:rsidP="00252B37">
      <w:pPr>
        <w:pStyle w:val="Randnummer"/>
        <w:framePr w:wrap="around"/>
      </w:pPr>
    </w:p>
    <w:p w14:paraId="084BB090" w14:textId="56DED5E1" w:rsidR="007537A8" w:rsidRDefault="000434BF">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"Fall14" </w:instrText>
      </w:r>
      <w:r>
        <w:rPr>
          <w:rFonts w:eastAsiaTheme="majorEastAsia"/>
        </w:rPr>
        <w:fldChar w:fldCharType="separate"/>
      </w:r>
      <w:hyperlink w:anchor="_Toc22133321" w:history="1">
        <w:r w:rsidR="007537A8" w:rsidRPr="004D2BF3">
          <w:rPr>
            <w:rStyle w:val="Hyperlink"/>
            <w:noProof/>
          </w:rPr>
          <w:t>Lösungsvorschlag Ausgangsfall</w:t>
        </w:r>
        <w:r w:rsidR="007537A8">
          <w:rPr>
            <w:noProof/>
            <w:webHidden/>
          </w:rPr>
          <w:tab/>
        </w:r>
        <w:r w:rsidR="007537A8">
          <w:rPr>
            <w:noProof/>
            <w:webHidden/>
          </w:rPr>
          <w:fldChar w:fldCharType="begin"/>
        </w:r>
        <w:r w:rsidR="007537A8">
          <w:rPr>
            <w:noProof/>
            <w:webHidden/>
          </w:rPr>
          <w:instrText xml:space="preserve"> PAGEREF _Toc22133321 \h </w:instrText>
        </w:r>
        <w:r w:rsidR="007537A8">
          <w:rPr>
            <w:noProof/>
            <w:webHidden/>
          </w:rPr>
        </w:r>
        <w:r w:rsidR="007537A8">
          <w:rPr>
            <w:noProof/>
            <w:webHidden/>
          </w:rPr>
          <w:fldChar w:fldCharType="separate"/>
        </w:r>
        <w:r w:rsidR="007537A8">
          <w:rPr>
            <w:noProof/>
            <w:webHidden/>
          </w:rPr>
          <w:t>221</w:t>
        </w:r>
        <w:r w:rsidR="007537A8">
          <w:rPr>
            <w:noProof/>
            <w:webHidden/>
          </w:rPr>
          <w:fldChar w:fldCharType="end"/>
        </w:r>
      </w:hyperlink>
    </w:p>
    <w:p w14:paraId="5AC1358A" w14:textId="1ED0437F" w:rsidR="007537A8" w:rsidRDefault="00091FED">
      <w:pPr>
        <w:pStyle w:val="Verzeichnis4"/>
        <w:tabs>
          <w:tab w:val="right" w:leader="dot" w:pos="7361"/>
        </w:tabs>
        <w:rPr>
          <w:rFonts w:eastAsiaTheme="minorEastAsia"/>
          <w:noProof/>
          <w:sz w:val="22"/>
          <w:szCs w:val="22"/>
          <w:lang w:eastAsia="de-DE"/>
        </w:rPr>
      </w:pPr>
      <w:hyperlink w:anchor="_Toc22133322" w:history="1">
        <w:r w:rsidR="007537A8" w:rsidRPr="004D2BF3">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_Toc22133322 \h </w:instrText>
        </w:r>
        <w:r w:rsidR="007537A8">
          <w:rPr>
            <w:noProof/>
            <w:webHidden/>
          </w:rPr>
        </w:r>
        <w:r w:rsidR="007537A8">
          <w:rPr>
            <w:noProof/>
            <w:webHidden/>
          </w:rPr>
          <w:fldChar w:fldCharType="separate"/>
        </w:r>
        <w:r w:rsidR="007537A8">
          <w:rPr>
            <w:noProof/>
            <w:webHidden/>
          </w:rPr>
          <w:t>221</w:t>
        </w:r>
        <w:r w:rsidR="007537A8">
          <w:rPr>
            <w:noProof/>
            <w:webHidden/>
          </w:rPr>
          <w:fldChar w:fldCharType="end"/>
        </w:r>
      </w:hyperlink>
    </w:p>
    <w:p w14:paraId="412FD5EF" w14:textId="51D97CBE" w:rsidR="007537A8" w:rsidRDefault="00091FED">
      <w:pPr>
        <w:pStyle w:val="Verzeichnis5"/>
        <w:tabs>
          <w:tab w:val="right" w:leader="dot" w:pos="7361"/>
        </w:tabs>
        <w:rPr>
          <w:rFonts w:eastAsiaTheme="minorEastAsia"/>
          <w:noProof/>
          <w:sz w:val="22"/>
          <w:szCs w:val="22"/>
          <w:lang w:eastAsia="de-DE"/>
        </w:rPr>
      </w:pPr>
      <w:hyperlink w:anchor="_Toc22133323" w:history="1">
        <w:r w:rsidR="007537A8" w:rsidRPr="004D2BF3">
          <w:rPr>
            <w:rStyle w:val="Hyperlink"/>
            <w:noProof/>
          </w:rPr>
          <w:t>I. Eröffnung des Verwaltungsrechtswegs</w:t>
        </w:r>
        <w:r w:rsidR="007537A8">
          <w:rPr>
            <w:noProof/>
            <w:webHidden/>
          </w:rPr>
          <w:tab/>
        </w:r>
        <w:r w:rsidR="007537A8">
          <w:rPr>
            <w:noProof/>
            <w:webHidden/>
          </w:rPr>
          <w:fldChar w:fldCharType="begin"/>
        </w:r>
        <w:r w:rsidR="007537A8">
          <w:rPr>
            <w:noProof/>
            <w:webHidden/>
          </w:rPr>
          <w:instrText xml:space="preserve"> PAGEREF _Toc22133323 \h </w:instrText>
        </w:r>
        <w:r w:rsidR="007537A8">
          <w:rPr>
            <w:noProof/>
            <w:webHidden/>
          </w:rPr>
        </w:r>
        <w:r w:rsidR="007537A8">
          <w:rPr>
            <w:noProof/>
            <w:webHidden/>
          </w:rPr>
          <w:fldChar w:fldCharType="separate"/>
        </w:r>
        <w:r w:rsidR="007537A8">
          <w:rPr>
            <w:noProof/>
            <w:webHidden/>
          </w:rPr>
          <w:t>221</w:t>
        </w:r>
        <w:r w:rsidR="007537A8">
          <w:rPr>
            <w:noProof/>
            <w:webHidden/>
          </w:rPr>
          <w:fldChar w:fldCharType="end"/>
        </w:r>
      </w:hyperlink>
    </w:p>
    <w:p w14:paraId="632F13C1" w14:textId="02909588" w:rsidR="007537A8" w:rsidRDefault="00091FED">
      <w:pPr>
        <w:pStyle w:val="Verzeichnis5"/>
        <w:tabs>
          <w:tab w:val="right" w:leader="dot" w:pos="7361"/>
        </w:tabs>
        <w:rPr>
          <w:rFonts w:eastAsiaTheme="minorEastAsia"/>
          <w:noProof/>
          <w:sz w:val="22"/>
          <w:szCs w:val="22"/>
          <w:lang w:eastAsia="de-DE"/>
        </w:rPr>
      </w:pPr>
      <w:hyperlink w:anchor="_Toc22133324" w:history="1">
        <w:r w:rsidR="007537A8" w:rsidRPr="004D2BF3">
          <w:rPr>
            <w:rStyle w:val="Hyperlink"/>
            <w:noProof/>
          </w:rPr>
          <w:t>II. Statthafte Antragsart</w:t>
        </w:r>
        <w:r w:rsidR="007537A8">
          <w:rPr>
            <w:noProof/>
            <w:webHidden/>
          </w:rPr>
          <w:tab/>
        </w:r>
        <w:r w:rsidR="007537A8">
          <w:rPr>
            <w:noProof/>
            <w:webHidden/>
          </w:rPr>
          <w:fldChar w:fldCharType="begin"/>
        </w:r>
        <w:r w:rsidR="007537A8">
          <w:rPr>
            <w:noProof/>
            <w:webHidden/>
          </w:rPr>
          <w:instrText xml:space="preserve"> PAGEREF _Toc22133324 \h </w:instrText>
        </w:r>
        <w:r w:rsidR="007537A8">
          <w:rPr>
            <w:noProof/>
            <w:webHidden/>
          </w:rPr>
        </w:r>
        <w:r w:rsidR="007537A8">
          <w:rPr>
            <w:noProof/>
            <w:webHidden/>
          </w:rPr>
          <w:fldChar w:fldCharType="separate"/>
        </w:r>
        <w:r w:rsidR="007537A8">
          <w:rPr>
            <w:noProof/>
            <w:webHidden/>
          </w:rPr>
          <w:t>221</w:t>
        </w:r>
        <w:r w:rsidR="007537A8">
          <w:rPr>
            <w:noProof/>
            <w:webHidden/>
          </w:rPr>
          <w:fldChar w:fldCharType="end"/>
        </w:r>
      </w:hyperlink>
    </w:p>
    <w:p w14:paraId="2015BC77" w14:textId="297D6FB9" w:rsidR="007537A8" w:rsidRDefault="00091FED">
      <w:pPr>
        <w:pStyle w:val="Verzeichnis5"/>
        <w:tabs>
          <w:tab w:val="right" w:leader="dot" w:pos="7361"/>
        </w:tabs>
        <w:rPr>
          <w:rFonts w:eastAsiaTheme="minorEastAsia"/>
          <w:noProof/>
          <w:sz w:val="22"/>
          <w:szCs w:val="22"/>
          <w:lang w:eastAsia="de-DE"/>
        </w:rPr>
      </w:pPr>
      <w:hyperlink w:anchor="_Toc22133325" w:history="1">
        <w:r w:rsidR="007537A8" w:rsidRPr="004D2BF3">
          <w:rPr>
            <w:rStyle w:val="Hyperlink"/>
            <w:noProof/>
          </w:rPr>
          <w:t>III. Antragsbefugnis</w:t>
        </w:r>
        <w:r w:rsidR="007537A8">
          <w:rPr>
            <w:noProof/>
            <w:webHidden/>
          </w:rPr>
          <w:tab/>
        </w:r>
        <w:r w:rsidR="007537A8">
          <w:rPr>
            <w:noProof/>
            <w:webHidden/>
          </w:rPr>
          <w:fldChar w:fldCharType="begin"/>
        </w:r>
        <w:r w:rsidR="007537A8">
          <w:rPr>
            <w:noProof/>
            <w:webHidden/>
          </w:rPr>
          <w:instrText xml:space="preserve"> PAGEREF _Toc22133325 \h </w:instrText>
        </w:r>
        <w:r w:rsidR="007537A8">
          <w:rPr>
            <w:noProof/>
            <w:webHidden/>
          </w:rPr>
        </w:r>
        <w:r w:rsidR="007537A8">
          <w:rPr>
            <w:noProof/>
            <w:webHidden/>
          </w:rPr>
          <w:fldChar w:fldCharType="separate"/>
        </w:r>
        <w:r w:rsidR="007537A8">
          <w:rPr>
            <w:noProof/>
            <w:webHidden/>
          </w:rPr>
          <w:t>222</w:t>
        </w:r>
        <w:r w:rsidR="007537A8">
          <w:rPr>
            <w:noProof/>
            <w:webHidden/>
          </w:rPr>
          <w:fldChar w:fldCharType="end"/>
        </w:r>
      </w:hyperlink>
    </w:p>
    <w:p w14:paraId="7CEBE38A" w14:textId="167C56B8" w:rsidR="007537A8" w:rsidRDefault="00091FED">
      <w:pPr>
        <w:pStyle w:val="Verzeichnis5"/>
        <w:tabs>
          <w:tab w:val="right" w:leader="dot" w:pos="7361"/>
        </w:tabs>
        <w:rPr>
          <w:rFonts w:eastAsiaTheme="minorEastAsia"/>
          <w:noProof/>
          <w:sz w:val="22"/>
          <w:szCs w:val="22"/>
          <w:lang w:eastAsia="de-DE"/>
        </w:rPr>
      </w:pPr>
      <w:hyperlink w:anchor="_Toc22133326" w:history="1">
        <w:r w:rsidR="007537A8" w:rsidRPr="004D2BF3">
          <w:rPr>
            <w:rStyle w:val="Hyperlink"/>
            <w:noProof/>
          </w:rPr>
          <w:t>IV. Antragsfrist</w:t>
        </w:r>
        <w:r w:rsidR="007537A8">
          <w:rPr>
            <w:noProof/>
            <w:webHidden/>
          </w:rPr>
          <w:tab/>
        </w:r>
        <w:r w:rsidR="007537A8">
          <w:rPr>
            <w:noProof/>
            <w:webHidden/>
          </w:rPr>
          <w:fldChar w:fldCharType="begin"/>
        </w:r>
        <w:r w:rsidR="007537A8">
          <w:rPr>
            <w:noProof/>
            <w:webHidden/>
          </w:rPr>
          <w:instrText xml:space="preserve"> PAGEREF _Toc22133326 \h </w:instrText>
        </w:r>
        <w:r w:rsidR="007537A8">
          <w:rPr>
            <w:noProof/>
            <w:webHidden/>
          </w:rPr>
        </w:r>
        <w:r w:rsidR="007537A8">
          <w:rPr>
            <w:noProof/>
            <w:webHidden/>
          </w:rPr>
          <w:fldChar w:fldCharType="separate"/>
        </w:r>
        <w:r w:rsidR="007537A8">
          <w:rPr>
            <w:noProof/>
            <w:webHidden/>
          </w:rPr>
          <w:t>223</w:t>
        </w:r>
        <w:r w:rsidR="007537A8">
          <w:rPr>
            <w:noProof/>
            <w:webHidden/>
          </w:rPr>
          <w:fldChar w:fldCharType="end"/>
        </w:r>
      </w:hyperlink>
    </w:p>
    <w:p w14:paraId="00851BD3" w14:textId="68EB069D" w:rsidR="007537A8" w:rsidRDefault="00091FED">
      <w:pPr>
        <w:pStyle w:val="Verzeichnis5"/>
        <w:tabs>
          <w:tab w:val="right" w:leader="dot" w:pos="7361"/>
        </w:tabs>
        <w:rPr>
          <w:rFonts w:eastAsiaTheme="minorEastAsia"/>
          <w:noProof/>
          <w:sz w:val="22"/>
          <w:szCs w:val="22"/>
          <w:lang w:eastAsia="de-DE"/>
        </w:rPr>
      </w:pPr>
      <w:hyperlink w:anchor="_Toc22133327" w:history="1">
        <w:r w:rsidR="007537A8" w:rsidRPr="004D2BF3">
          <w:rPr>
            <w:rStyle w:val="Hyperlink"/>
            <w:noProof/>
          </w:rPr>
          <w:t>V. Tauglicher Antragsgegner</w:t>
        </w:r>
        <w:r w:rsidR="007537A8">
          <w:rPr>
            <w:noProof/>
            <w:webHidden/>
          </w:rPr>
          <w:tab/>
        </w:r>
        <w:r w:rsidR="007537A8">
          <w:rPr>
            <w:noProof/>
            <w:webHidden/>
          </w:rPr>
          <w:fldChar w:fldCharType="begin"/>
        </w:r>
        <w:r w:rsidR="007537A8">
          <w:rPr>
            <w:noProof/>
            <w:webHidden/>
          </w:rPr>
          <w:instrText xml:space="preserve"> PAGEREF _Toc22133327 \h </w:instrText>
        </w:r>
        <w:r w:rsidR="007537A8">
          <w:rPr>
            <w:noProof/>
            <w:webHidden/>
          </w:rPr>
        </w:r>
        <w:r w:rsidR="007537A8">
          <w:rPr>
            <w:noProof/>
            <w:webHidden/>
          </w:rPr>
          <w:fldChar w:fldCharType="separate"/>
        </w:r>
        <w:r w:rsidR="007537A8">
          <w:rPr>
            <w:noProof/>
            <w:webHidden/>
          </w:rPr>
          <w:t>223</w:t>
        </w:r>
        <w:r w:rsidR="007537A8">
          <w:rPr>
            <w:noProof/>
            <w:webHidden/>
          </w:rPr>
          <w:fldChar w:fldCharType="end"/>
        </w:r>
      </w:hyperlink>
    </w:p>
    <w:p w14:paraId="0D891658" w14:textId="1FAF5E96" w:rsidR="007537A8" w:rsidRDefault="00091FED">
      <w:pPr>
        <w:pStyle w:val="Verzeichnis5"/>
        <w:tabs>
          <w:tab w:val="right" w:leader="dot" w:pos="7361"/>
        </w:tabs>
        <w:rPr>
          <w:rFonts w:eastAsiaTheme="minorEastAsia"/>
          <w:noProof/>
          <w:sz w:val="22"/>
          <w:szCs w:val="22"/>
          <w:lang w:eastAsia="de-DE"/>
        </w:rPr>
      </w:pPr>
      <w:hyperlink w:anchor="_Toc22133328" w:history="1">
        <w:r w:rsidR="007537A8" w:rsidRPr="004D2BF3">
          <w:rPr>
            <w:rStyle w:val="Hyperlink"/>
            <w:noProof/>
          </w:rPr>
          <w:t>VI. Beteiligungs- und Prozessfähigkeit</w:t>
        </w:r>
        <w:r w:rsidR="007537A8">
          <w:rPr>
            <w:noProof/>
            <w:webHidden/>
          </w:rPr>
          <w:tab/>
        </w:r>
        <w:r w:rsidR="007537A8">
          <w:rPr>
            <w:noProof/>
            <w:webHidden/>
          </w:rPr>
          <w:fldChar w:fldCharType="begin"/>
        </w:r>
        <w:r w:rsidR="007537A8">
          <w:rPr>
            <w:noProof/>
            <w:webHidden/>
          </w:rPr>
          <w:instrText xml:space="preserve"> PAGEREF _Toc22133328 \h </w:instrText>
        </w:r>
        <w:r w:rsidR="007537A8">
          <w:rPr>
            <w:noProof/>
            <w:webHidden/>
          </w:rPr>
        </w:r>
        <w:r w:rsidR="007537A8">
          <w:rPr>
            <w:noProof/>
            <w:webHidden/>
          </w:rPr>
          <w:fldChar w:fldCharType="separate"/>
        </w:r>
        <w:r w:rsidR="007537A8">
          <w:rPr>
            <w:noProof/>
            <w:webHidden/>
          </w:rPr>
          <w:t>223</w:t>
        </w:r>
        <w:r w:rsidR="007537A8">
          <w:rPr>
            <w:noProof/>
            <w:webHidden/>
          </w:rPr>
          <w:fldChar w:fldCharType="end"/>
        </w:r>
      </w:hyperlink>
    </w:p>
    <w:p w14:paraId="5F2AD348" w14:textId="39AA16D3" w:rsidR="007537A8" w:rsidRDefault="00091FED">
      <w:pPr>
        <w:pStyle w:val="Verzeichnis5"/>
        <w:tabs>
          <w:tab w:val="right" w:leader="dot" w:pos="7361"/>
        </w:tabs>
        <w:rPr>
          <w:rFonts w:eastAsiaTheme="minorEastAsia"/>
          <w:noProof/>
          <w:sz w:val="22"/>
          <w:szCs w:val="22"/>
          <w:lang w:eastAsia="de-DE"/>
        </w:rPr>
      </w:pPr>
      <w:hyperlink w:anchor="_Toc22133329" w:history="1">
        <w:r w:rsidR="007537A8" w:rsidRPr="004D2BF3">
          <w:rPr>
            <w:rStyle w:val="Hyperlink"/>
            <w:noProof/>
          </w:rPr>
          <w:t>VII. Zuständiges Gericht</w:t>
        </w:r>
        <w:r w:rsidR="007537A8">
          <w:rPr>
            <w:noProof/>
            <w:webHidden/>
          </w:rPr>
          <w:tab/>
        </w:r>
        <w:r w:rsidR="007537A8">
          <w:rPr>
            <w:noProof/>
            <w:webHidden/>
          </w:rPr>
          <w:fldChar w:fldCharType="begin"/>
        </w:r>
        <w:r w:rsidR="007537A8">
          <w:rPr>
            <w:noProof/>
            <w:webHidden/>
          </w:rPr>
          <w:instrText xml:space="preserve"> PAGEREF _Toc22133329 \h </w:instrText>
        </w:r>
        <w:r w:rsidR="007537A8">
          <w:rPr>
            <w:noProof/>
            <w:webHidden/>
          </w:rPr>
        </w:r>
        <w:r w:rsidR="007537A8">
          <w:rPr>
            <w:noProof/>
            <w:webHidden/>
          </w:rPr>
          <w:fldChar w:fldCharType="separate"/>
        </w:r>
        <w:r w:rsidR="007537A8">
          <w:rPr>
            <w:noProof/>
            <w:webHidden/>
          </w:rPr>
          <w:t>223</w:t>
        </w:r>
        <w:r w:rsidR="007537A8">
          <w:rPr>
            <w:noProof/>
            <w:webHidden/>
          </w:rPr>
          <w:fldChar w:fldCharType="end"/>
        </w:r>
      </w:hyperlink>
    </w:p>
    <w:p w14:paraId="08F86809" w14:textId="295A56A2" w:rsidR="007537A8" w:rsidRDefault="00091FED">
      <w:pPr>
        <w:pStyle w:val="Verzeichnis5"/>
        <w:tabs>
          <w:tab w:val="right" w:leader="dot" w:pos="7361"/>
        </w:tabs>
        <w:rPr>
          <w:rFonts w:eastAsiaTheme="minorEastAsia"/>
          <w:noProof/>
          <w:sz w:val="22"/>
          <w:szCs w:val="22"/>
          <w:lang w:eastAsia="de-DE"/>
        </w:rPr>
      </w:pPr>
      <w:hyperlink w:anchor="_Toc22133330" w:history="1">
        <w:r w:rsidR="007537A8" w:rsidRPr="004D2BF3">
          <w:rPr>
            <w:rStyle w:val="Hyperlink"/>
            <w:noProof/>
          </w:rPr>
          <w:t>VIII. Rechtsschutzbedürfnis</w:t>
        </w:r>
        <w:r w:rsidR="007537A8">
          <w:rPr>
            <w:noProof/>
            <w:webHidden/>
          </w:rPr>
          <w:tab/>
        </w:r>
        <w:r w:rsidR="007537A8">
          <w:rPr>
            <w:noProof/>
            <w:webHidden/>
          </w:rPr>
          <w:fldChar w:fldCharType="begin"/>
        </w:r>
        <w:r w:rsidR="007537A8">
          <w:rPr>
            <w:noProof/>
            <w:webHidden/>
          </w:rPr>
          <w:instrText xml:space="preserve"> PAGEREF _Toc22133330 \h </w:instrText>
        </w:r>
        <w:r w:rsidR="007537A8">
          <w:rPr>
            <w:noProof/>
            <w:webHidden/>
          </w:rPr>
        </w:r>
        <w:r w:rsidR="007537A8">
          <w:rPr>
            <w:noProof/>
            <w:webHidden/>
          </w:rPr>
          <w:fldChar w:fldCharType="separate"/>
        </w:r>
        <w:r w:rsidR="007537A8">
          <w:rPr>
            <w:noProof/>
            <w:webHidden/>
          </w:rPr>
          <w:t>223</w:t>
        </w:r>
        <w:r w:rsidR="007537A8">
          <w:rPr>
            <w:noProof/>
            <w:webHidden/>
          </w:rPr>
          <w:fldChar w:fldCharType="end"/>
        </w:r>
      </w:hyperlink>
    </w:p>
    <w:p w14:paraId="3CBBC83C" w14:textId="6E943CA8" w:rsidR="007537A8" w:rsidRDefault="00091FED">
      <w:pPr>
        <w:pStyle w:val="Verzeichnis6"/>
        <w:tabs>
          <w:tab w:val="right" w:leader="dot" w:pos="7361"/>
        </w:tabs>
        <w:rPr>
          <w:noProof/>
          <w:sz w:val="22"/>
          <w:szCs w:val="22"/>
          <w:lang w:eastAsia="de-DE"/>
        </w:rPr>
      </w:pPr>
      <w:hyperlink w:anchor="_Toc22133331" w:history="1">
        <w:r w:rsidR="007537A8" w:rsidRPr="004D2BF3">
          <w:rPr>
            <w:rStyle w:val="Hyperlink"/>
            <w:noProof/>
          </w:rPr>
          <w:t>1. Erfordernis der Erhebung eines Rechtsbehelfs in der Hauptsache</w:t>
        </w:r>
        <w:r w:rsidR="007537A8">
          <w:rPr>
            <w:noProof/>
            <w:webHidden/>
          </w:rPr>
          <w:tab/>
        </w:r>
        <w:r w:rsidR="007537A8">
          <w:rPr>
            <w:noProof/>
            <w:webHidden/>
          </w:rPr>
          <w:fldChar w:fldCharType="begin"/>
        </w:r>
        <w:r w:rsidR="007537A8">
          <w:rPr>
            <w:noProof/>
            <w:webHidden/>
          </w:rPr>
          <w:instrText xml:space="preserve"> PAGEREF _Toc22133331 \h </w:instrText>
        </w:r>
        <w:r w:rsidR="007537A8">
          <w:rPr>
            <w:noProof/>
            <w:webHidden/>
          </w:rPr>
        </w:r>
        <w:r w:rsidR="007537A8">
          <w:rPr>
            <w:noProof/>
            <w:webHidden/>
          </w:rPr>
          <w:fldChar w:fldCharType="separate"/>
        </w:r>
        <w:r w:rsidR="007537A8">
          <w:rPr>
            <w:noProof/>
            <w:webHidden/>
          </w:rPr>
          <w:t>223</w:t>
        </w:r>
        <w:r w:rsidR="007537A8">
          <w:rPr>
            <w:noProof/>
            <w:webHidden/>
          </w:rPr>
          <w:fldChar w:fldCharType="end"/>
        </w:r>
      </w:hyperlink>
    </w:p>
    <w:p w14:paraId="0AFD6AA9" w14:textId="60205C61" w:rsidR="007537A8" w:rsidRDefault="00091FED">
      <w:pPr>
        <w:pStyle w:val="Verzeichnis6"/>
        <w:tabs>
          <w:tab w:val="right" w:leader="dot" w:pos="7361"/>
        </w:tabs>
        <w:rPr>
          <w:noProof/>
          <w:sz w:val="22"/>
          <w:szCs w:val="22"/>
          <w:lang w:eastAsia="de-DE"/>
        </w:rPr>
      </w:pPr>
      <w:hyperlink w:anchor="_Toc22133332" w:history="1">
        <w:r w:rsidR="007537A8" w:rsidRPr="004D2BF3">
          <w:rPr>
            <w:rStyle w:val="Hyperlink"/>
            <w:noProof/>
          </w:rPr>
          <w:t>2. Vorheriger Antrag bei der Behörde</w:t>
        </w:r>
        <w:r w:rsidR="007537A8">
          <w:rPr>
            <w:noProof/>
            <w:webHidden/>
          </w:rPr>
          <w:tab/>
        </w:r>
        <w:r w:rsidR="007537A8">
          <w:rPr>
            <w:noProof/>
            <w:webHidden/>
          </w:rPr>
          <w:fldChar w:fldCharType="begin"/>
        </w:r>
        <w:r w:rsidR="007537A8">
          <w:rPr>
            <w:noProof/>
            <w:webHidden/>
          </w:rPr>
          <w:instrText xml:space="preserve"> PAGEREF _Toc22133332 \h </w:instrText>
        </w:r>
        <w:r w:rsidR="007537A8">
          <w:rPr>
            <w:noProof/>
            <w:webHidden/>
          </w:rPr>
        </w:r>
        <w:r w:rsidR="007537A8">
          <w:rPr>
            <w:noProof/>
            <w:webHidden/>
          </w:rPr>
          <w:fldChar w:fldCharType="separate"/>
        </w:r>
        <w:r w:rsidR="007537A8">
          <w:rPr>
            <w:noProof/>
            <w:webHidden/>
          </w:rPr>
          <w:t>224</w:t>
        </w:r>
        <w:r w:rsidR="007537A8">
          <w:rPr>
            <w:noProof/>
            <w:webHidden/>
          </w:rPr>
          <w:fldChar w:fldCharType="end"/>
        </w:r>
      </w:hyperlink>
    </w:p>
    <w:p w14:paraId="36F18619" w14:textId="7505C383" w:rsidR="007537A8" w:rsidRDefault="00091FED">
      <w:pPr>
        <w:pStyle w:val="Verzeichnis5"/>
        <w:tabs>
          <w:tab w:val="right" w:leader="dot" w:pos="7361"/>
        </w:tabs>
        <w:rPr>
          <w:rFonts w:eastAsiaTheme="minorEastAsia"/>
          <w:noProof/>
          <w:sz w:val="22"/>
          <w:szCs w:val="22"/>
          <w:lang w:eastAsia="de-DE"/>
        </w:rPr>
      </w:pPr>
      <w:hyperlink w:anchor="_Toc22133333" w:history="1">
        <w:r w:rsidR="007537A8" w:rsidRPr="004D2BF3">
          <w:rPr>
            <w:rStyle w:val="Hyperlink"/>
            <w:noProof/>
          </w:rPr>
          <w:t>IX. Zwischenergebnis</w:t>
        </w:r>
        <w:r w:rsidR="007537A8">
          <w:rPr>
            <w:noProof/>
            <w:webHidden/>
          </w:rPr>
          <w:tab/>
        </w:r>
        <w:r w:rsidR="007537A8">
          <w:rPr>
            <w:noProof/>
            <w:webHidden/>
          </w:rPr>
          <w:fldChar w:fldCharType="begin"/>
        </w:r>
        <w:r w:rsidR="007537A8">
          <w:rPr>
            <w:noProof/>
            <w:webHidden/>
          </w:rPr>
          <w:instrText xml:space="preserve"> PAGEREF _Toc22133333 \h </w:instrText>
        </w:r>
        <w:r w:rsidR="007537A8">
          <w:rPr>
            <w:noProof/>
            <w:webHidden/>
          </w:rPr>
        </w:r>
        <w:r w:rsidR="007537A8">
          <w:rPr>
            <w:noProof/>
            <w:webHidden/>
          </w:rPr>
          <w:fldChar w:fldCharType="separate"/>
        </w:r>
        <w:r w:rsidR="007537A8">
          <w:rPr>
            <w:noProof/>
            <w:webHidden/>
          </w:rPr>
          <w:t>224</w:t>
        </w:r>
        <w:r w:rsidR="007537A8">
          <w:rPr>
            <w:noProof/>
            <w:webHidden/>
          </w:rPr>
          <w:fldChar w:fldCharType="end"/>
        </w:r>
      </w:hyperlink>
    </w:p>
    <w:p w14:paraId="6AB24977" w14:textId="21196A79" w:rsidR="007537A8" w:rsidRDefault="00091FED">
      <w:pPr>
        <w:pStyle w:val="Verzeichnis4"/>
        <w:tabs>
          <w:tab w:val="right" w:leader="dot" w:pos="7361"/>
        </w:tabs>
        <w:rPr>
          <w:rFonts w:eastAsiaTheme="minorEastAsia"/>
          <w:noProof/>
          <w:sz w:val="22"/>
          <w:szCs w:val="22"/>
          <w:lang w:eastAsia="de-DE"/>
        </w:rPr>
      </w:pPr>
      <w:hyperlink w:anchor="_Toc22133334" w:history="1">
        <w:r w:rsidR="007537A8" w:rsidRPr="004D2BF3">
          <w:rPr>
            <w:rStyle w:val="Hyperlink"/>
            <w:noProof/>
          </w:rPr>
          <w:t>B. Begründetheit</w:t>
        </w:r>
        <w:r w:rsidR="007537A8">
          <w:rPr>
            <w:noProof/>
            <w:webHidden/>
          </w:rPr>
          <w:tab/>
        </w:r>
        <w:r w:rsidR="007537A8">
          <w:rPr>
            <w:noProof/>
            <w:webHidden/>
          </w:rPr>
          <w:fldChar w:fldCharType="begin"/>
        </w:r>
        <w:r w:rsidR="007537A8">
          <w:rPr>
            <w:noProof/>
            <w:webHidden/>
          </w:rPr>
          <w:instrText xml:space="preserve"> PAGEREF _Toc22133334 \h </w:instrText>
        </w:r>
        <w:r w:rsidR="007537A8">
          <w:rPr>
            <w:noProof/>
            <w:webHidden/>
          </w:rPr>
        </w:r>
        <w:r w:rsidR="007537A8">
          <w:rPr>
            <w:noProof/>
            <w:webHidden/>
          </w:rPr>
          <w:fldChar w:fldCharType="separate"/>
        </w:r>
        <w:r w:rsidR="007537A8">
          <w:rPr>
            <w:noProof/>
            <w:webHidden/>
          </w:rPr>
          <w:t>224</w:t>
        </w:r>
        <w:r w:rsidR="007537A8">
          <w:rPr>
            <w:noProof/>
            <w:webHidden/>
          </w:rPr>
          <w:fldChar w:fldCharType="end"/>
        </w:r>
      </w:hyperlink>
    </w:p>
    <w:p w14:paraId="54B95902" w14:textId="2ABB1485" w:rsidR="007537A8" w:rsidRDefault="00091FED">
      <w:pPr>
        <w:pStyle w:val="Verzeichnis5"/>
        <w:tabs>
          <w:tab w:val="right" w:leader="dot" w:pos="7361"/>
        </w:tabs>
        <w:rPr>
          <w:rFonts w:eastAsiaTheme="minorEastAsia"/>
          <w:noProof/>
          <w:sz w:val="22"/>
          <w:szCs w:val="22"/>
          <w:lang w:eastAsia="de-DE"/>
        </w:rPr>
      </w:pPr>
      <w:hyperlink w:anchor="_Toc22133335" w:history="1">
        <w:r w:rsidR="007537A8" w:rsidRPr="004D2BF3">
          <w:rPr>
            <w:rStyle w:val="Hyperlink"/>
            <w:noProof/>
          </w:rPr>
          <w:t>I. Passivlegitimation</w:t>
        </w:r>
        <w:r w:rsidR="007537A8">
          <w:rPr>
            <w:noProof/>
            <w:webHidden/>
          </w:rPr>
          <w:tab/>
        </w:r>
        <w:r w:rsidR="007537A8">
          <w:rPr>
            <w:noProof/>
            <w:webHidden/>
          </w:rPr>
          <w:fldChar w:fldCharType="begin"/>
        </w:r>
        <w:r w:rsidR="007537A8">
          <w:rPr>
            <w:noProof/>
            <w:webHidden/>
          </w:rPr>
          <w:instrText xml:space="preserve"> PAGEREF _Toc22133335 \h </w:instrText>
        </w:r>
        <w:r w:rsidR="007537A8">
          <w:rPr>
            <w:noProof/>
            <w:webHidden/>
          </w:rPr>
        </w:r>
        <w:r w:rsidR="007537A8">
          <w:rPr>
            <w:noProof/>
            <w:webHidden/>
          </w:rPr>
          <w:fldChar w:fldCharType="separate"/>
        </w:r>
        <w:r w:rsidR="007537A8">
          <w:rPr>
            <w:noProof/>
            <w:webHidden/>
          </w:rPr>
          <w:t>225</w:t>
        </w:r>
        <w:r w:rsidR="007537A8">
          <w:rPr>
            <w:noProof/>
            <w:webHidden/>
          </w:rPr>
          <w:fldChar w:fldCharType="end"/>
        </w:r>
      </w:hyperlink>
    </w:p>
    <w:p w14:paraId="65988874" w14:textId="532D525E" w:rsidR="007537A8" w:rsidRDefault="00091FED">
      <w:pPr>
        <w:pStyle w:val="Verzeichnis5"/>
        <w:tabs>
          <w:tab w:val="right" w:leader="dot" w:pos="7361"/>
        </w:tabs>
        <w:rPr>
          <w:rFonts w:eastAsiaTheme="minorEastAsia"/>
          <w:noProof/>
          <w:sz w:val="22"/>
          <w:szCs w:val="22"/>
          <w:lang w:eastAsia="de-DE"/>
        </w:rPr>
      </w:pPr>
      <w:hyperlink w:anchor="_Toc22133336" w:history="1">
        <w:r w:rsidR="007537A8" w:rsidRPr="004D2BF3">
          <w:rPr>
            <w:rStyle w:val="Hyperlink"/>
            <w:noProof/>
          </w:rPr>
          <w:t>II. Formelle Rechtmäßigkeit der Anordnung der sofortigen Vollziehung</w:t>
        </w:r>
        <w:r w:rsidR="007537A8">
          <w:rPr>
            <w:noProof/>
            <w:webHidden/>
          </w:rPr>
          <w:tab/>
        </w:r>
        <w:r w:rsidR="007537A8">
          <w:rPr>
            <w:noProof/>
            <w:webHidden/>
          </w:rPr>
          <w:fldChar w:fldCharType="begin"/>
        </w:r>
        <w:r w:rsidR="007537A8">
          <w:rPr>
            <w:noProof/>
            <w:webHidden/>
          </w:rPr>
          <w:instrText xml:space="preserve"> PAGEREF _Toc22133336 \h </w:instrText>
        </w:r>
        <w:r w:rsidR="007537A8">
          <w:rPr>
            <w:noProof/>
            <w:webHidden/>
          </w:rPr>
        </w:r>
        <w:r w:rsidR="007537A8">
          <w:rPr>
            <w:noProof/>
            <w:webHidden/>
          </w:rPr>
          <w:fldChar w:fldCharType="separate"/>
        </w:r>
        <w:r w:rsidR="007537A8">
          <w:rPr>
            <w:noProof/>
            <w:webHidden/>
          </w:rPr>
          <w:t>225</w:t>
        </w:r>
        <w:r w:rsidR="007537A8">
          <w:rPr>
            <w:noProof/>
            <w:webHidden/>
          </w:rPr>
          <w:fldChar w:fldCharType="end"/>
        </w:r>
      </w:hyperlink>
    </w:p>
    <w:p w14:paraId="27B7A51B" w14:textId="3209BC7B" w:rsidR="007537A8" w:rsidRDefault="00091FED">
      <w:pPr>
        <w:pStyle w:val="Verzeichnis5"/>
        <w:tabs>
          <w:tab w:val="right" w:leader="dot" w:pos="7361"/>
        </w:tabs>
        <w:rPr>
          <w:rFonts w:eastAsiaTheme="minorEastAsia"/>
          <w:noProof/>
          <w:sz w:val="22"/>
          <w:szCs w:val="22"/>
          <w:lang w:eastAsia="de-DE"/>
        </w:rPr>
      </w:pPr>
      <w:hyperlink w:anchor="_Toc22133337" w:history="1">
        <w:r w:rsidR="007537A8" w:rsidRPr="004D2BF3">
          <w:rPr>
            <w:rStyle w:val="Hyperlink"/>
            <w:noProof/>
          </w:rPr>
          <w:t>III. Abwägung des Suspensivinteresses der A mit dem öffentlichen Vollziehungsinteresse</w:t>
        </w:r>
        <w:r w:rsidR="007537A8">
          <w:rPr>
            <w:noProof/>
            <w:webHidden/>
          </w:rPr>
          <w:tab/>
        </w:r>
        <w:r w:rsidR="007537A8">
          <w:rPr>
            <w:noProof/>
            <w:webHidden/>
          </w:rPr>
          <w:fldChar w:fldCharType="begin"/>
        </w:r>
        <w:r w:rsidR="007537A8">
          <w:rPr>
            <w:noProof/>
            <w:webHidden/>
          </w:rPr>
          <w:instrText xml:space="preserve"> PAGEREF _Toc22133337 \h </w:instrText>
        </w:r>
        <w:r w:rsidR="007537A8">
          <w:rPr>
            <w:noProof/>
            <w:webHidden/>
          </w:rPr>
        </w:r>
        <w:r w:rsidR="007537A8">
          <w:rPr>
            <w:noProof/>
            <w:webHidden/>
          </w:rPr>
          <w:fldChar w:fldCharType="separate"/>
        </w:r>
        <w:r w:rsidR="007537A8">
          <w:rPr>
            <w:noProof/>
            <w:webHidden/>
          </w:rPr>
          <w:t>225</w:t>
        </w:r>
        <w:r w:rsidR="007537A8">
          <w:rPr>
            <w:noProof/>
            <w:webHidden/>
          </w:rPr>
          <w:fldChar w:fldCharType="end"/>
        </w:r>
      </w:hyperlink>
    </w:p>
    <w:p w14:paraId="4B45C3EA" w14:textId="72EAA1BD" w:rsidR="007537A8" w:rsidRDefault="00091FED">
      <w:pPr>
        <w:pStyle w:val="Verzeichnis6"/>
        <w:tabs>
          <w:tab w:val="right" w:leader="dot" w:pos="7361"/>
        </w:tabs>
        <w:rPr>
          <w:noProof/>
          <w:sz w:val="22"/>
          <w:szCs w:val="22"/>
          <w:lang w:eastAsia="de-DE"/>
        </w:rPr>
      </w:pPr>
      <w:hyperlink w:anchor="_Toc22133338" w:history="1">
        <w:r w:rsidR="007537A8" w:rsidRPr="004D2BF3">
          <w:rPr>
            <w:rStyle w:val="Hyperlink"/>
            <w:noProof/>
          </w:rPr>
          <w:t>1. Ermächtigungsgrundlage</w:t>
        </w:r>
        <w:r w:rsidR="007537A8">
          <w:rPr>
            <w:noProof/>
            <w:webHidden/>
          </w:rPr>
          <w:tab/>
        </w:r>
        <w:r w:rsidR="007537A8">
          <w:rPr>
            <w:noProof/>
            <w:webHidden/>
          </w:rPr>
          <w:fldChar w:fldCharType="begin"/>
        </w:r>
        <w:r w:rsidR="007537A8">
          <w:rPr>
            <w:noProof/>
            <w:webHidden/>
          </w:rPr>
          <w:instrText xml:space="preserve"> PAGEREF _Toc22133338 \h </w:instrText>
        </w:r>
        <w:r w:rsidR="007537A8">
          <w:rPr>
            <w:noProof/>
            <w:webHidden/>
          </w:rPr>
        </w:r>
        <w:r w:rsidR="007537A8">
          <w:rPr>
            <w:noProof/>
            <w:webHidden/>
          </w:rPr>
          <w:fldChar w:fldCharType="separate"/>
        </w:r>
        <w:r w:rsidR="007537A8">
          <w:rPr>
            <w:noProof/>
            <w:webHidden/>
          </w:rPr>
          <w:t>225</w:t>
        </w:r>
        <w:r w:rsidR="007537A8">
          <w:rPr>
            <w:noProof/>
            <w:webHidden/>
          </w:rPr>
          <w:fldChar w:fldCharType="end"/>
        </w:r>
      </w:hyperlink>
    </w:p>
    <w:p w14:paraId="4E79D04F" w14:textId="47A8ADB0" w:rsidR="007537A8" w:rsidRDefault="00091FED">
      <w:pPr>
        <w:pStyle w:val="Verzeichnis6"/>
        <w:tabs>
          <w:tab w:val="right" w:leader="dot" w:pos="7361"/>
        </w:tabs>
        <w:rPr>
          <w:noProof/>
          <w:sz w:val="22"/>
          <w:szCs w:val="22"/>
          <w:lang w:eastAsia="de-DE"/>
        </w:rPr>
      </w:pPr>
      <w:hyperlink w:anchor="_Toc22133339" w:history="1">
        <w:r w:rsidR="007537A8" w:rsidRPr="004D2BF3">
          <w:rPr>
            <w:rStyle w:val="Hyperlink"/>
            <w:noProof/>
          </w:rPr>
          <w:t>2. Formelle Rechtmäßigkeit</w:t>
        </w:r>
        <w:r w:rsidR="007537A8">
          <w:rPr>
            <w:noProof/>
            <w:webHidden/>
          </w:rPr>
          <w:tab/>
        </w:r>
        <w:r w:rsidR="007537A8">
          <w:rPr>
            <w:noProof/>
            <w:webHidden/>
          </w:rPr>
          <w:fldChar w:fldCharType="begin"/>
        </w:r>
        <w:r w:rsidR="007537A8">
          <w:rPr>
            <w:noProof/>
            <w:webHidden/>
          </w:rPr>
          <w:instrText xml:space="preserve"> PAGEREF _Toc22133339 \h </w:instrText>
        </w:r>
        <w:r w:rsidR="007537A8">
          <w:rPr>
            <w:noProof/>
            <w:webHidden/>
          </w:rPr>
        </w:r>
        <w:r w:rsidR="007537A8">
          <w:rPr>
            <w:noProof/>
            <w:webHidden/>
          </w:rPr>
          <w:fldChar w:fldCharType="separate"/>
        </w:r>
        <w:r w:rsidR="007537A8">
          <w:rPr>
            <w:noProof/>
            <w:webHidden/>
          </w:rPr>
          <w:t>225</w:t>
        </w:r>
        <w:r w:rsidR="007537A8">
          <w:rPr>
            <w:noProof/>
            <w:webHidden/>
          </w:rPr>
          <w:fldChar w:fldCharType="end"/>
        </w:r>
      </w:hyperlink>
    </w:p>
    <w:p w14:paraId="32393A8C" w14:textId="0F1CC0E0" w:rsidR="007537A8" w:rsidRDefault="00091FED">
      <w:pPr>
        <w:pStyle w:val="Verzeichnis7"/>
        <w:tabs>
          <w:tab w:val="right" w:leader="dot" w:pos="7361"/>
        </w:tabs>
        <w:rPr>
          <w:noProof/>
          <w:sz w:val="22"/>
          <w:szCs w:val="22"/>
          <w:lang w:eastAsia="de-DE"/>
        </w:rPr>
      </w:pPr>
      <w:hyperlink w:anchor="_Toc22133340" w:history="1">
        <w:r w:rsidR="007537A8" w:rsidRPr="004D2BF3">
          <w:rPr>
            <w:rStyle w:val="Hyperlink"/>
            <w:noProof/>
          </w:rPr>
          <w:t>a) Zuständigkeit</w:t>
        </w:r>
        <w:r w:rsidR="007537A8">
          <w:rPr>
            <w:noProof/>
            <w:webHidden/>
          </w:rPr>
          <w:tab/>
        </w:r>
        <w:r w:rsidR="007537A8">
          <w:rPr>
            <w:noProof/>
            <w:webHidden/>
          </w:rPr>
          <w:fldChar w:fldCharType="begin"/>
        </w:r>
        <w:r w:rsidR="007537A8">
          <w:rPr>
            <w:noProof/>
            <w:webHidden/>
          </w:rPr>
          <w:instrText xml:space="preserve"> PAGEREF _Toc22133340 \h </w:instrText>
        </w:r>
        <w:r w:rsidR="007537A8">
          <w:rPr>
            <w:noProof/>
            <w:webHidden/>
          </w:rPr>
        </w:r>
        <w:r w:rsidR="007537A8">
          <w:rPr>
            <w:noProof/>
            <w:webHidden/>
          </w:rPr>
          <w:fldChar w:fldCharType="separate"/>
        </w:r>
        <w:r w:rsidR="007537A8">
          <w:rPr>
            <w:noProof/>
            <w:webHidden/>
          </w:rPr>
          <w:t>225</w:t>
        </w:r>
        <w:r w:rsidR="007537A8">
          <w:rPr>
            <w:noProof/>
            <w:webHidden/>
          </w:rPr>
          <w:fldChar w:fldCharType="end"/>
        </w:r>
      </w:hyperlink>
    </w:p>
    <w:p w14:paraId="5887CA26" w14:textId="101C169A" w:rsidR="007537A8" w:rsidRDefault="00091FED">
      <w:pPr>
        <w:pStyle w:val="Verzeichnis7"/>
        <w:tabs>
          <w:tab w:val="right" w:leader="dot" w:pos="7361"/>
        </w:tabs>
        <w:rPr>
          <w:noProof/>
          <w:sz w:val="22"/>
          <w:szCs w:val="22"/>
          <w:lang w:eastAsia="de-DE"/>
        </w:rPr>
      </w:pPr>
      <w:hyperlink w:anchor="_Toc22133341" w:history="1">
        <w:r w:rsidR="007537A8" w:rsidRPr="004D2BF3">
          <w:rPr>
            <w:rStyle w:val="Hyperlink"/>
            <w:noProof/>
          </w:rPr>
          <w:t>b) Verfahren</w:t>
        </w:r>
        <w:r w:rsidR="007537A8">
          <w:rPr>
            <w:noProof/>
            <w:webHidden/>
          </w:rPr>
          <w:tab/>
        </w:r>
        <w:r w:rsidR="007537A8">
          <w:rPr>
            <w:noProof/>
            <w:webHidden/>
          </w:rPr>
          <w:fldChar w:fldCharType="begin"/>
        </w:r>
        <w:r w:rsidR="007537A8">
          <w:rPr>
            <w:noProof/>
            <w:webHidden/>
          </w:rPr>
          <w:instrText xml:space="preserve"> PAGEREF _Toc22133341 \h </w:instrText>
        </w:r>
        <w:r w:rsidR="007537A8">
          <w:rPr>
            <w:noProof/>
            <w:webHidden/>
          </w:rPr>
        </w:r>
        <w:r w:rsidR="007537A8">
          <w:rPr>
            <w:noProof/>
            <w:webHidden/>
          </w:rPr>
          <w:fldChar w:fldCharType="separate"/>
        </w:r>
        <w:r w:rsidR="007537A8">
          <w:rPr>
            <w:noProof/>
            <w:webHidden/>
          </w:rPr>
          <w:t>225</w:t>
        </w:r>
        <w:r w:rsidR="007537A8">
          <w:rPr>
            <w:noProof/>
            <w:webHidden/>
          </w:rPr>
          <w:fldChar w:fldCharType="end"/>
        </w:r>
      </w:hyperlink>
    </w:p>
    <w:p w14:paraId="6C6303F8" w14:textId="6B4EE7E4" w:rsidR="007537A8" w:rsidRDefault="00091FED">
      <w:pPr>
        <w:pStyle w:val="Verzeichnis7"/>
        <w:tabs>
          <w:tab w:val="right" w:leader="dot" w:pos="7361"/>
        </w:tabs>
        <w:rPr>
          <w:noProof/>
          <w:sz w:val="22"/>
          <w:szCs w:val="22"/>
          <w:lang w:eastAsia="de-DE"/>
        </w:rPr>
      </w:pPr>
      <w:hyperlink w:anchor="_Toc22133342" w:history="1">
        <w:r w:rsidR="007537A8" w:rsidRPr="004D2BF3">
          <w:rPr>
            <w:rStyle w:val="Hyperlink"/>
            <w:noProof/>
          </w:rPr>
          <w:t>c) Form</w:t>
        </w:r>
        <w:r w:rsidR="007537A8">
          <w:rPr>
            <w:noProof/>
            <w:webHidden/>
          </w:rPr>
          <w:tab/>
        </w:r>
        <w:r w:rsidR="007537A8">
          <w:rPr>
            <w:noProof/>
            <w:webHidden/>
          </w:rPr>
          <w:fldChar w:fldCharType="begin"/>
        </w:r>
        <w:r w:rsidR="007537A8">
          <w:rPr>
            <w:noProof/>
            <w:webHidden/>
          </w:rPr>
          <w:instrText xml:space="preserve"> PAGEREF _Toc22133342 \h </w:instrText>
        </w:r>
        <w:r w:rsidR="007537A8">
          <w:rPr>
            <w:noProof/>
            <w:webHidden/>
          </w:rPr>
        </w:r>
        <w:r w:rsidR="007537A8">
          <w:rPr>
            <w:noProof/>
            <w:webHidden/>
          </w:rPr>
          <w:fldChar w:fldCharType="separate"/>
        </w:r>
        <w:r w:rsidR="007537A8">
          <w:rPr>
            <w:noProof/>
            <w:webHidden/>
          </w:rPr>
          <w:t>225</w:t>
        </w:r>
        <w:r w:rsidR="007537A8">
          <w:rPr>
            <w:noProof/>
            <w:webHidden/>
          </w:rPr>
          <w:fldChar w:fldCharType="end"/>
        </w:r>
      </w:hyperlink>
    </w:p>
    <w:p w14:paraId="2D9C3E13" w14:textId="0C975C0D" w:rsidR="007537A8" w:rsidRDefault="00091FED">
      <w:pPr>
        <w:pStyle w:val="Verzeichnis7"/>
        <w:tabs>
          <w:tab w:val="right" w:leader="dot" w:pos="7361"/>
        </w:tabs>
        <w:rPr>
          <w:noProof/>
          <w:sz w:val="22"/>
          <w:szCs w:val="22"/>
          <w:lang w:eastAsia="de-DE"/>
        </w:rPr>
      </w:pPr>
      <w:hyperlink w:anchor="_Toc22133343" w:history="1">
        <w:r w:rsidR="007537A8" w:rsidRPr="004D2BF3">
          <w:rPr>
            <w:rStyle w:val="Hyperlink"/>
            <w:noProof/>
          </w:rPr>
          <w:t>d) Zwischenergebnis</w:t>
        </w:r>
        <w:r w:rsidR="007537A8">
          <w:rPr>
            <w:noProof/>
            <w:webHidden/>
          </w:rPr>
          <w:tab/>
        </w:r>
        <w:r w:rsidR="007537A8">
          <w:rPr>
            <w:noProof/>
            <w:webHidden/>
          </w:rPr>
          <w:fldChar w:fldCharType="begin"/>
        </w:r>
        <w:r w:rsidR="007537A8">
          <w:rPr>
            <w:noProof/>
            <w:webHidden/>
          </w:rPr>
          <w:instrText xml:space="preserve"> PAGEREF _Toc22133343 \h </w:instrText>
        </w:r>
        <w:r w:rsidR="007537A8">
          <w:rPr>
            <w:noProof/>
            <w:webHidden/>
          </w:rPr>
        </w:r>
        <w:r w:rsidR="007537A8">
          <w:rPr>
            <w:noProof/>
            <w:webHidden/>
          </w:rPr>
          <w:fldChar w:fldCharType="separate"/>
        </w:r>
        <w:r w:rsidR="007537A8">
          <w:rPr>
            <w:noProof/>
            <w:webHidden/>
          </w:rPr>
          <w:t>225</w:t>
        </w:r>
        <w:r w:rsidR="007537A8">
          <w:rPr>
            <w:noProof/>
            <w:webHidden/>
          </w:rPr>
          <w:fldChar w:fldCharType="end"/>
        </w:r>
      </w:hyperlink>
    </w:p>
    <w:p w14:paraId="5E0637D7" w14:textId="55C10911" w:rsidR="007537A8" w:rsidRDefault="00091FED">
      <w:pPr>
        <w:pStyle w:val="Verzeichnis6"/>
        <w:tabs>
          <w:tab w:val="right" w:leader="dot" w:pos="7361"/>
        </w:tabs>
        <w:rPr>
          <w:noProof/>
          <w:sz w:val="22"/>
          <w:szCs w:val="22"/>
          <w:lang w:eastAsia="de-DE"/>
        </w:rPr>
      </w:pPr>
      <w:hyperlink w:anchor="_Toc22133344" w:history="1">
        <w:r w:rsidR="007537A8" w:rsidRPr="004D2BF3">
          <w:rPr>
            <w:rStyle w:val="Hyperlink"/>
            <w:noProof/>
          </w:rPr>
          <w:t>3. Materielle Rechtmäßigkeit</w:t>
        </w:r>
        <w:r w:rsidR="007537A8">
          <w:rPr>
            <w:noProof/>
            <w:webHidden/>
          </w:rPr>
          <w:tab/>
        </w:r>
        <w:r w:rsidR="007537A8">
          <w:rPr>
            <w:noProof/>
            <w:webHidden/>
          </w:rPr>
          <w:fldChar w:fldCharType="begin"/>
        </w:r>
        <w:r w:rsidR="007537A8">
          <w:rPr>
            <w:noProof/>
            <w:webHidden/>
          </w:rPr>
          <w:instrText xml:space="preserve"> PAGEREF _Toc22133344 \h </w:instrText>
        </w:r>
        <w:r w:rsidR="007537A8">
          <w:rPr>
            <w:noProof/>
            <w:webHidden/>
          </w:rPr>
        </w:r>
        <w:r w:rsidR="007537A8">
          <w:rPr>
            <w:noProof/>
            <w:webHidden/>
          </w:rPr>
          <w:fldChar w:fldCharType="separate"/>
        </w:r>
        <w:r w:rsidR="007537A8">
          <w:rPr>
            <w:noProof/>
            <w:webHidden/>
          </w:rPr>
          <w:t>225</w:t>
        </w:r>
        <w:r w:rsidR="007537A8">
          <w:rPr>
            <w:noProof/>
            <w:webHidden/>
          </w:rPr>
          <w:fldChar w:fldCharType="end"/>
        </w:r>
      </w:hyperlink>
    </w:p>
    <w:p w14:paraId="2F992440" w14:textId="454507D5" w:rsidR="007537A8" w:rsidRDefault="00091FED">
      <w:pPr>
        <w:pStyle w:val="Verzeichnis7"/>
        <w:tabs>
          <w:tab w:val="right" w:leader="dot" w:pos="7361"/>
        </w:tabs>
        <w:rPr>
          <w:noProof/>
          <w:sz w:val="22"/>
          <w:szCs w:val="22"/>
          <w:lang w:eastAsia="de-DE"/>
        </w:rPr>
      </w:pPr>
      <w:hyperlink w:anchor="_Toc22133345" w:history="1">
        <w:r w:rsidR="007537A8" w:rsidRPr="004D2BF3">
          <w:rPr>
            <w:rStyle w:val="Hyperlink"/>
            <w:noProof/>
          </w:rPr>
          <w:t>a) Tatbestandsvoraussetzungen der Ermächtigungsgrundlage</w:t>
        </w:r>
        <w:r w:rsidR="007537A8">
          <w:rPr>
            <w:noProof/>
            <w:webHidden/>
          </w:rPr>
          <w:tab/>
        </w:r>
        <w:r w:rsidR="007537A8">
          <w:rPr>
            <w:noProof/>
            <w:webHidden/>
          </w:rPr>
          <w:fldChar w:fldCharType="begin"/>
        </w:r>
        <w:r w:rsidR="007537A8">
          <w:rPr>
            <w:noProof/>
            <w:webHidden/>
          </w:rPr>
          <w:instrText xml:space="preserve"> PAGEREF _Toc22133345 \h </w:instrText>
        </w:r>
        <w:r w:rsidR="007537A8">
          <w:rPr>
            <w:noProof/>
            <w:webHidden/>
          </w:rPr>
        </w:r>
        <w:r w:rsidR="007537A8">
          <w:rPr>
            <w:noProof/>
            <w:webHidden/>
          </w:rPr>
          <w:fldChar w:fldCharType="separate"/>
        </w:r>
        <w:r w:rsidR="007537A8">
          <w:rPr>
            <w:noProof/>
            <w:webHidden/>
          </w:rPr>
          <w:t>225</w:t>
        </w:r>
        <w:r w:rsidR="007537A8">
          <w:rPr>
            <w:noProof/>
            <w:webHidden/>
          </w:rPr>
          <w:fldChar w:fldCharType="end"/>
        </w:r>
      </w:hyperlink>
    </w:p>
    <w:p w14:paraId="2110695E" w14:textId="5033C257" w:rsidR="007537A8" w:rsidRDefault="00091FED">
      <w:pPr>
        <w:pStyle w:val="Verzeichnis8"/>
        <w:tabs>
          <w:tab w:val="right" w:leader="dot" w:pos="7361"/>
        </w:tabs>
        <w:rPr>
          <w:noProof/>
          <w:sz w:val="22"/>
          <w:szCs w:val="22"/>
          <w:lang w:eastAsia="de-DE"/>
        </w:rPr>
      </w:pPr>
      <w:hyperlink w:anchor="_Toc22133346" w:history="1">
        <w:r w:rsidR="007537A8" w:rsidRPr="004D2BF3">
          <w:rPr>
            <w:rStyle w:val="Hyperlink"/>
            <w:noProof/>
          </w:rPr>
          <w:t>aa) Versammlung</w:t>
        </w:r>
        <w:r w:rsidR="007537A8">
          <w:rPr>
            <w:noProof/>
            <w:webHidden/>
          </w:rPr>
          <w:tab/>
        </w:r>
        <w:r w:rsidR="007537A8">
          <w:rPr>
            <w:noProof/>
            <w:webHidden/>
          </w:rPr>
          <w:fldChar w:fldCharType="begin"/>
        </w:r>
        <w:r w:rsidR="007537A8">
          <w:rPr>
            <w:noProof/>
            <w:webHidden/>
          </w:rPr>
          <w:instrText xml:space="preserve"> PAGEREF _Toc22133346 \h </w:instrText>
        </w:r>
        <w:r w:rsidR="007537A8">
          <w:rPr>
            <w:noProof/>
            <w:webHidden/>
          </w:rPr>
        </w:r>
        <w:r w:rsidR="007537A8">
          <w:rPr>
            <w:noProof/>
            <w:webHidden/>
          </w:rPr>
          <w:fldChar w:fldCharType="separate"/>
        </w:r>
        <w:r w:rsidR="007537A8">
          <w:rPr>
            <w:noProof/>
            <w:webHidden/>
          </w:rPr>
          <w:t>226</w:t>
        </w:r>
        <w:r w:rsidR="007537A8">
          <w:rPr>
            <w:noProof/>
            <w:webHidden/>
          </w:rPr>
          <w:fldChar w:fldCharType="end"/>
        </w:r>
      </w:hyperlink>
    </w:p>
    <w:p w14:paraId="0DA704E2" w14:textId="79144B94" w:rsidR="007537A8" w:rsidRDefault="00091FED">
      <w:pPr>
        <w:pStyle w:val="Verzeichnis8"/>
        <w:tabs>
          <w:tab w:val="right" w:leader="dot" w:pos="7361"/>
        </w:tabs>
        <w:rPr>
          <w:noProof/>
          <w:sz w:val="22"/>
          <w:szCs w:val="22"/>
          <w:lang w:eastAsia="de-DE"/>
        </w:rPr>
      </w:pPr>
      <w:hyperlink w:anchor="_Toc22133347" w:history="1">
        <w:r w:rsidR="007537A8" w:rsidRPr="004D2BF3">
          <w:rPr>
            <w:rStyle w:val="Hyperlink"/>
            <w:noProof/>
          </w:rPr>
          <w:t>bb) Unmittelbare Gefährdung für öffentliche Sicherheit oder Ordnung</w:t>
        </w:r>
        <w:r w:rsidR="007537A8">
          <w:rPr>
            <w:noProof/>
            <w:webHidden/>
          </w:rPr>
          <w:tab/>
        </w:r>
        <w:r w:rsidR="007537A8">
          <w:rPr>
            <w:noProof/>
            <w:webHidden/>
          </w:rPr>
          <w:fldChar w:fldCharType="begin"/>
        </w:r>
        <w:r w:rsidR="007537A8">
          <w:rPr>
            <w:noProof/>
            <w:webHidden/>
          </w:rPr>
          <w:instrText xml:space="preserve"> PAGEREF _Toc22133347 \h </w:instrText>
        </w:r>
        <w:r w:rsidR="007537A8">
          <w:rPr>
            <w:noProof/>
            <w:webHidden/>
          </w:rPr>
        </w:r>
        <w:r w:rsidR="007537A8">
          <w:rPr>
            <w:noProof/>
            <w:webHidden/>
          </w:rPr>
          <w:fldChar w:fldCharType="separate"/>
        </w:r>
        <w:r w:rsidR="007537A8">
          <w:rPr>
            <w:noProof/>
            <w:webHidden/>
          </w:rPr>
          <w:t>226</w:t>
        </w:r>
        <w:r w:rsidR="007537A8">
          <w:rPr>
            <w:noProof/>
            <w:webHidden/>
          </w:rPr>
          <w:fldChar w:fldCharType="end"/>
        </w:r>
      </w:hyperlink>
    </w:p>
    <w:p w14:paraId="5B72FB63" w14:textId="0DAEE8C6" w:rsidR="007537A8" w:rsidRDefault="00091FED">
      <w:pPr>
        <w:pStyle w:val="Verzeichnis8"/>
        <w:tabs>
          <w:tab w:val="right" w:leader="dot" w:pos="7361"/>
        </w:tabs>
        <w:rPr>
          <w:noProof/>
          <w:sz w:val="22"/>
          <w:szCs w:val="22"/>
          <w:lang w:eastAsia="de-DE"/>
        </w:rPr>
      </w:pPr>
      <w:hyperlink w:anchor="_Toc22133348" w:history="1">
        <w:r w:rsidR="007537A8" w:rsidRPr="004D2BF3">
          <w:rPr>
            <w:rStyle w:val="Hyperlink"/>
            <w:noProof/>
          </w:rPr>
          <w:t>cc) Störereigenschaft</w:t>
        </w:r>
        <w:r w:rsidR="007537A8">
          <w:rPr>
            <w:noProof/>
            <w:webHidden/>
          </w:rPr>
          <w:tab/>
        </w:r>
        <w:r w:rsidR="007537A8">
          <w:rPr>
            <w:noProof/>
            <w:webHidden/>
          </w:rPr>
          <w:fldChar w:fldCharType="begin"/>
        </w:r>
        <w:r w:rsidR="007537A8">
          <w:rPr>
            <w:noProof/>
            <w:webHidden/>
          </w:rPr>
          <w:instrText xml:space="preserve"> PAGEREF _Toc22133348 \h </w:instrText>
        </w:r>
        <w:r w:rsidR="007537A8">
          <w:rPr>
            <w:noProof/>
            <w:webHidden/>
          </w:rPr>
        </w:r>
        <w:r w:rsidR="007537A8">
          <w:rPr>
            <w:noProof/>
            <w:webHidden/>
          </w:rPr>
          <w:fldChar w:fldCharType="separate"/>
        </w:r>
        <w:r w:rsidR="007537A8">
          <w:rPr>
            <w:noProof/>
            <w:webHidden/>
          </w:rPr>
          <w:t>227</w:t>
        </w:r>
        <w:r w:rsidR="007537A8">
          <w:rPr>
            <w:noProof/>
            <w:webHidden/>
          </w:rPr>
          <w:fldChar w:fldCharType="end"/>
        </w:r>
      </w:hyperlink>
    </w:p>
    <w:p w14:paraId="6522E206" w14:textId="3F65BB2A" w:rsidR="007537A8" w:rsidRDefault="00091FED">
      <w:pPr>
        <w:pStyle w:val="Verzeichnis8"/>
        <w:tabs>
          <w:tab w:val="right" w:leader="dot" w:pos="7361"/>
        </w:tabs>
        <w:rPr>
          <w:noProof/>
          <w:sz w:val="22"/>
          <w:szCs w:val="22"/>
          <w:lang w:eastAsia="de-DE"/>
        </w:rPr>
      </w:pPr>
      <w:hyperlink w:anchor="_Toc22133349" w:history="1">
        <w:r w:rsidR="007537A8" w:rsidRPr="004D2BF3">
          <w:rPr>
            <w:rStyle w:val="Hyperlink"/>
            <w:noProof/>
          </w:rPr>
          <w:t>dd) Zwischenergebnis</w:t>
        </w:r>
        <w:r w:rsidR="007537A8">
          <w:rPr>
            <w:noProof/>
            <w:webHidden/>
          </w:rPr>
          <w:tab/>
        </w:r>
        <w:r w:rsidR="007537A8">
          <w:rPr>
            <w:noProof/>
            <w:webHidden/>
          </w:rPr>
          <w:fldChar w:fldCharType="begin"/>
        </w:r>
        <w:r w:rsidR="007537A8">
          <w:rPr>
            <w:noProof/>
            <w:webHidden/>
          </w:rPr>
          <w:instrText xml:space="preserve"> PAGEREF _Toc22133349 \h </w:instrText>
        </w:r>
        <w:r w:rsidR="007537A8">
          <w:rPr>
            <w:noProof/>
            <w:webHidden/>
          </w:rPr>
        </w:r>
        <w:r w:rsidR="007537A8">
          <w:rPr>
            <w:noProof/>
            <w:webHidden/>
          </w:rPr>
          <w:fldChar w:fldCharType="separate"/>
        </w:r>
        <w:r w:rsidR="007537A8">
          <w:rPr>
            <w:noProof/>
            <w:webHidden/>
          </w:rPr>
          <w:t>227</w:t>
        </w:r>
        <w:r w:rsidR="007537A8">
          <w:rPr>
            <w:noProof/>
            <w:webHidden/>
          </w:rPr>
          <w:fldChar w:fldCharType="end"/>
        </w:r>
      </w:hyperlink>
    </w:p>
    <w:p w14:paraId="0645F0F3" w14:textId="6AF1848E" w:rsidR="007537A8" w:rsidRDefault="00091FED">
      <w:pPr>
        <w:pStyle w:val="Verzeichnis7"/>
        <w:tabs>
          <w:tab w:val="right" w:leader="dot" w:pos="7361"/>
        </w:tabs>
        <w:rPr>
          <w:noProof/>
          <w:sz w:val="22"/>
          <w:szCs w:val="22"/>
          <w:lang w:eastAsia="de-DE"/>
        </w:rPr>
      </w:pPr>
      <w:hyperlink w:anchor="_Toc22133350" w:history="1">
        <w:r w:rsidR="007537A8" w:rsidRPr="004D2BF3">
          <w:rPr>
            <w:rStyle w:val="Hyperlink"/>
            <w:noProof/>
          </w:rPr>
          <w:t>b) Rechtsfolge: Ermessen</w:t>
        </w:r>
        <w:r w:rsidR="007537A8">
          <w:rPr>
            <w:noProof/>
            <w:webHidden/>
          </w:rPr>
          <w:tab/>
        </w:r>
        <w:r w:rsidR="007537A8">
          <w:rPr>
            <w:noProof/>
            <w:webHidden/>
          </w:rPr>
          <w:fldChar w:fldCharType="begin"/>
        </w:r>
        <w:r w:rsidR="007537A8">
          <w:rPr>
            <w:noProof/>
            <w:webHidden/>
          </w:rPr>
          <w:instrText xml:space="preserve"> PAGEREF _Toc22133350 \h </w:instrText>
        </w:r>
        <w:r w:rsidR="007537A8">
          <w:rPr>
            <w:noProof/>
            <w:webHidden/>
          </w:rPr>
        </w:r>
        <w:r w:rsidR="007537A8">
          <w:rPr>
            <w:noProof/>
            <w:webHidden/>
          </w:rPr>
          <w:fldChar w:fldCharType="separate"/>
        </w:r>
        <w:r w:rsidR="007537A8">
          <w:rPr>
            <w:noProof/>
            <w:webHidden/>
          </w:rPr>
          <w:t>227</w:t>
        </w:r>
        <w:r w:rsidR="007537A8">
          <w:rPr>
            <w:noProof/>
            <w:webHidden/>
          </w:rPr>
          <w:fldChar w:fldCharType="end"/>
        </w:r>
      </w:hyperlink>
    </w:p>
    <w:p w14:paraId="44395BEA" w14:textId="2C37DFF5" w:rsidR="007537A8" w:rsidRDefault="00091FED">
      <w:pPr>
        <w:pStyle w:val="Verzeichnis7"/>
        <w:tabs>
          <w:tab w:val="right" w:leader="dot" w:pos="7361"/>
        </w:tabs>
        <w:rPr>
          <w:noProof/>
          <w:sz w:val="22"/>
          <w:szCs w:val="22"/>
          <w:lang w:eastAsia="de-DE"/>
        </w:rPr>
      </w:pPr>
      <w:hyperlink w:anchor="_Toc22133351" w:history="1">
        <w:r w:rsidR="007537A8" w:rsidRPr="004D2BF3">
          <w:rPr>
            <w:rStyle w:val="Hyperlink"/>
            <w:noProof/>
          </w:rPr>
          <w:t>c) Zwischenergebnis</w:t>
        </w:r>
        <w:r w:rsidR="007537A8">
          <w:rPr>
            <w:noProof/>
            <w:webHidden/>
          </w:rPr>
          <w:tab/>
        </w:r>
        <w:r w:rsidR="007537A8">
          <w:rPr>
            <w:noProof/>
            <w:webHidden/>
          </w:rPr>
          <w:fldChar w:fldCharType="begin"/>
        </w:r>
        <w:r w:rsidR="007537A8">
          <w:rPr>
            <w:noProof/>
            <w:webHidden/>
          </w:rPr>
          <w:instrText xml:space="preserve"> PAGEREF _Toc22133351 \h </w:instrText>
        </w:r>
        <w:r w:rsidR="007537A8">
          <w:rPr>
            <w:noProof/>
            <w:webHidden/>
          </w:rPr>
        </w:r>
        <w:r w:rsidR="007537A8">
          <w:rPr>
            <w:noProof/>
            <w:webHidden/>
          </w:rPr>
          <w:fldChar w:fldCharType="separate"/>
        </w:r>
        <w:r w:rsidR="007537A8">
          <w:rPr>
            <w:noProof/>
            <w:webHidden/>
          </w:rPr>
          <w:t>228</w:t>
        </w:r>
        <w:r w:rsidR="007537A8">
          <w:rPr>
            <w:noProof/>
            <w:webHidden/>
          </w:rPr>
          <w:fldChar w:fldCharType="end"/>
        </w:r>
      </w:hyperlink>
    </w:p>
    <w:p w14:paraId="6787FE57" w14:textId="05A976E6" w:rsidR="007537A8" w:rsidRDefault="00091FED">
      <w:pPr>
        <w:pStyle w:val="Verzeichnis5"/>
        <w:tabs>
          <w:tab w:val="right" w:leader="dot" w:pos="7361"/>
        </w:tabs>
        <w:rPr>
          <w:rFonts w:eastAsiaTheme="minorEastAsia"/>
          <w:noProof/>
          <w:sz w:val="22"/>
          <w:szCs w:val="22"/>
          <w:lang w:eastAsia="de-DE"/>
        </w:rPr>
      </w:pPr>
      <w:hyperlink w:anchor="_Toc22133352" w:history="1">
        <w:r w:rsidR="007537A8" w:rsidRPr="004D2BF3">
          <w:rPr>
            <w:rStyle w:val="Hyperlink"/>
            <w:noProof/>
          </w:rPr>
          <w:t>IV. Interesse der Öffentlichkeit an der sofortigen Vollziehung</w:t>
        </w:r>
        <w:r w:rsidR="007537A8">
          <w:rPr>
            <w:noProof/>
            <w:webHidden/>
          </w:rPr>
          <w:tab/>
        </w:r>
        <w:r w:rsidR="007537A8">
          <w:rPr>
            <w:noProof/>
            <w:webHidden/>
          </w:rPr>
          <w:fldChar w:fldCharType="begin"/>
        </w:r>
        <w:r w:rsidR="007537A8">
          <w:rPr>
            <w:noProof/>
            <w:webHidden/>
          </w:rPr>
          <w:instrText xml:space="preserve"> PAGEREF _Toc22133352 \h </w:instrText>
        </w:r>
        <w:r w:rsidR="007537A8">
          <w:rPr>
            <w:noProof/>
            <w:webHidden/>
          </w:rPr>
        </w:r>
        <w:r w:rsidR="007537A8">
          <w:rPr>
            <w:noProof/>
            <w:webHidden/>
          </w:rPr>
          <w:fldChar w:fldCharType="separate"/>
        </w:r>
        <w:r w:rsidR="007537A8">
          <w:rPr>
            <w:noProof/>
            <w:webHidden/>
          </w:rPr>
          <w:t>229</w:t>
        </w:r>
        <w:r w:rsidR="007537A8">
          <w:rPr>
            <w:noProof/>
            <w:webHidden/>
          </w:rPr>
          <w:fldChar w:fldCharType="end"/>
        </w:r>
      </w:hyperlink>
    </w:p>
    <w:p w14:paraId="673543BE" w14:textId="63B036C0" w:rsidR="007537A8" w:rsidRDefault="00091FED">
      <w:pPr>
        <w:pStyle w:val="Verzeichnis4"/>
        <w:tabs>
          <w:tab w:val="right" w:leader="dot" w:pos="7361"/>
        </w:tabs>
        <w:rPr>
          <w:rFonts w:eastAsiaTheme="minorEastAsia"/>
          <w:noProof/>
          <w:sz w:val="22"/>
          <w:szCs w:val="22"/>
          <w:lang w:eastAsia="de-DE"/>
        </w:rPr>
      </w:pPr>
      <w:hyperlink w:anchor="_Toc22133353" w:history="1">
        <w:r w:rsidR="007537A8" w:rsidRPr="004D2BF3">
          <w:rPr>
            <w:rStyle w:val="Hyperlink"/>
            <w:noProof/>
          </w:rPr>
          <w:t>C. Ergebnis</w:t>
        </w:r>
        <w:r w:rsidR="007537A8">
          <w:rPr>
            <w:noProof/>
            <w:webHidden/>
          </w:rPr>
          <w:tab/>
        </w:r>
        <w:r w:rsidR="007537A8">
          <w:rPr>
            <w:noProof/>
            <w:webHidden/>
          </w:rPr>
          <w:fldChar w:fldCharType="begin"/>
        </w:r>
        <w:r w:rsidR="007537A8">
          <w:rPr>
            <w:noProof/>
            <w:webHidden/>
          </w:rPr>
          <w:instrText xml:space="preserve"> PAGEREF _Toc22133353 \h </w:instrText>
        </w:r>
        <w:r w:rsidR="007537A8">
          <w:rPr>
            <w:noProof/>
            <w:webHidden/>
          </w:rPr>
        </w:r>
        <w:r w:rsidR="007537A8">
          <w:rPr>
            <w:noProof/>
            <w:webHidden/>
          </w:rPr>
          <w:fldChar w:fldCharType="separate"/>
        </w:r>
        <w:r w:rsidR="007537A8">
          <w:rPr>
            <w:noProof/>
            <w:webHidden/>
          </w:rPr>
          <w:t>229</w:t>
        </w:r>
        <w:r w:rsidR="007537A8">
          <w:rPr>
            <w:noProof/>
            <w:webHidden/>
          </w:rPr>
          <w:fldChar w:fldCharType="end"/>
        </w:r>
      </w:hyperlink>
    </w:p>
    <w:p w14:paraId="0174BEB2" w14:textId="361DC2B6" w:rsidR="007537A8" w:rsidRDefault="00091FED">
      <w:pPr>
        <w:pStyle w:val="Verzeichnis3"/>
        <w:tabs>
          <w:tab w:val="right" w:leader="dot" w:pos="7361"/>
        </w:tabs>
        <w:rPr>
          <w:rFonts w:eastAsiaTheme="minorEastAsia"/>
          <w:noProof/>
          <w:sz w:val="22"/>
          <w:szCs w:val="22"/>
          <w:lang w:eastAsia="de-DE"/>
        </w:rPr>
      </w:pPr>
      <w:hyperlink w:anchor="_Toc22133354" w:history="1">
        <w:r w:rsidR="007537A8" w:rsidRPr="004D2BF3">
          <w:rPr>
            <w:rStyle w:val="Hyperlink"/>
            <w:noProof/>
          </w:rPr>
          <w:t>Lösungsvorschlag Abwandlung</w:t>
        </w:r>
        <w:r w:rsidR="007537A8">
          <w:rPr>
            <w:noProof/>
            <w:webHidden/>
          </w:rPr>
          <w:tab/>
        </w:r>
        <w:r w:rsidR="007537A8">
          <w:rPr>
            <w:noProof/>
            <w:webHidden/>
          </w:rPr>
          <w:fldChar w:fldCharType="begin"/>
        </w:r>
        <w:r w:rsidR="007537A8">
          <w:rPr>
            <w:noProof/>
            <w:webHidden/>
          </w:rPr>
          <w:instrText xml:space="preserve"> PAGEREF _Toc22133354 \h </w:instrText>
        </w:r>
        <w:r w:rsidR="007537A8">
          <w:rPr>
            <w:noProof/>
            <w:webHidden/>
          </w:rPr>
        </w:r>
        <w:r w:rsidR="007537A8">
          <w:rPr>
            <w:noProof/>
            <w:webHidden/>
          </w:rPr>
          <w:fldChar w:fldCharType="separate"/>
        </w:r>
        <w:r w:rsidR="007537A8">
          <w:rPr>
            <w:noProof/>
            <w:webHidden/>
          </w:rPr>
          <w:t>229</w:t>
        </w:r>
        <w:r w:rsidR="007537A8">
          <w:rPr>
            <w:noProof/>
            <w:webHidden/>
          </w:rPr>
          <w:fldChar w:fldCharType="end"/>
        </w:r>
      </w:hyperlink>
    </w:p>
    <w:p w14:paraId="76C47100" w14:textId="70FC9636" w:rsidR="007537A8" w:rsidRDefault="00091FED">
      <w:pPr>
        <w:pStyle w:val="Verzeichnis4"/>
        <w:tabs>
          <w:tab w:val="right" w:leader="dot" w:pos="7361"/>
        </w:tabs>
        <w:rPr>
          <w:rFonts w:eastAsiaTheme="minorEastAsia"/>
          <w:noProof/>
          <w:sz w:val="22"/>
          <w:szCs w:val="22"/>
          <w:lang w:eastAsia="de-DE"/>
        </w:rPr>
      </w:pPr>
      <w:hyperlink w:anchor="_Toc22133355" w:history="1">
        <w:r w:rsidR="007537A8" w:rsidRPr="004D2BF3">
          <w:rPr>
            <w:rStyle w:val="Hyperlink"/>
            <w:noProof/>
          </w:rPr>
          <w:t>A. Zulässigkeit des Antrags</w:t>
        </w:r>
        <w:r w:rsidR="007537A8">
          <w:rPr>
            <w:noProof/>
            <w:webHidden/>
          </w:rPr>
          <w:tab/>
        </w:r>
        <w:r w:rsidR="007537A8">
          <w:rPr>
            <w:noProof/>
            <w:webHidden/>
          </w:rPr>
          <w:fldChar w:fldCharType="begin"/>
        </w:r>
        <w:r w:rsidR="007537A8">
          <w:rPr>
            <w:noProof/>
            <w:webHidden/>
          </w:rPr>
          <w:instrText xml:space="preserve"> PAGEREF _Toc22133355 \h </w:instrText>
        </w:r>
        <w:r w:rsidR="007537A8">
          <w:rPr>
            <w:noProof/>
            <w:webHidden/>
          </w:rPr>
        </w:r>
        <w:r w:rsidR="007537A8">
          <w:rPr>
            <w:noProof/>
            <w:webHidden/>
          </w:rPr>
          <w:fldChar w:fldCharType="separate"/>
        </w:r>
        <w:r w:rsidR="007537A8">
          <w:rPr>
            <w:noProof/>
            <w:webHidden/>
          </w:rPr>
          <w:t>229</w:t>
        </w:r>
        <w:r w:rsidR="007537A8">
          <w:rPr>
            <w:noProof/>
            <w:webHidden/>
          </w:rPr>
          <w:fldChar w:fldCharType="end"/>
        </w:r>
      </w:hyperlink>
    </w:p>
    <w:p w14:paraId="693011FF" w14:textId="7D1E7892" w:rsidR="007537A8" w:rsidRDefault="00091FED">
      <w:pPr>
        <w:pStyle w:val="Verzeichnis4"/>
        <w:tabs>
          <w:tab w:val="right" w:leader="dot" w:pos="7361"/>
        </w:tabs>
        <w:rPr>
          <w:rFonts w:eastAsiaTheme="minorEastAsia"/>
          <w:noProof/>
          <w:sz w:val="22"/>
          <w:szCs w:val="22"/>
          <w:lang w:eastAsia="de-DE"/>
        </w:rPr>
      </w:pPr>
      <w:hyperlink w:anchor="_Toc22133356" w:history="1">
        <w:r w:rsidR="007537A8" w:rsidRPr="004D2BF3">
          <w:rPr>
            <w:rStyle w:val="Hyperlink"/>
            <w:noProof/>
          </w:rPr>
          <w:t>B. Begründetheit des Antrags</w:t>
        </w:r>
        <w:r w:rsidR="007537A8">
          <w:rPr>
            <w:noProof/>
            <w:webHidden/>
          </w:rPr>
          <w:tab/>
        </w:r>
        <w:r w:rsidR="007537A8">
          <w:rPr>
            <w:noProof/>
            <w:webHidden/>
          </w:rPr>
          <w:fldChar w:fldCharType="begin"/>
        </w:r>
        <w:r w:rsidR="007537A8">
          <w:rPr>
            <w:noProof/>
            <w:webHidden/>
          </w:rPr>
          <w:instrText xml:space="preserve"> PAGEREF _Toc22133356 \h </w:instrText>
        </w:r>
        <w:r w:rsidR="007537A8">
          <w:rPr>
            <w:noProof/>
            <w:webHidden/>
          </w:rPr>
        </w:r>
        <w:r w:rsidR="007537A8">
          <w:rPr>
            <w:noProof/>
            <w:webHidden/>
          </w:rPr>
          <w:fldChar w:fldCharType="separate"/>
        </w:r>
        <w:r w:rsidR="007537A8">
          <w:rPr>
            <w:noProof/>
            <w:webHidden/>
          </w:rPr>
          <w:t>229</w:t>
        </w:r>
        <w:r w:rsidR="007537A8">
          <w:rPr>
            <w:noProof/>
            <w:webHidden/>
          </w:rPr>
          <w:fldChar w:fldCharType="end"/>
        </w:r>
      </w:hyperlink>
    </w:p>
    <w:p w14:paraId="742F58E6" w14:textId="6383E543" w:rsidR="007537A8" w:rsidRDefault="00091FED">
      <w:pPr>
        <w:pStyle w:val="Verzeichnis5"/>
        <w:tabs>
          <w:tab w:val="right" w:leader="dot" w:pos="7361"/>
        </w:tabs>
        <w:rPr>
          <w:rFonts w:eastAsiaTheme="minorEastAsia"/>
          <w:noProof/>
          <w:sz w:val="22"/>
          <w:szCs w:val="22"/>
          <w:lang w:eastAsia="de-DE"/>
        </w:rPr>
      </w:pPr>
      <w:hyperlink w:anchor="_Toc22133357" w:history="1">
        <w:r w:rsidR="007537A8" w:rsidRPr="004D2BF3">
          <w:rPr>
            <w:rStyle w:val="Hyperlink"/>
            <w:noProof/>
          </w:rPr>
          <w:t>I. Passivlegitimation</w:t>
        </w:r>
        <w:r w:rsidR="007537A8">
          <w:rPr>
            <w:noProof/>
            <w:webHidden/>
          </w:rPr>
          <w:tab/>
        </w:r>
        <w:r w:rsidR="007537A8">
          <w:rPr>
            <w:noProof/>
            <w:webHidden/>
          </w:rPr>
          <w:fldChar w:fldCharType="begin"/>
        </w:r>
        <w:r w:rsidR="007537A8">
          <w:rPr>
            <w:noProof/>
            <w:webHidden/>
          </w:rPr>
          <w:instrText xml:space="preserve"> PAGEREF _Toc22133357 \h </w:instrText>
        </w:r>
        <w:r w:rsidR="007537A8">
          <w:rPr>
            <w:noProof/>
            <w:webHidden/>
          </w:rPr>
        </w:r>
        <w:r w:rsidR="007537A8">
          <w:rPr>
            <w:noProof/>
            <w:webHidden/>
          </w:rPr>
          <w:fldChar w:fldCharType="separate"/>
        </w:r>
        <w:r w:rsidR="007537A8">
          <w:rPr>
            <w:noProof/>
            <w:webHidden/>
          </w:rPr>
          <w:t>229</w:t>
        </w:r>
        <w:r w:rsidR="007537A8">
          <w:rPr>
            <w:noProof/>
            <w:webHidden/>
          </w:rPr>
          <w:fldChar w:fldCharType="end"/>
        </w:r>
      </w:hyperlink>
    </w:p>
    <w:p w14:paraId="577253A8" w14:textId="634AA6D4" w:rsidR="007537A8" w:rsidRDefault="00091FED">
      <w:pPr>
        <w:pStyle w:val="Verzeichnis5"/>
        <w:tabs>
          <w:tab w:val="right" w:leader="dot" w:pos="7361"/>
        </w:tabs>
        <w:rPr>
          <w:rFonts w:eastAsiaTheme="minorEastAsia"/>
          <w:noProof/>
          <w:sz w:val="22"/>
          <w:szCs w:val="22"/>
          <w:lang w:eastAsia="de-DE"/>
        </w:rPr>
      </w:pPr>
      <w:hyperlink w:anchor="_Toc22133358" w:history="1">
        <w:r w:rsidR="007537A8" w:rsidRPr="004D2BF3">
          <w:rPr>
            <w:rStyle w:val="Hyperlink"/>
            <w:noProof/>
          </w:rPr>
          <w:t>II. Formelle Rechtmäßigkeit der Anordnung der sofortigen Vollziehung</w:t>
        </w:r>
        <w:r w:rsidR="007537A8">
          <w:rPr>
            <w:noProof/>
            <w:webHidden/>
          </w:rPr>
          <w:tab/>
        </w:r>
        <w:r w:rsidR="007537A8">
          <w:rPr>
            <w:noProof/>
            <w:webHidden/>
          </w:rPr>
          <w:fldChar w:fldCharType="begin"/>
        </w:r>
        <w:r w:rsidR="007537A8">
          <w:rPr>
            <w:noProof/>
            <w:webHidden/>
          </w:rPr>
          <w:instrText xml:space="preserve"> PAGEREF _Toc22133358 \h </w:instrText>
        </w:r>
        <w:r w:rsidR="007537A8">
          <w:rPr>
            <w:noProof/>
            <w:webHidden/>
          </w:rPr>
        </w:r>
        <w:r w:rsidR="007537A8">
          <w:rPr>
            <w:noProof/>
            <w:webHidden/>
          </w:rPr>
          <w:fldChar w:fldCharType="separate"/>
        </w:r>
        <w:r w:rsidR="007537A8">
          <w:rPr>
            <w:noProof/>
            <w:webHidden/>
          </w:rPr>
          <w:t>229</w:t>
        </w:r>
        <w:r w:rsidR="007537A8">
          <w:rPr>
            <w:noProof/>
            <w:webHidden/>
          </w:rPr>
          <w:fldChar w:fldCharType="end"/>
        </w:r>
      </w:hyperlink>
    </w:p>
    <w:p w14:paraId="580047A5" w14:textId="5E88203C" w:rsidR="007537A8" w:rsidRDefault="00091FED">
      <w:pPr>
        <w:pStyle w:val="Verzeichnis6"/>
        <w:tabs>
          <w:tab w:val="right" w:leader="dot" w:pos="7361"/>
        </w:tabs>
        <w:rPr>
          <w:noProof/>
          <w:sz w:val="22"/>
          <w:szCs w:val="22"/>
          <w:lang w:eastAsia="de-DE"/>
        </w:rPr>
      </w:pPr>
      <w:hyperlink w:anchor="_Toc22133359" w:history="1">
        <w:r w:rsidR="007537A8" w:rsidRPr="004D2BF3">
          <w:rPr>
            <w:rStyle w:val="Hyperlink"/>
            <w:noProof/>
          </w:rPr>
          <w:t>1. Zuständigkeit</w:t>
        </w:r>
        <w:r w:rsidR="007537A8">
          <w:rPr>
            <w:noProof/>
            <w:webHidden/>
          </w:rPr>
          <w:tab/>
        </w:r>
        <w:r w:rsidR="007537A8">
          <w:rPr>
            <w:noProof/>
            <w:webHidden/>
          </w:rPr>
          <w:fldChar w:fldCharType="begin"/>
        </w:r>
        <w:r w:rsidR="007537A8">
          <w:rPr>
            <w:noProof/>
            <w:webHidden/>
          </w:rPr>
          <w:instrText xml:space="preserve"> PAGEREF _Toc22133359 \h </w:instrText>
        </w:r>
        <w:r w:rsidR="007537A8">
          <w:rPr>
            <w:noProof/>
            <w:webHidden/>
          </w:rPr>
        </w:r>
        <w:r w:rsidR="007537A8">
          <w:rPr>
            <w:noProof/>
            <w:webHidden/>
          </w:rPr>
          <w:fldChar w:fldCharType="separate"/>
        </w:r>
        <w:r w:rsidR="007537A8">
          <w:rPr>
            <w:noProof/>
            <w:webHidden/>
          </w:rPr>
          <w:t>229</w:t>
        </w:r>
        <w:r w:rsidR="007537A8">
          <w:rPr>
            <w:noProof/>
            <w:webHidden/>
          </w:rPr>
          <w:fldChar w:fldCharType="end"/>
        </w:r>
      </w:hyperlink>
    </w:p>
    <w:p w14:paraId="1DC96933" w14:textId="0639E188" w:rsidR="007537A8" w:rsidRDefault="00091FED">
      <w:pPr>
        <w:pStyle w:val="Verzeichnis6"/>
        <w:tabs>
          <w:tab w:val="right" w:leader="dot" w:pos="7361"/>
        </w:tabs>
        <w:rPr>
          <w:noProof/>
          <w:sz w:val="22"/>
          <w:szCs w:val="22"/>
          <w:lang w:eastAsia="de-DE"/>
        </w:rPr>
      </w:pPr>
      <w:hyperlink w:anchor="_Toc22133360" w:history="1">
        <w:r w:rsidR="007537A8" w:rsidRPr="004D2BF3">
          <w:rPr>
            <w:rStyle w:val="Hyperlink"/>
            <w:noProof/>
          </w:rPr>
          <w:t>2. Verfahren</w:t>
        </w:r>
        <w:r w:rsidR="007537A8">
          <w:rPr>
            <w:noProof/>
            <w:webHidden/>
          </w:rPr>
          <w:tab/>
        </w:r>
        <w:r w:rsidR="007537A8">
          <w:rPr>
            <w:noProof/>
            <w:webHidden/>
          </w:rPr>
          <w:fldChar w:fldCharType="begin"/>
        </w:r>
        <w:r w:rsidR="007537A8">
          <w:rPr>
            <w:noProof/>
            <w:webHidden/>
          </w:rPr>
          <w:instrText xml:space="preserve"> PAGEREF _Toc22133360 \h </w:instrText>
        </w:r>
        <w:r w:rsidR="007537A8">
          <w:rPr>
            <w:noProof/>
            <w:webHidden/>
          </w:rPr>
        </w:r>
        <w:r w:rsidR="007537A8">
          <w:rPr>
            <w:noProof/>
            <w:webHidden/>
          </w:rPr>
          <w:fldChar w:fldCharType="separate"/>
        </w:r>
        <w:r w:rsidR="007537A8">
          <w:rPr>
            <w:noProof/>
            <w:webHidden/>
          </w:rPr>
          <w:t>229</w:t>
        </w:r>
        <w:r w:rsidR="007537A8">
          <w:rPr>
            <w:noProof/>
            <w:webHidden/>
          </w:rPr>
          <w:fldChar w:fldCharType="end"/>
        </w:r>
      </w:hyperlink>
    </w:p>
    <w:p w14:paraId="52D57E5A" w14:textId="7204FC1B" w:rsidR="007537A8" w:rsidRDefault="00091FED">
      <w:pPr>
        <w:pStyle w:val="Verzeichnis6"/>
        <w:tabs>
          <w:tab w:val="right" w:leader="dot" w:pos="7361"/>
        </w:tabs>
        <w:rPr>
          <w:noProof/>
          <w:sz w:val="22"/>
          <w:szCs w:val="22"/>
          <w:lang w:eastAsia="de-DE"/>
        </w:rPr>
      </w:pPr>
      <w:hyperlink w:anchor="_Toc22133361" w:history="1">
        <w:r w:rsidR="007537A8" w:rsidRPr="004D2BF3">
          <w:rPr>
            <w:rStyle w:val="Hyperlink"/>
            <w:noProof/>
          </w:rPr>
          <w:t>3. Form</w:t>
        </w:r>
        <w:r w:rsidR="007537A8">
          <w:rPr>
            <w:noProof/>
            <w:webHidden/>
          </w:rPr>
          <w:tab/>
        </w:r>
        <w:r w:rsidR="007537A8">
          <w:rPr>
            <w:noProof/>
            <w:webHidden/>
          </w:rPr>
          <w:fldChar w:fldCharType="begin"/>
        </w:r>
        <w:r w:rsidR="007537A8">
          <w:rPr>
            <w:noProof/>
            <w:webHidden/>
          </w:rPr>
          <w:instrText xml:space="preserve"> PAGEREF _Toc22133361 \h </w:instrText>
        </w:r>
        <w:r w:rsidR="007537A8">
          <w:rPr>
            <w:noProof/>
            <w:webHidden/>
          </w:rPr>
        </w:r>
        <w:r w:rsidR="007537A8">
          <w:rPr>
            <w:noProof/>
            <w:webHidden/>
          </w:rPr>
          <w:fldChar w:fldCharType="separate"/>
        </w:r>
        <w:r w:rsidR="007537A8">
          <w:rPr>
            <w:noProof/>
            <w:webHidden/>
          </w:rPr>
          <w:t>230</w:t>
        </w:r>
        <w:r w:rsidR="007537A8">
          <w:rPr>
            <w:noProof/>
            <w:webHidden/>
          </w:rPr>
          <w:fldChar w:fldCharType="end"/>
        </w:r>
      </w:hyperlink>
    </w:p>
    <w:p w14:paraId="635D1EB5" w14:textId="042A7A65" w:rsidR="007537A8" w:rsidRDefault="00091FED">
      <w:pPr>
        <w:pStyle w:val="Verzeichnis6"/>
        <w:tabs>
          <w:tab w:val="right" w:leader="dot" w:pos="7361"/>
        </w:tabs>
        <w:rPr>
          <w:noProof/>
          <w:sz w:val="22"/>
          <w:szCs w:val="22"/>
          <w:lang w:eastAsia="de-DE"/>
        </w:rPr>
      </w:pPr>
      <w:hyperlink w:anchor="_Toc22133362" w:history="1">
        <w:r w:rsidR="007537A8" w:rsidRPr="004D2BF3">
          <w:rPr>
            <w:rStyle w:val="Hyperlink"/>
            <w:noProof/>
          </w:rPr>
          <w:t>4. Zwischenergebnis</w:t>
        </w:r>
        <w:r w:rsidR="007537A8">
          <w:rPr>
            <w:noProof/>
            <w:webHidden/>
          </w:rPr>
          <w:tab/>
        </w:r>
        <w:r w:rsidR="007537A8">
          <w:rPr>
            <w:noProof/>
            <w:webHidden/>
          </w:rPr>
          <w:fldChar w:fldCharType="begin"/>
        </w:r>
        <w:r w:rsidR="007537A8">
          <w:rPr>
            <w:noProof/>
            <w:webHidden/>
          </w:rPr>
          <w:instrText xml:space="preserve"> PAGEREF _Toc22133362 \h </w:instrText>
        </w:r>
        <w:r w:rsidR="007537A8">
          <w:rPr>
            <w:noProof/>
            <w:webHidden/>
          </w:rPr>
        </w:r>
        <w:r w:rsidR="007537A8">
          <w:rPr>
            <w:noProof/>
            <w:webHidden/>
          </w:rPr>
          <w:fldChar w:fldCharType="separate"/>
        </w:r>
        <w:r w:rsidR="007537A8">
          <w:rPr>
            <w:noProof/>
            <w:webHidden/>
          </w:rPr>
          <w:t>230</w:t>
        </w:r>
        <w:r w:rsidR="007537A8">
          <w:rPr>
            <w:noProof/>
            <w:webHidden/>
          </w:rPr>
          <w:fldChar w:fldCharType="end"/>
        </w:r>
      </w:hyperlink>
    </w:p>
    <w:p w14:paraId="066FE1B2" w14:textId="0EBDD173" w:rsidR="007537A8" w:rsidRDefault="00091FED">
      <w:pPr>
        <w:pStyle w:val="Verzeichnis5"/>
        <w:tabs>
          <w:tab w:val="right" w:leader="dot" w:pos="7361"/>
        </w:tabs>
        <w:rPr>
          <w:rFonts w:eastAsiaTheme="minorEastAsia"/>
          <w:noProof/>
          <w:sz w:val="22"/>
          <w:szCs w:val="22"/>
          <w:lang w:eastAsia="de-DE"/>
        </w:rPr>
      </w:pPr>
      <w:hyperlink w:anchor="_Toc22133363" w:history="1">
        <w:r w:rsidR="007537A8" w:rsidRPr="004D2BF3">
          <w:rPr>
            <w:rStyle w:val="Hyperlink"/>
            <w:noProof/>
          </w:rPr>
          <w:t>III. Abwägung des Suspensivinteresses der Antragstellerin mit dem öffentlichen Vollziehungsinteresse</w:t>
        </w:r>
        <w:r w:rsidR="007537A8">
          <w:rPr>
            <w:noProof/>
            <w:webHidden/>
          </w:rPr>
          <w:tab/>
        </w:r>
        <w:r w:rsidR="007537A8">
          <w:rPr>
            <w:noProof/>
            <w:webHidden/>
          </w:rPr>
          <w:fldChar w:fldCharType="begin"/>
        </w:r>
        <w:r w:rsidR="007537A8">
          <w:rPr>
            <w:noProof/>
            <w:webHidden/>
          </w:rPr>
          <w:instrText xml:space="preserve"> PAGEREF _Toc22133363 \h </w:instrText>
        </w:r>
        <w:r w:rsidR="007537A8">
          <w:rPr>
            <w:noProof/>
            <w:webHidden/>
          </w:rPr>
        </w:r>
        <w:r w:rsidR="007537A8">
          <w:rPr>
            <w:noProof/>
            <w:webHidden/>
          </w:rPr>
          <w:fldChar w:fldCharType="separate"/>
        </w:r>
        <w:r w:rsidR="007537A8">
          <w:rPr>
            <w:noProof/>
            <w:webHidden/>
          </w:rPr>
          <w:t>231</w:t>
        </w:r>
        <w:r w:rsidR="007537A8">
          <w:rPr>
            <w:noProof/>
            <w:webHidden/>
          </w:rPr>
          <w:fldChar w:fldCharType="end"/>
        </w:r>
      </w:hyperlink>
    </w:p>
    <w:p w14:paraId="639CC247" w14:textId="0D321846" w:rsidR="0001383E" w:rsidRDefault="000434BF" w:rsidP="00261442">
      <w:pPr>
        <w:rPr>
          <w:rFonts w:ascii="Calibri" w:eastAsiaTheme="majorEastAsia" w:hAnsi="Calibri" w:cstheme="majorBidi"/>
          <w:sz w:val="26"/>
          <w:szCs w:val="26"/>
        </w:rPr>
      </w:pPr>
      <w:r>
        <w:rPr>
          <w:rFonts w:eastAsiaTheme="majorEastAsia"/>
        </w:rPr>
        <w:fldChar w:fldCharType="end"/>
      </w:r>
      <w:r w:rsidR="0001383E">
        <w:br w:type="page"/>
      </w:r>
    </w:p>
    <w:p w14:paraId="32D3B1D4" w14:textId="354DFCD3" w:rsidR="0062057E" w:rsidRPr="00252B37" w:rsidRDefault="0062057E" w:rsidP="0001383E">
      <w:pPr>
        <w:pStyle w:val="berschrift3"/>
      </w:pPr>
      <w:bookmarkStart w:id="534" w:name="_Toc22133321"/>
      <w:bookmarkStart w:id="535" w:name="Fall14"/>
      <w:r w:rsidRPr="00252B37">
        <w:t>Lösung</w:t>
      </w:r>
      <w:r w:rsidR="0001383E">
        <w:t>svorschlag</w:t>
      </w:r>
      <w:r w:rsidRPr="00252B37">
        <w:t xml:space="preserve"> Ausgangsfall</w:t>
      </w:r>
      <w:bookmarkEnd w:id="534"/>
    </w:p>
    <w:p w14:paraId="015EF3F4" w14:textId="77777777" w:rsidR="0062057E" w:rsidRPr="0062057E" w:rsidRDefault="0062057E" w:rsidP="0062057E">
      <w:pPr>
        <w:pStyle w:val="Randnummer"/>
        <w:framePr w:wrap="around"/>
      </w:pPr>
    </w:p>
    <w:p w14:paraId="7E59D287" w14:textId="77777777" w:rsidR="0062057E" w:rsidRPr="0062057E" w:rsidRDefault="0062057E" w:rsidP="0062057E">
      <w:r w:rsidRPr="0062057E">
        <w:t>In Betracht kommt ein gerichtliches Vorgehen der A in Form eines Antrags auf Gewährung vorläufigen Rechtsschutzes. Ein solcher hat Aussicht auf Erfolg, wenn und soweit er zulässig und begründet ist.</w:t>
      </w:r>
    </w:p>
    <w:p w14:paraId="13FC9BC8" w14:textId="77777777" w:rsidR="0062057E" w:rsidRPr="00635C3A" w:rsidRDefault="0062057E" w:rsidP="0077320D">
      <w:pPr>
        <w:pStyle w:val="berschrift4"/>
      </w:pPr>
      <w:bookmarkStart w:id="536" w:name="_Toc22133322"/>
      <w:r w:rsidRPr="00635C3A">
        <w:t>A. Zulässigkeit</w:t>
      </w:r>
      <w:bookmarkEnd w:id="536"/>
    </w:p>
    <w:p w14:paraId="32C19109" w14:textId="77777777" w:rsidR="0062057E" w:rsidRPr="0062057E" w:rsidRDefault="0062057E" w:rsidP="0062057E">
      <w:pPr>
        <w:pStyle w:val="Randnummer"/>
        <w:framePr w:wrap="around"/>
      </w:pPr>
    </w:p>
    <w:p w14:paraId="5CF10A57" w14:textId="77777777" w:rsidR="0062057E" w:rsidRPr="0062057E" w:rsidRDefault="0062057E" w:rsidP="0062057E">
      <w:pPr>
        <w:rPr>
          <w:bCs/>
        </w:rPr>
      </w:pPr>
      <w:r w:rsidRPr="0062057E">
        <w:rPr>
          <w:bCs/>
        </w:rPr>
        <w:t>Der Antrag müsste zulässig sein.</w:t>
      </w:r>
    </w:p>
    <w:p w14:paraId="32A5CC60" w14:textId="77777777" w:rsidR="0062057E" w:rsidRPr="00635C3A" w:rsidRDefault="0062057E" w:rsidP="0077320D">
      <w:pPr>
        <w:pStyle w:val="berschrift5"/>
      </w:pPr>
      <w:bookmarkStart w:id="537" w:name="_Toc22133323"/>
      <w:r w:rsidRPr="00635C3A">
        <w:t>I. Eröffnung des Verwaltungsrechtswegs</w:t>
      </w:r>
      <w:bookmarkEnd w:id="537"/>
    </w:p>
    <w:p w14:paraId="46E5E55B" w14:textId="77777777" w:rsidR="0062057E" w:rsidRPr="0062057E" w:rsidRDefault="0062057E" w:rsidP="0062057E">
      <w:pPr>
        <w:pStyle w:val="Randnummer"/>
        <w:framePr w:wrap="around"/>
      </w:pPr>
    </w:p>
    <w:p w14:paraId="1D9E4C6E" w14:textId="77777777" w:rsidR="0062057E" w:rsidRPr="0062057E" w:rsidRDefault="0062057E" w:rsidP="0062057E">
      <w:r w:rsidRPr="0062057E">
        <w:t>Der Verwaltungsrechtsweg müsste eröffnet sein. Im Verfahren des vorläufigen Rechtsschutzes ist dies der Fall, wenn der Verwaltungsrechtsweg für das entsprechende Hauptsacheverfahren eröffnet ist. Mangels aufdrängender Sonderzuweisung ist der Verwaltungsrechtsweg analog § 40 I 1 VwGO eröffnet, wenn es sich um eine öffentlich-rechtliche Streitigkeit nichtverfassungsrechtlicher Art handelt. Eine Streitigkeit ist öffentlich-rechtlicher Art, wenn die streitentscheidenden Normen dem öffentlichen Recht zuzuordnen sind. Eine Norm ist dann öffentlich-rechtlicher Natur, wenn sie den Hoheitsträger als solchen berechtigt und verpflichtet (sog. modifizierte Subjektstheorie). A und die Stadt L streiten sich um den Versammlungsort. Der Bescheid vom 12.9.2018, mittels dessen der Versammlungsort geändert wird, wurde auf Grundlage von § 15 I SächsVersG</w:t>
      </w:r>
      <w:r w:rsidRPr="0062057E">
        <w:rPr>
          <w:vertAlign w:val="superscript"/>
        </w:rPr>
        <w:footnoteReference w:id="490"/>
      </w:r>
      <w:r w:rsidRPr="0062057E">
        <w:t xml:space="preserve"> erlassen, also einer Norm, welche die Stadt L als Hoheitsträger berechtigt und verpflichtet. Somit handelt es sich um eine öffentlich-rechtliche Streitigkeit. Mangels doppelter Verfassungsunmittelbarkeit und abdrängender Sonderzuweisung ist der Verwaltungsrechtsweg analog § 40 I 1 VwGO eröffnet.</w:t>
      </w:r>
    </w:p>
    <w:p w14:paraId="1D14797E" w14:textId="77777777" w:rsidR="0062057E" w:rsidRPr="00635C3A" w:rsidRDefault="0062057E" w:rsidP="0077320D">
      <w:pPr>
        <w:pStyle w:val="berschrift5"/>
      </w:pPr>
      <w:bookmarkStart w:id="538" w:name="_Toc22133324"/>
      <w:r w:rsidRPr="00635C3A">
        <w:t>II. Statthafte Antragsart</w:t>
      </w:r>
      <w:bookmarkEnd w:id="538"/>
    </w:p>
    <w:p w14:paraId="7C9CA64A" w14:textId="77777777" w:rsidR="0062057E" w:rsidRPr="0062057E" w:rsidRDefault="0062057E" w:rsidP="0062057E">
      <w:pPr>
        <w:pStyle w:val="Randnummer"/>
        <w:framePr w:wrap="around"/>
      </w:pPr>
    </w:p>
    <w:p w14:paraId="35858DEC" w14:textId="77777777" w:rsidR="0062057E" w:rsidRPr="0062057E" w:rsidRDefault="0062057E" w:rsidP="0062057E">
      <w:r w:rsidRPr="0062057E">
        <w:t>Es müsste eine nach der VwGO statthafte Antragsart vorliegen. Zur Ermittlung eines nach der VwGO statthaften Antrags ist das Begehren des Antragstellers zu ermitteln, §§ 122 I, 88 VwGO. A möchte die Demonstration wie geplant am Freitag, dem 14.9.2018 auf dem Marktplatz veranstalten. Sie wendet sich also gegen den Bescheid der Stadt L vom 12.9.2018. Da Widerspruch und Anfechtungsklage gegen den Bescheid aufgrund der Anordnung der sofortigen Vollziehung keine aufschiebende Wirkung hätten, kämen sie für As Demonstration jedoch zu spät. In Betracht kommt daher nur ein einstweiliges Rechtsschutzbegehren.</w:t>
      </w:r>
    </w:p>
    <w:p w14:paraId="5FA26495" w14:textId="5F83F77B" w:rsidR="0062057E" w:rsidRDefault="0062057E" w:rsidP="0062057E">
      <w:r w:rsidRPr="0062057E">
        <w:t>Die VwGO sieht als vorläufige Rechtsschutzverfahren insbesondere §§ 80, 80a, 123 VwGO vor.</w:t>
      </w:r>
      <w:r w:rsidRPr="0062057E">
        <w:rPr>
          <w:vertAlign w:val="superscript"/>
        </w:rPr>
        <w:footnoteReference w:id="491"/>
      </w:r>
      <w:r w:rsidRPr="0062057E">
        <w:t xml:space="preserve"> Gem. § 123 V VwGO sind die Verfahren der §§ 80 V, 80a VwGO vorrangig gegenüber dem Verfahren nach § 123 VwGO. Ein Antrag nach § 80a VwGO erfasst Verwaltungsakte mit Drittwirkung und ist vorliegend mangels einer Drei-Personen-Konstellation nicht einschlägig.</w:t>
      </w:r>
      <w:r w:rsidRPr="0062057E">
        <w:rPr>
          <w:vertAlign w:val="superscript"/>
        </w:rPr>
        <w:footnoteReference w:id="492"/>
      </w:r>
      <w:r w:rsidRPr="0062057E">
        <w:t xml:space="preserve"> Ein Antrag nach § 80 V VwGO ist statthaft, wenn die Anordnung oder Wiederherstellung der aufschiebenden Wirkung durch das Gericht erreicht werden soll. Gem. § 80 I 1 VwGO haben Widerspruch und Anfechtungsklage aufschiebende Wirkung. Durch die Anfechtungsklage kann gem. § 42 I Alt. 1 VwGO die Aufhebung eines Verwaltungsakts erreicht werden. Die behördliche Anordnung vom 12.9.2018, die Demonstration nicht auf dem Marktplatz, sondern dem Augustusplatz abzuhalten, regelt einen Einzelfall auf dem Gebiet des öffentlichen Rechts mit Außenwirkung und stellt folglich einen </w:t>
      </w:r>
      <w:r w:rsidR="006D7E4D">
        <w:t>Verwaltungsakt</w:t>
      </w:r>
      <w:r w:rsidRPr="0062057E">
        <w:t xml:space="preserve"> </w:t>
      </w:r>
      <w:r w:rsidRPr="0062057E" w:rsidDel="009C3FE0">
        <w:t xml:space="preserve">i.S.v. § 35 </w:t>
      </w:r>
      <w:r w:rsidR="00916C9E">
        <w:t>S. </w:t>
      </w:r>
      <w:r w:rsidR="00E91AF0">
        <w:t>1</w:t>
      </w:r>
      <w:r w:rsidRPr="0062057E" w:rsidDel="009C3FE0">
        <w:t xml:space="preserve"> VwVfG</w:t>
      </w:r>
      <w:r w:rsidRPr="0062057E">
        <w:t xml:space="preserve"> i.V.m. § 1 SächsVwVfZG</w:t>
      </w:r>
      <w:r w:rsidRPr="0062057E" w:rsidDel="009C3FE0">
        <w:rPr>
          <w:vertAlign w:val="superscript"/>
        </w:rPr>
        <w:footnoteReference w:id="493"/>
      </w:r>
      <w:r w:rsidRPr="0062057E" w:rsidDel="009C3FE0">
        <w:t xml:space="preserve"> </w:t>
      </w:r>
      <w:r w:rsidRPr="0062057E">
        <w:t>dar.</w:t>
      </w:r>
      <w:r w:rsidRPr="0062057E">
        <w:rPr>
          <w:vertAlign w:val="superscript"/>
        </w:rPr>
        <w:footnoteReference w:id="494"/>
      </w:r>
      <w:r w:rsidRPr="0062057E">
        <w:t xml:space="preserve"> In der Hauptsache wären somit die Anfechtungsklage und ein entsprechender (Anfechtungs-)Widerspruch statthaft.</w:t>
      </w:r>
    </w:p>
    <w:p w14:paraId="73F99DC3" w14:textId="77777777" w:rsidR="0062057E" w:rsidRPr="0062057E" w:rsidRDefault="0062057E" w:rsidP="0062057E">
      <w:r w:rsidRPr="0062057E">
        <w:t>Aufgrund der Anordnung der sofortigen Vollziehung durch die Stadt L entfällt gem. § 80 II 1 Nr. 4 VwGO die durch die Anfechtungsklage bzw. den Widerspruch gem. § 80 I 1 VwGO eintretende aufschiebende Wirkung. Mithin ist ein Antrag auf Wiederherstellung der aufschiebenden Wirkung gem. § 80 V 1 Alt. 2 VwGO statthaft.</w:t>
      </w:r>
    </w:p>
    <w:p w14:paraId="39C3261B" w14:textId="77777777" w:rsidR="0062057E" w:rsidRPr="00635C3A" w:rsidRDefault="0062057E" w:rsidP="0077320D">
      <w:pPr>
        <w:pStyle w:val="berschrift5"/>
      </w:pPr>
      <w:bookmarkStart w:id="539" w:name="_Toc22133325"/>
      <w:r w:rsidRPr="00635C3A">
        <w:t>III. Antragsbefugnis</w:t>
      </w:r>
      <w:bookmarkEnd w:id="539"/>
      <w:r w:rsidRPr="00635C3A">
        <w:t xml:space="preserve"> </w:t>
      </w:r>
    </w:p>
    <w:p w14:paraId="20A45F51" w14:textId="77777777" w:rsidR="0062057E" w:rsidRPr="0062057E" w:rsidRDefault="0062057E" w:rsidP="0062057E">
      <w:pPr>
        <w:pStyle w:val="Randnummer"/>
        <w:framePr w:wrap="around"/>
      </w:pPr>
    </w:p>
    <w:p w14:paraId="0E99A08B" w14:textId="35A29B8C" w:rsidR="0062057E" w:rsidRDefault="0062057E" w:rsidP="0062057E">
      <w:r w:rsidRPr="0062057E">
        <w:t xml:space="preserve">A müsste antragsbefugt sein. Die Antragsbefugnis folgt der Klagebefugnis für die Anfechtungsklage in der Hauptsache. Analog § 42 II VwGO muss der Antragsteller eine Rechtsverletzung in subjektiv-öffentlichen Rechten geltend machen. Dies ist nach der Möglichkeitstheorie stets der Fall, wenn die </w:t>
      </w:r>
      <w:r w:rsidR="00680638">
        <w:t>Rechts</w:t>
      </w:r>
      <w:r w:rsidRPr="0062057E">
        <w:t>erletzung nicht offensichtlich und von vornherein ausgeschlossen erscheint. Es ist nicht schlechterdings, nach jeder in Betracht kommenden Anschauungsweise ausgeschlossen, dass die Verlegung der Demonstration vom Marktplatz auf den Augustusplatz die A in ihrem Grundrecht aus Art. 8 I GG (Versammlungsfreiheit) oder als Adressatin eines belastenden Verwaltungsakts in Art. 2 I GG (allgemeine Handlungsfreiheit) verletzt. Mithin erscheint die Rechtsverletzung möglich, A ist antragsbefugt.</w:t>
      </w:r>
    </w:p>
    <w:p w14:paraId="34DAAE17" w14:textId="77777777" w:rsidR="0062057E" w:rsidRPr="00635C3A" w:rsidRDefault="0062057E" w:rsidP="0077320D">
      <w:pPr>
        <w:pStyle w:val="berschrift5"/>
      </w:pPr>
      <w:bookmarkStart w:id="540" w:name="_Toc22133326"/>
      <w:r w:rsidRPr="00635C3A">
        <w:t>IV. Antragsfrist</w:t>
      </w:r>
      <w:bookmarkEnd w:id="540"/>
    </w:p>
    <w:p w14:paraId="44558A23" w14:textId="57900A6A" w:rsidR="0062057E" w:rsidRPr="0062057E" w:rsidRDefault="008C1818" w:rsidP="0062057E">
      <w:pPr>
        <w:rPr>
          <w:i/>
          <w:iCs/>
        </w:rPr>
      </w:pPr>
      <w:r>
        <w:rPr>
          <w:i/>
          <w:iCs/>
        </w:rPr>
        <w:t>Lösungsh</w:t>
      </w:r>
      <w:r w:rsidR="0062057E" w:rsidRPr="0062057E">
        <w:rPr>
          <w:i/>
          <w:iCs/>
        </w:rPr>
        <w:t>inweis: Dieser Prüfungspunkt kann auch weggelassen werden.</w:t>
      </w:r>
    </w:p>
    <w:p w14:paraId="5CE978C5" w14:textId="77777777" w:rsidR="0062057E" w:rsidRPr="0062057E" w:rsidRDefault="0062057E" w:rsidP="0062057E">
      <w:pPr>
        <w:pStyle w:val="Randnummer"/>
        <w:framePr w:wrap="around"/>
      </w:pPr>
    </w:p>
    <w:p w14:paraId="20A13C21" w14:textId="77777777" w:rsidR="0062057E" w:rsidRPr="0062057E" w:rsidRDefault="0062057E" w:rsidP="0062057E">
      <w:pPr>
        <w:rPr>
          <w:iCs/>
        </w:rPr>
      </w:pPr>
      <w:r w:rsidRPr="0062057E">
        <w:rPr>
          <w:iCs/>
        </w:rPr>
        <w:t>Der Antrag nach § 80 V VwGO unterliegt keiner Antragsfrist.</w:t>
      </w:r>
    </w:p>
    <w:p w14:paraId="7E5F0C11" w14:textId="77777777" w:rsidR="0062057E" w:rsidRPr="00635C3A" w:rsidRDefault="0062057E" w:rsidP="0077320D">
      <w:pPr>
        <w:pStyle w:val="berschrift5"/>
      </w:pPr>
      <w:bookmarkStart w:id="541" w:name="_Toc22133327"/>
      <w:r w:rsidRPr="00635C3A">
        <w:t>V. Tauglicher Antragsgegner</w:t>
      </w:r>
      <w:bookmarkEnd w:id="541"/>
    </w:p>
    <w:p w14:paraId="1F5EE4A2" w14:textId="4551071B" w:rsidR="0062057E" w:rsidRPr="0062057E" w:rsidRDefault="008C1818" w:rsidP="0062057E">
      <w:pPr>
        <w:rPr>
          <w:i/>
          <w:iCs/>
        </w:rPr>
      </w:pPr>
      <w:r>
        <w:rPr>
          <w:i/>
          <w:iCs/>
        </w:rPr>
        <w:t>Lösungsh</w:t>
      </w:r>
      <w:r w:rsidR="0062057E" w:rsidRPr="0077320D">
        <w:rPr>
          <w:i/>
          <w:iCs/>
        </w:rPr>
        <w:t>inweis:</w:t>
      </w:r>
      <w:r w:rsidR="0062057E" w:rsidRPr="0062057E">
        <w:rPr>
          <w:i/>
          <w:iCs/>
        </w:rPr>
        <w:t xml:space="preserve"> Dieser Prüfungspunkt kann </w:t>
      </w:r>
      <w:r w:rsidR="0062057E" w:rsidRPr="0062057E">
        <w:rPr>
          <w:i/>
          <w:iCs/>
          <w:u w:val="single"/>
        </w:rPr>
        <w:t>alternativ</w:t>
      </w:r>
      <w:r w:rsidR="0062057E" w:rsidRPr="0062057E">
        <w:rPr>
          <w:i/>
          <w:iCs/>
        </w:rPr>
        <w:t xml:space="preserve"> in der Begründetheit unter „Passivlegitimation“ behandelt werden.</w:t>
      </w:r>
      <w:r w:rsidR="005B4212">
        <w:rPr>
          <w:rStyle w:val="Funotenzeichen"/>
          <w:i/>
          <w:iCs/>
        </w:rPr>
        <w:footnoteReference w:id="495"/>
      </w:r>
    </w:p>
    <w:p w14:paraId="03CB0F50" w14:textId="77777777" w:rsidR="0062057E" w:rsidRDefault="0062057E" w:rsidP="0062057E">
      <w:pPr>
        <w:pStyle w:val="Randnummer"/>
        <w:framePr w:wrap="around"/>
      </w:pPr>
    </w:p>
    <w:p w14:paraId="1675E974" w14:textId="46A187F3" w:rsidR="0062057E" w:rsidRPr="0062057E" w:rsidRDefault="0062057E" w:rsidP="0062057E">
      <w:r w:rsidRPr="0062057E">
        <w:t xml:space="preserve">Der Antrag müsste sich gegen den richtigen Antragsgegner richten. Richtiger Antragsgegner ist analog § 78 I Nr. 1 VwGO der Rechtsträger der Behörde, die den angegriffenen </w:t>
      </w:r>
      <w:r w:rsidR="006D7E4D">
        <w:t>Verwaltungsakt</w:t>
      </w:r>
      <w:r w:rsidRPr="0062057E">
        <w:t xml:space="preserve"> erlassen hat (sog. Rechtsträgerprinzip). Die Stadt L ist Rechtsträgerin der handelnden Versammlungsbehörde und mithin taugliche Antragsgegnerin.</w:t>
      </w:r>
    </w:p>
    <w:p w14:paraId="75E54D3E" w14:textId="77777777" w:rsidR="0062057E" w:rsidRPr="00635C3A" w:rsidRDefault="0062057E" w:rsidP="0077320D">
      <w:pPr>
        <w:pStyle w:val="berschrift5"/>
      </w:pPr>
      <w:bookmarkStart w:id="542" w:name="_Toc22133328"/>
      <w:r w:rsidRPr="00635C3A">
        <w:t>VI. Beteiligungs- und Prozessfähigkeit</w:t>
      </w:r>
      <w:bookmarkEnd w:id="542"/>
    </w:p>
    <w:p w14:paraId="20171933" w14:textId="77777777" w:rsidR="0062057E" w:rsidRDefault="0062057E" w:rsidP="0062057E">
      <w:pPr>
        <w:pStyle w:val="Randnummer"/>
        <w:framePr w:wrap="around"/>
      </w:pPr>
    </w:p>
    <w:p w14:paraId="78D14CA4" w14:textId="6D3FADEC" w:rsidR="0062057E" w:rsidRPr="0062057E" w:rsidRDefault="0062057E" w:rsidP="0062057E">
      <w:r w:rsidRPr="0062057E">
        <w:t xml:space="preserve">Wer zu den Beteiligten gehört, richtet sich nach dem Hauptsacheverfahren. In der Hauptsache ist A als Klägerin i.S.v. § 63 Nr. 1 VwGO Beteiligte. Im einstweiligen Rechtsschutzverfahren ist sie daher Antragstellerin analog § 63 Nr. 1 VwGO; sie ist gem. § 61 Nr. 1 Alt. 1 VwGO beteiligungs- und gem. § 62 I Nr. 1 VwGO prozessfähig. Die Stadt L ist in der Hauptsache als Beklagte nach § 62 Nr. 2 VwGO beteiligt und analog </w:t>
      </w:r>
      <w:r w:rsidR="0034557A">
        <w:t>§ 62 Nr. 2 VwGO</w:t>
      </w:r>
      <w:r w:rsidRPr="0062057E">
        <w:t xml:space="preserve"> Antragsgegnerin im einstweiligen Rechtsschutzverfahren; sie ist als juristische Person des öffentlichen Rechts gem. § 61 Nr. 1 Alt. 2 VwGO i.V.m. §§ 1 III, 3 I SächsGemO beteiligungsfähig. L ist als juristische Person nicht prozessfähig. Sie wird gem. § 62 III VwGO i.V.m. § 51 I 2, IV SächsGemO durch den Oberbürgermeister vertreten.</w:t>
      </w:r>
    </w:p>
    <w:p w14:paraId="1DAA04B8" w14:textId="77777777" w:rsidR="0062057E" w:rsidRPr="00635C3A" w:rsidRDefault="0062057E" w:rsidP="0077320D">
      <w:pPr>
        <w:pStyle w:val="berschrift5"/>
      </w:pPr>
      <w:bookmarkStart w:id="543" w:name="_Toc22133329"/>
      <w:r w:rsidRPr="00635C3A">
        <w:t>VII. Zuständiges Gericht</w:t>
      </w:r>
      <w:bookmarkEnd w:id="543"/>
    </w:p>
    <w:p w14:paraId="312E88A7" w14:textId="77777777" w:rsidR="0062057E" w:rsidRDefault="0062057E" w:rsidP="0062057E">
      <w:pPr>
        <w:pStyle w:val="Randnummer"/>
        <w:framePr w:wrap="around"/>
      </w:pPr>
    </w:p>
    <w:p w14:paraId="1E83DA04" w14:textId="77777777" w:rsidR="0062057E" w:rsidRPr="0062057E" w:rsidRDefault="0062057E" w:rsidP="0062057E">
      <w:r w:rsidRPr="0062057E">
        <w:t>Gem. § 80 V 1 VwGO ist das Gericht der Hauptsache zuständig. Dies ist in sachlicher und örtlicher Hinsicht gem. §§ 45, 52 Nr. 3 VwGO i.V.m. § 2 II Nr. 3 SächsJG das VG Leipzig.</w:t>
      </w:r>
    </w:p>
    <w:p w14:paraId="5F575901" w14:textId="77777777" w:rsidR="0062057E" w:rsidRPr="00635C3A" w:rsidRDefault="0062057E" w:rsidP="0077320D">
      <w:pPr>
        <w:pStyle w:val="berschrift5"/>
      </w:pPr>
      <w:bookmarkStart w:id="544" w:name="_Toc22133330"/>
      <w:r w:rsidRPr="00635C3A">
        <w:t>VIII. Rechtsschutzbedürfnis</w:t>
      </w:r>
      <w:bookmarkEnd w:id="544"/>
    </w:p>
    <w:p w14:paraId="05FF8151" w14:textId="77777777" w:rsidR="0062057E" w:rsidRDefault="0062057E" w:rsidP="0062057E">
      <w:pPr>
        <w:pStyle w:val="Randnummer"/>
        <w:framePr w:wrap="around"/>
      </w:pPr>
    </w:p>
    <w:p w14:paraId="34FE74F9" w14:textId="608217BA" w:rsidR="0062057E" w:rsidRPr="0062057E" w:rsidRDefault="0062057E" w:rsidP="0062057E">
      <w:pPr>
        <w:rPr>
          <w:bCs/>
        </w:rPr>
      </w:pPr>
      <w:r w:rsidRPr="0062057E">
        <w:rPr>
          <w:bCs/>
        </w:rPr>
        <w:t xml:space="preserve">Dem grundsätzlich </w:t>
      </w:r>
      <w:r w:rsidR="0034557A">
        <w:rPr>
          <w:bCs/>
        </w:rPr>
        <w:t>vorliegenden</w:t>
      </w:r>
      <w:r w:rsidRPr="0062057E">
        <w:rPr>
          <w:bCs/>
        </w:rPr>
        <w:t xml:space="preserve"> Rechtsschutzbedürfnis dürften keine Einwände entgegenstehen.</w:t>
      </w:r>
    </w:p>
    <w:p w14:paraId="70D83857" w14:textId="77777777" w:rsidR="0062057E" w:rsidRPr="00635C3A" w:rsidRDefault="0062057E" w:rsidP="0077320D">
      <w:pPr>
        <w:pStyle w:val="berschrift6"/>
      </w:pPr>
      <w:bookmarkStart w:id="545" w:name="_Toc22133331"/>
      <w:r w:rsidRPr="00635C3A">
        <w:t>1. Erfordernis der Erhebung eines Rechtsbehelfs in der Hauptsache</w:t>
      </w:r>
      <w:bookmarkEnd w:id="545"/>
    </w:p>
    <w:p w14:paraId="3610BF71" w14:textId="77777777" w:rsidR="0062057E" w:rsidRDefault="0062057E" w:rsidP="0062057E">
      <w:pPr>
        <w:pStyle w:val="Randnummer"/>
        <w:framePr w:wrap="around"/>
      </w:pPr>
    </w:p>
    <w:p w14:paraId="31F65B97" w14:textId="77777777" w:rsidR="0062057E" w:rsidRPr="0062057E" w:rsidRDefault="0062057E" w:rsidP="0062057E">
      <w:r w:rsidRPr="0062057E">
        <w:t>Es könnte am Rechtsschutzbedürfnis fehlen, wenn ein vorheriger oder gleichzeitiger Rechtsbehelf in der Hauptsache erforderlich wäre.</w:t>
      </w:r>
    </w:p>
    <w:p w14:paraId="3A19D67A" w14:textId="77777777" w:rsidR="0062057E" w:rsidRPr="0062057E" w:rsidRDefault="0062057E" w:rsidP="0062057E">
      <w:r w:rsidRPr="0062057E">
        <w:t xml:space="preserve">Die vorherige oder zeitgleiche Erhebung einer Anfechtungsklage ist wegen § 80 V 2 VwGO nicht erforderlich. </w:t>
      </w:r>
    </w:p>
    <w:p w14:paraId="6F0E9E11" w14:textId="79D51E26" w:rsidR="0062057E" w:rsidRPr="0062057E" w:rsidRDefault="0062057E" w:rsidP="0062057E">
      <w:r w:rsidRPr="0062057E">
        <w:t xml:space="preserve">Hingegen könnte es erforderlich sein, ggf. vor oder zumindest zeitgleich mit der Stellung eines Antrags nach § 80 V VwGO einen – an sich noch zulässigen – Widerspruch gegen den </w:t>
      </w:r>
      <w:r w:rsidR="006D7E4D">
        <w:t>Verwaltungsakt</w:t>
      </w:r>
      <w:r w:rsidRPr="0062057E">
        <w:t xml:space="preserve"> einzulegen.</w:t>
      </w:r>
    </w:p>
    <w:p w14:paraId="192B78B8" w14:textId="62C7D971" w:rsidR="0062057E" w:rsidRPr="0062057E" w:rsidRDefault="0062057E" w:rsidP="0062057E">
      <w:r w:rsidRPr="0062057E">
        <w:t xml:space="preserve">Hierfür lässt sich zwar anführen, dass der Antrag nach § 80 V VwGO auf die gerichtliche Anordnung oder Wiederherstellung einer aufschiebenden Wirkung gerichtet ist, die § 80 I 1 VwGO nur dem (erhobenen) Widerspruch oder der Anfechtungsklage zuweist. Dagegen spricht, dass die – von Art. 19 IV GG geschützte – volle Ausschöpfung der Widerspruchsfrist sich mit Hinblick auf das einstweilige Rechtsschutzverfahren für den Antragsteller nachteilig auswirken könnte. Zudem wären einstweilige Rechtsschutzbegehren gegen </w:t>
      </w:r>
      <w:r w:rsidR="006D7E4D">
        <w:t>Verwaltungsakt</w:t>
      </w:r>
      <w:r w:rsidRPr="0062057E">
        <w:t xml:space="preserve">e, für die ein Widerspruchsverfahren gesetzlich nicht mehr vorgesehen ist, ohne erkennbaren sachlichen Grund bevorteilt. Daher erweist es sich als überzeugender, einen Antrag nach § 80 V VwGO auch schon vor Erhebung des Widerspruchs als zulässig zu behandeln, solange der Widerspruch nicht bereits offensichtlich unzulässig, insbesondere verfristet ist, und vor Ablauf der Widerspruchsfrist erhoben wird. Gem. § 70 I 1 VwGO ist der Widerspruch innerhalb eines Monats nach Bekanntgabe des </w:t>
      </w:r>
      <w:r w:rsidR="006D7E4D">
        <w:t>Verwaltungsakt</w:t>
      </w:r>
      <w:r w:rsidR="0034557A">
        <w:t>s</w:t>
      </w:r>
      <w:r w:rsidRPr="0062057E">
        <w:t xml:space="preserve"> zu erheben. A könnte vor dem geplanten Versammlungstermin am 14.9.2018 noch offensichtlich fristgerecht Widerspruch gegen den am 12.9.2018 bekanntgegebenen </w:t>
      </w:r>
      <w:r w:rsidR="006D7E4D">
        <w:t>Verwaltungsakt</w:t>
      </w:r>
      <w:r w:rsidRPr="0062057E">
        <w:t xml:space="preserve"> erheben.</w:t>
      </w:r>
      <w:r w:rsidRPr="0062057E">
        <w:rPr>
          <w:vertAlign w:val="superscript"/>
        </w:rPr>
        <w:footnoteReference w:id="496"/>
      </w:r>
      <w:r w:rsidRPr="0062057E">
        <w:t xml:space="preserve"> Mithin fehlt es A insoweit nicht am Rechtsschutzbedürfnis.</w:t>
      </w:r>
      <w:r w:rsidRPr="0062057E">
        <w:rPr>
          <w:vertAlign w:val="superscript"/>
        </w:rPr>
        <w:footnoteReference w:id="497"/>
      </w:r>
    </w:p>
    <w:p w14:paraId="56A3D847" w14:textId="77777777" w:rsidR="0062057E" w:rsidRPr="00635C3A" w:rsidRDefault="0062057E" w:rsidP="0077320D">
      <w:pPr>
        <w:pStyle w:val="berschrift6"/>
      </w:pPr>
      <w:bookmarkStart w:id="546" w:name="_Toc22133332"/>
      <w:r w:rsidRPr="00635C3A">
        <w:t>2. Vorheriger Antrag bei der Behörde</w:t>
      </w:r>
      <w:bookmarkEnd w:id="546"/>
    </w:p>
    <w:p w14:paraId="3B8D22AD" w14:textId="77777777" w:rsidR="0062057E" w:rsidRDefault="0062057E" w:rsidP="0062057E">
      <w:pPr>
        <w:pStyle w:val="Randnummer"/>
        <w:framePr w:wrap="around"/>
      </w:pPr>
    </w:p>
    <w:p w14:paraId="66AD037E" w14:textId="77777777" w:rsidR="0062057E" w:rsidRPr="0062057E" w:rsidRDefault="0062057E" w:rsidP="0062057E">
      <w:r w:rsidRPr="0062057E">
        <w:t>Die Stellung eines vorherigen Antrags bei der Behörde nach § 80 IV VwGO ist im vorliegenden Fall des § 80 II 1 Nr. 4 VwGO aus einem Umkehrschluss des § 80 VI 1 VwGO nicht erforderlich.</w:t>
      </w:r>
      <w:r w:rsidRPr="0062057E">
        <w:rPr>
          <w:vertAlign w:val="superscript"/>
        </w:rPr>
        <w:footnoteReference w:id="498"/>
      </w:r>
    </w:p>
    <w:p w14:paraId="43BA88D8" w14:textId="362AA2DB" w:rsidR="0062057E" w:rsidRPr="00635C3A" w:rsidRDefault="00635C3A" w:rsidP="0077320D">
      <w:pPr>
        <w:pStyle w:val="berschrift5"/>
      </w:pPr>
      <w:bookmarkStart w:id="547" w:name="_Toc22133333"/>
      <w:r w:rsidRPr="00635C3A">
        <w:t>IX</w:t>
      </w:r>
      <w:r w:rsidR="0062057E" w:rsidRPr="00635C3A">
        <w:t>. Zwischenergebnis</w:t>
      </w:r>
      <w:bookmarkEnd w:id="547"/>
    </w:p>
    <w:p w14:paraId="66208D46" w14:textId="77777777" w:rsidR="0062057E" w:rsidRDefault="0062057E" w:rsidP="0062057E">
      <w:r w:rsidRPr="0062057E">
        <w:t>Der Antrag ist zulässig.</w:t>
      </w:r>
    </w:p>
    <w:p w14:paraId="1CA83146" w14:textId="77777777" w:rsidR="0062057E" w:rsidRPr="0062057E" w:rsidRDefault="0062057E" w:rsidP="0062057E"/>
    <w:p w14:paraId="57E0ADAC" w14:textId="10CDBD82" w:rsidR="0062057E" w:rsidRDefault="0062057E" w:rsidP="0077320D">
      <w:pPr>
        <w:pStyle w:val="berschrift4"/>
      </w:pPr>
      <w:bookmarkStart w:id="548" w:name="_Toc22133334"/>
      <w:r w:rsidRPr="00635C3A">
        <w:t>B. Begründetheit</w:t>
      </w:r>
      <w:bookmarkEnd w:id="548"/>
    </w:p>
    <w:p w14:paraId="3FEBE590" w14:textId="77777777" w:rsidR="005B4212" w:rsidRPr="005B4212" w:rsidRDefault="005B4212" w:rsidP="005B4212">
      <w:pPr>
        <w:pStyle w:val="Randnummer"/>
        <w:framePr w:wrap="around"/>
      </w:pPr>
    </w:p>
    <w:p w14:paraId="617381A4" w14:textId="1AFEAFE1" w:rsidR="0062057E" w:rsidRPr="0062057E" w:rsidRDefault="008C1818" w:rsidP="0062057E">
      <w:pPr>
        <w:rPr>
          <w:i/>
        </w:rPr>
      </w:pPr>
      <w:r>
        <w:rPr>
          <w:i/>
        </w:rPr>
        <w:t>Lösungsh</w:t>
      </w:r>
      <w:r w:rsidR="0062057E" w:rsidRPr="0062057E">
        <w:rPr>
          <w:i/>
        </w:rPr>
        <w:t>inweis: Aus didaktischen Gründen beschränken sich die Ausführungen zur Begründetheit des Antrags auf das Wesentliche. Es ist jedoch zu beachten, dass die Begründetheit des Antrags i.d.R. den Schwerpunkt einer Klausur bildet und dementsprechend nicht oberflächlich bearbeitet werden sollte.</w:t>
      </w:r>
    </w:p>
    <w:p w14:paraId="0E85FFE9" w14:textId="7978F1CD" w:rsidR="0062057E" w:rsidRDefault="0062057E" w:rsidP="0062057E">
      <w:pPr>
        <w:rPr>
          <w:iCs/>
        </w:rPr>
      </w:pPr>
      <w:r w:rsidRPr="0062057E">
        <w:t xml:space="preserve">Der Antrag müsste begründet sein. </w:t>
      </w:r>
      <w:r w:rsidRPr="0062057E">
        <w:rPr>
          <w:iCs/>
        </w:rPr>
        <w:t>Der Antrag nach § 80 V 1 Alt. 2 VwGO ist begründet, wenn die Anordnung der sofortigen Vollziehung (formell) fehlerhaft war oder wenn das Interesse der A an der Aussetzung der Vollziehung (Suspensivinteresse) das Interesse der Allgemeinheit an der sofortigen Vollziehung (Vollziehungsinteresse) überwiegt.</w:t>
      </w:r>
      <w:r w:rsidRPr="0062057E">
        <w:rPr>
          <w:iCs/>
          <w:vertAlign w:val="superscript"/>
        </w:rPr>
        <w:t xml:space="preserve"> </w:t>
      </w:r>
      <w:r w:rsidRPr="0062057E">
        <w:rPr>
          <w:iCs/>
        </w:rPr>
        <w:t xml:space="preserve">Maßgeblich ist für die Interessenabwägung insbesondere, ob sich der angegriffene </w:t>
      </w:r>
      <w:r w:rsidR="006D7E4D">
        <w:rPr>
          <w:iCs/>
        </w:rPr>
        <w:t>Verwaltungsakt</w:t>
      </w:r>
      <w:r w:rsidRPr="0062057E">
        <w:rPr>
          <w:iCs/>
        </w:rPr>
        <w:t xml:space="preserve"> nach summarischer Prüfung als (offensichtlich) rechtswidrig erweist.</w:t>
      </w:r>
      <w:r w:rsidR="00A566D1">
        <w:rPr>
          <w:iCs/>
        </w:rPr>
        <w:t xml:space="preserve"> </w:t>
      </w:r>
      <w:r w:rsidRPr="0062057E">
        <w:rPr>
          <w:iCs/>
        </w:rPr>
        <w:t>Zudem muss der Antrag gegen den richtigen Antragsgegner gerichtet sein.</w:t>
      </w:r>
    </w:p>
    <w:p w14:paraId="2108226C" w14:textId="77777777" w:rsidR="0062057E" w:rsidRPr="00635C3A" w:rsidRDefault="0062057E" w:rsidP="0077320D">
      <w:pPr>
        <w:pStyle w:val="berschrift5"/>
      </w:pPr>
      <w:bookmarkStart w:id="549" w:name="_Toc22133335"/>
      <w:r w:rsidRPr="00635C3A">
        <w:t>I. Passivlegitimation</w:t>
      </w:r>
      <w:bookmarkEnd w:id="549"/>
    </w:p>
    <w:p w14:paraId="2512C668" w14:textId="77777777" w:rsidR="00507DFA" w:rsidRDefault="00507DFA" w:rsidP="00507DFA">
      <w:pPr>
        <w:pStyle w:val="Randnummer"/>
        <w:framePr w:wrap="around"/>
      </w:pPr>
    </w:p>
    <w:p w14:paraId="501D3D75" w14:textId="53A23EED" w:rsidR="0062057E" w:rsidRPr="0062057E" w:rsidRDefault="008C1818" w:rsidP="0062057E">
      <w:pPr>
        <w:rPr>
          <w:i/>
        </w:rPr>
      </w:pPr>
      <w:r>
        <w:rPr>
          <w:i/>
        </w:rPr>
        <w:t>Lösungsh</w:t>
      </w:r>
      <w:r w:rsidR="0062057E" w:rsidRPr="0062057E">
        <w:rPr>
          <w:i/>
        </w:rPr>
        <w:t xml:space="preserve">inweis: Dieser Prüfungspunkt kann </w:t>
      </w:r>
      <w:r w:rsidR="0062057E" w:rsidRPr="0062057E">
        <w:rPr>
          <w:i/>
          <w:u w:val="single"/>
        </w:rPr>
        <w:t>alternativ</w:t>
      </w:r>
      <w:r w:rsidR="0062057E" w:rsidRPr="0062057E">
        <w:rPr>
          <w:i/>
        </w:rPr>
        <w:t xml:space="preserve"> in der Zulässigkeit des Antrags unter „tauglicher Antragsgegner“ behandelt werden</w:t>
      </w:r>
      <w:r w:rsidR="0062057E">
        <w:rPr>
          <w:i/>
        </w:rPr>
        <w:t xml:space="preserve"> (s</w:t>
      </w:r>
      <w:r w:rsidR="0034557A">
        <w:rPr>
          <w:i/>
        </w:rPr>
        <w:t>. </w:t>
      </w:r>
      <w:r w:rsidR="0062057E">
        <w:rPr>
          <w:i/>
        </w:rPr>
        <w:t>bereits Rn.</w:t>
      </w:r>
      <w:r w:rsidR="0034557A">
        <w:rPr>
          <w:i/>
        </w:rPr>
        <w:t> </w:t>
      </w:r>
      <w:r w:rsidR="00507DFA">
        <w:rPr>
          <w:i/>
        </w:rPr>
        <w:t>10</w:t>
      </w:r>
      <w:r w:rsidR="0062057E">
        <w:rPr>
          <w:i/>
        </w:rPr>
        <w:t>)</w:t>
      </w:r>
      <w:r w:rsidR="0062057E" w:rsidRPr="0062057E">
        <w:rPr>
          <w:i/>
        </w:rPr>
        <w:t>.</w:t>
      </w:r>
    </w:p>
    <w:p w14:paraId="0CCBA280" w14:textId="77777777" w:rsidR="0062057E" w:rsidRPr="0062057E" w:rsidRDefault="0062057E" w:rsidP="0062057E">
      <w:r w:rsidRPr="0062057E">
        <w:t>Die Stadt L als Rechtsträgerin der handelnden Behörde ist passivlegitimiert (Rechtsträgerprinzip).</w:t>
      </w:r>
      <w:r w:rsidRPr="0062057E">
        <w:rPr>
          <w:vertAlign w:val="superscript"/>
        </w:rPr>
        <w:footnoteReference w:id="499"/>
      </w:r>
    </w:p>
    <w:p w14:paraId="712ABD2E" w14:textId="77777777" w:rsidR="0062057E" w:rsidRPr="00635C3A" w:rsidRDefault="0062057E" w:rsidP="0077320D">
      <w:pPr>
        <w:pStyle w:val="berschrift5"/>
      </w:pPr>
      <w:bookmarkStart w:id="550" w:name="_Toc22133336"/>
      <w:r w:rsidRPr="00635C3A">
        <w:t>II. Formelle Rechtmäßigkeit der Anordnung der sofortigen Vollziehung</w:t>
      </w:r>
      <w:bookmarkEnd w:id="550"/>
    </w:p>
    <w:p w14:paraId="2A766574" w14:textId="77777777" w:rsidR="0062057E" w:rsidRDefault="0062057E" w:rsidP="0062057E">
      <w:pPr>
        <w:pStyle w:val="Randnummer"/>
        <w:framePr w:wrap="around"/>
      </w:pPr>
    </w:p>
    <w:p w14:paraId="0FA88320" w14:textId="77777777" w:rsidR="0062057E" w:rsidRPr="0062057E" w:rsidRDefault="0062057E" w:rsidP="0062057E">
      <w:r w:rsidRPr="0062057E">
        <w:t>Die Anordnung der sofortigen Vollziehung erfolgte laut Sachverhalt formell rechtmäßig.</w:t>
      </w:r>
    </w:p>
    <w:p w14:paraId="7DEF0B36" w14:textId="77777777" w:rsidR="0062057E" w:rsidRPr="00635C3A" w:rsidRDefault="0062057E" w:rsidP="0077320D">
      <w:pPr>
        <w:pStyle w:val="berschrift5"/>
      </w:pPr>
      <w:bookmarkStart w:id="551" w:name="_Toc22133337"/>
      <w:r w:rsidRPr="00635C3A">
        <w:t>III. Abwägung des Suspensivinteresses der A mit dem öffentlichen Vollziehungsinteresse</w:t>
      </w:r>
      <w:bookmarkEnd w:id="551"/>
    </w:p>
    <w:p w14:paraId="0AC13E84" w14:textId="77777777" w:rsidR="0062057E" w:rsidRDefault="0062057E" w:rsidP="0062057E">
      <w:pPr>
        <w:pStyle w:val="Randnummer"/>
        <w:framePr w:wrap="around"/>
      </w:pPr>
    </w:p>
    <w:p w14:paraId="568E1DDD" w14:textId="25208FDF" w:rsidR="0062057E" w:rsidRPr="0062057E" w:rsidRDefault="0062057E" w:rsidP="0062057E">
      <w:r w:rsidRPr="0062057E">
        <w:t xml:space="preserve">Der angegriffene </w:t>
      </w:r>
      <w:r w:rsidR="006D7E4D">
        <w:t>Verwaltungsakt</w:t>
      </w:r>
      <w:r w:rsidRPr="0062057E">
        <w:t xml:space="preserve"> müsste sich nach summarischer Prüfung als rechtswidrig erweisen.</w:t>
      </w:r>
    </w:p>
    <w:p w14:paraId="50C94359" w14:textId="77777777" w:rsidR="0062057E" w:rsidRPr="00635C3A" w:rsidRDefault="0062057E" w:rsidP="0077320D">
      <w:pPr>
        <w:pStyle w:val="berschrift6"/>
      </w:pPr>
      <w:bookmarkStart w:id="552" w:name="_Toc22133338"/>
      <w:r w:rsidRPr="00635C3A">
        <w:t>1. Ermächtigungsgrundlage</w:t>
      </w:r>
      <w:bookmarkEnd w:id="552"/>
    </w:p>
    <w:p w14:paraId="32880D92" w14:textId="77777777" w:rsidR="0062057E" w:rsidRDefault="0062057E" w:rsidP="0062057E">
      <w:pPr>
        <w:pStyle w:val="Randnummer"/>
        <w:framePr w:wrap="around"/>
      </w:pPr>
    </w:p>
    <w:p w14:paraId="54299AA7" w14:textId="77777777" w:rsidR="0062057E" w:rsidRPr="0062057E" w:rsidRDefault="0062057E" w:rsidP="0062057E">
      <w:r w:rsidRPr="0062057E">
        <w:t>Als aufgrund des Vorbehalts des Gesetzes (Art. 20 III GG) notwendige Ermächtigungsgrundlage kommt § 15 I SächsVersG in Betracht.</w:t>
      </w:r>
    </w:p>
    <w:p w14:paraId="4892B5FE" w14:textId="77777777" w:rsidR="0062057E" w:rsidRPr="00635C3A" w:rsidRDefault="0062057E" w:rsidP="0077320D">
      <w:pPr>
        <w:pStyle w:val="berschrift6"/>
      </w:pPr>
      <w:bookmarkStart w:id="553" w:name="_Toc22133339"/>
      <w:r w:rsidRPr="00635C3A">
        <w:t>2. Formelle Rechtmäßigkeit</w:t>
      </w:r>
      <w:bookmarkEnd w:id="553"/>
    </w:p>
    <w:p w14:paraId="287D55AF" w14:textId="77777777" w:rsidR="0062057E" w:rsidRDefault="0062057E" w:rsidP="0062057E">
      <w:pPr>
        <w:pStyle w:val="Randnummer"/>
        <w:framePr w:wrap="around"/>
      </w:pPr>
    </w:p>
    <w:p w14:paraId="3F5CB42E" w14:textId="0079056F" w:rsidR="0062057E" w:rsidRPr="0062057E" w:rsidRDefault="0062057E" w:rsidP="0062057E">
      <w:r w:rsidRPr="0062057E">
        <w:t xml:space="preserve">Der </w:t>
      </w:r>
      <w:r>
        <w:t>Verwaltungsakt</w:t>
      </w:r>
      <w:r w:rsidRPr="0062057E">
        <w:t xml:space="preserve"> müsste formell rechtmäßig sein.</w:t>
      </w:r>
    </w:p>
    <w:p w14:paraId="5AD65C6A" w14:textId="77777777" w:rsidR="0062057E" w:rsidRPr="00635C3A" w:rsidRDefault="0062057E" w:rsidP="0077320D">
      <w:pPr>
        <w:pStyle w:val="berschrift7"/>
      </w:pPr>
      <w:bookmarkStart w:id="554" w:name="_Toc22133340"/>
      <w:r w:rsidRPr="00635C3A">
        <w:t>a) Zuständigkeit</w:t>
      </w:r>
      <w:bookmarkEnd w:id="554"/>
    </w:p>
    <w:p w14:paraId="4515B102" w14:textId="77777777" w:rsidR="0062057E" w:rsidRDefault="0062057E" w:rsidP="0062057E">
      <w:pPr>
        <w:pStyle w:val="Randnummer"/>
        <w:framePr w:wrap="around"/>
      </w:pPr>
    </w:p>
    <w:p w14:paraId="6CA423B3" w14:textId="4153C0BC" w:rsidR="0062057E" w:rsidRPr="0062057E" w:rsidRDefault="0062057E" w:rsidP="0062057E">
      <w:r w:rsidRPr="0062057E" w:rsidDel="00EC2AA8">
        <w:t>Die</w:t>
      </w:r>
      <w:r w:rsidRPr="0062057E">
        <w:t xml:space="preserve"> für die Versammlungsverlegung sachlich und örtlich zuständige Versammlungsbehörde der</w:t>
      </w:r>
      <w:r w:rsidRPr="0062057E" w:rsidDel="00EC2AA8">
        <w:t xml:space="preserve"> Stadt L </w:t>
      </w:r>
      <w:r w:rsidRPr="0062057E">
        <w:t xml:space="preserve">hat den </w:t>
      </w:r>
      <w:r>
        <w:t>Verwaltungsakt</w:t>
      </w:r>
      <w:r w:rsidRPr="0062057E">
        <w:t xml:space="preserve"> erlassen (vgl. Sachverhalt).</w:t>
      </w:r>
    </w:p>
    <w:p w14:paraId="76DB4A87" w14:textId="77777777" w:rsidR="0062057E" w:rsidRPr="00635C3A" w:rsidRDefault="0062057E" w:rsidP="0077320D">
      <w:pPr>
        <w:pStyle w:val="berschrift7"/>
      </w:pPr>
      <w:bookmarkStart w:id="555" w:name="_Toc22133341"/>
      <w:r w:rsidRPr="00635C3A">
        <w:t>b) Verfahren</w:t>
      </w:r>
      <w:bookmarkEnd w:id="555"/>
    </w:p>
    <w:p w14:paraId="6C3462DB" w14:textId="77777777" w:rsidR="0062057E" w:rsidRDefault="0062057E" w:rsidP="0062057E">
      <w:pPr>
        <w:pStyle w:val="Randnummer"/>
        <w:framePr w:wrap="around"/>
      </w:pPr>
    </w:p>
    <w:p w14:paraId="55C720D7" w14:textId="77777777" w:rsidR="0062057E" w:rsidRPr="0062057E" w:rsidRDefault="0062057E" w:rsidP="0062057E">
      <w:r w:rsidRPr="0062057E">
        <w:t>Die Anhörung von A i.S.v. § 28 I VwVfG ist erfolgt.</w:t>
      </w:r>
    </w:p>
    <w:p w14:paraId="69F9C0F5" w14:textId="77777777" w:rsidR="0062057E" w:rsidRPr="00635C3A" w:rsidRDefault="0062057E" w:rsidP="0077320D">
      <w:pPr>
        <w:pStyle w:val="berschrift7"/>
      </w:pPr>
      <w:bookmarkStart w:id="556" w:name="_Toc22133342"/>
      <w:r w:rsidRPr="00635C3A">
        <w:t>c) Form</w:t>
      </w:r>
      <w:bookmarkEnd w:id="556"/>
    </w:p>
    <w:p w14:paraId="30C15030" w14:textId="77777777" w:rsidR="0062057E" w:rsidRDefault="0062057E" w:rsidP="0062057E">
      <w:pPr>
        <w:pStyle w:val="Randnummer"/>
        <w:framePr w:wrap="around"/>
      </w:pPr>
    </w:p>
    <w:p w14:paraId="2D6C7975" w14:textId="77777777" w:rsidR="0062057E" w:rsidRPr="0062057E" w:rsidRDefault="0062057E" w:rsidP="0062057E">
      <w:r w:rsidRPr="0062057E">
        <w:t xml:space="preserve">Die Formvorschriften der §§ 37 II 1, 39 I VwVfG sind gewahrt. </w:t>
      </w:r>
    </w:p>
    <w:p w14:paraId="79CBAF34" w14:textId="77777777" w:rsidR="0062057E" w:rsidRPr="00635C3A" w:rsidRDefault="0062057E" w:rsidP="0077320D">
      <w:pPr>
        <w:pStyle w:val="berschrift7"/>
      </w:pPr>
      <w:bookmarkStart w:id="557" w:name="_Toc22133343"/>
      <w:r w:rsidRPr="00635C3A">
        <w:t>d) Zwischenergebnis</w:t>
      </w:r>
      <w:bookmarkEnd w:id="557"/>
    </w:p>
    <w:p w14:paraId="5E8F8D50" w14:textId="77777777" w:rsidR="0062057E" w:rsidRDefault="0062057E" w:rsidP="0062057E">
      <w:pPr>
        <w:pStyle w:val="Randnummer"/>
        <w:framePr w:wrap="around"/>
      </w:pPr>
    </w:p>
    <w:p w14:paraId="160D5DB9" w14:textId="2F9F8C1B" w:rsidR="0062057E" w:rsidRPr="0062057E" w:rsidRDefault="0062057E" w:rsidP="0062057E">
      <w:r w:rsidRPr="0062057E">
        <w:t xml:space="preserve">Der </w:t>
      </w:r>
      <w:r>
        <w:t>Verwaltungsakt</w:t>
      </w:r>
      <w:r w:rsidRPr="0062057E">
        <w:t xml:space="preserve"> ist formell rechtmäßig.</w:t>
      </w:r>
    </w:p>
    <w:p w14:paraId="0958D402" w14:textId="77777777" w:rsidR="0062057E" w:rsidRPr="00635C3A" w:rsidRDefault="0062057E" w:rsidP="0077320D">
      <w:pPr>
        <w:pStyle w:val="berschrift6"/>
      </w:pPr>
      <w:bookmarkStart w:id="558" w:name="_Toc22133344"/>
      <w:r w:rsidRPr="00635C3A">
        <w:t>3. Materielle Rechtmäßigkeit</w:t>
      </w:r>
      <w:bookmarkEnd w:id="558"/>
    </w:p>
    <w:p w14:paraId="16CEAFAB" w14:textId="77777777" w:rsidR="0062057E" w:rsidRDefault="0062057E" w:rsidP="0062057E">
      <w:pPr>
        <w:pStyle w:val="Randnummer"/>
        <w:framePr w:wrap="around"/>
      </w:pPr>
    </w:p>
    <w:p w14:paraId="2FCA14D6" w14:textId="1BC7832E" w:rsidR="0062057E" w:rsidRPr="0062057E" w:rsidRDefault="0062057E" w:rsidP="0062057E">
      <w:r w:rsidRPr="0062057E">
        <w:t xml:space="preserve">Der </w:t>
      </w:r>
      <w:r>
        <w:t>Verwaltungsakt</w:t>
      </w:r>
      <w:r w:rsidRPr="0062057E">
        <w:t xml:space="preserve"> müsste materiell rechtmäßig sein.</w:t>
      </w:r>
    </w:p>
    <w:p w14:paraId="4868116E" w14:textId="77777777" w:rsidR="0062057E" w:rsidRPr="00635C3A" w:rsidRDefault="0062057E" w:rsidP="0077320D">
      <w:pPr>
        <w:pStyle w:val="berschrift7"/>
      </w:pPr>
      <w:bookmarkStart w:id="559" w:name="_Toc22133345"/>
      <w:r w:rsidRPr="00635C3A">
        <w:t>a) Tatbestandsvoraussetzungen der Ermächtigungsgrundlage</w:t>
      </w:r>
      <w:bookmarkEnd w:id="559"/>
    </w:p>
    <w:p w14:paraId="500048A9" w14:textId="77777777" w:rsidR="0062057E" w:rsidRDefault="0062057E" w:rsidP="0062057E">
      <w:pPr>
        <w:pStyle w:val="Randnummer"/>
        <w:framePr w:wrap="around"/>
      </w:pPr>
    </w:p>
    <w:p w14:paraId="5B717DB4" w14:textId="77777777" w:rsidR="0062057E" w:rsidRPr="0062057E" w:rsidRDefault="0062057E" w:rsidP="0062057E">
      <w:r w:rsidRPr="0062057E">
        <w:t>Die Tatbestandsvoraussetzungen des § 15 I SächsVersG müssten vorliegen.</w:t>
      </w:r>
    </w:p>
    <w:p w14:paraId="3CC47844" w14:textId="77777777" w:rsidR="0062057E" w:rsidRPr="00635C3A" w:rsidRDefault="0062057E" w:rsidP="0077320D">
      <w:pPr>
        <w:pStyle w:val="berschrift8"/>
      </w:pPr>
      <w:bookmarkStart w:id="560" w:name="_Toc22133346"/>
      <w:r w:rsidRPr="00635C3A">
        <w:t>aa) Versammlung</w:t>
      </w:r>
      <w:bookmarkEnd w:id="560"/>
    </w:p>
    <w:p w14:paraId="35F06A24" w14:textId="77777777" w:rsidR="0062057E" w:rsidRDefault="0062057E" w:rsidP="0062057E">
      <w:pPr>
        <w:pStyle w:val="Randnummer"/>
        <w:framePr w:wrap="around"/>
      </w:pPr>
    </w:p>
    <w:p w14:paraId="5846A3D1" w14:textId="77777777" w:rsidR="0062057E" w:rsidRPr="0062057E" w:rsidRDefault="0062057E" w:rsidP="0062057E">
      <w:r w:rsidRPr="0062057E">
        <w:t>Es handelt sich bei der Demonstration um eine örtliche Zusammenkunft von mindestens zwei Personen zur gemeinschaftlichen, überwiegend auf die Teilhabe an der öffentlichen Meinungsbildung gerichteten Kundgebung und damit um eine Versammlung i.S.v. § 1 III SächsVersG.</w:t>
      </w:r>
      <w:r w:rsidRPr="0062057E">
        <w:rPr>
          <w:vertAlign w:val="superscript"/>
        </w:rPr>
        <w:footnoteReference w:id="500"/>
      </w:r>
    </w:p>
    <w:p w14:paraId="1AACD328" w14:textId="77777777" w:rsidR="0062057E" w:rsidRPr="00635C3A" w:rsidRDefault="0062057E" w:rsidP="0077320D">
      <w:pPr>
        <w:pStyle w:val="berschrift8"/>
      </w:pPr>
      <w:bookmarkStart w:id="561" w:name="_Toc22133347"/>
      <w:r w:rsidRPr="00635C3A">
        <w:t>bb) Unmittelbare Gefährdung für öffentliche Sicherheit oder Ordnung</w:t>
      </w:r>
      <w:bookmarkEnd w:id="561"/>
    </w:p>
    <w:p w14:paraId="6324AC63" w14:textId="77777777" w:rsidR="0062057E" w:rsidRDefault="0062057E" w:rsidP="0062057E">
      <w:pPr>
        <w:pStyle w:val="Randnummer"/>
        <w:framePr w:wrap="around"/>
      </w:pPr>
    </w:p>
    <w:p w14:paraId="732D53C2" w14:textId="77777777" w:rsidR="0062057E" w:rsidRPr="0062057E" w:rsidRDefault="0062057E" w:rsidP="0062057E">
      <w:r w:rsidRPr="0062057E">
        <w:t>Es müsste nach den bei Erlass der Beschränkung erkennbaren Umständen bei Durchführung der Versammlung eine unmittelbare Gefahr für die öffentliche Sicherheit oder Ordnung drohen.</w:t>
      </w:r>
    </w:p>
    <w:p w14:paraId="2CF33C74" w14:textId="77777777" w:rsidR="0062057E" w:rsidRPr="0062057E" w:rsidRDefault="0062057E" w:rsidP="0062057E">
      <w:pPr>
        <w:rPr>
          <w:bCs/>
        </w:rPr>
      </w:pPr>
      <w:r w:rsidRPr="0062057E">
        <w:rPr>
          <w:bCs/>
        </w:rPr>
        <w:t>Mit dem Abstellen auf die bei Erlass der Beschränkung erkennbaren Umstände macht das Gesetz deutlich, dass es auf eine Gefahrenprognose ankommt, also die Einschätzung der Gefahrenlage einer zukünftigen Entwicklung anhand der vorhandenen Situation und auf der Grundlage der konkreten Tatsachen, Erkenntnisse, zeitnahen Erfahrungen und vergleichbaren Ereignisse. Erforderlich sind also stets tatsächliche Anhaltspunkte, die bei verständiger Würdigung eine hinreichende Wahrscheinlichkeit des Schadenseintritts ergeben, wobei bloße Vermutungen nicht ausreichen.</w:t>
      </w:r>
    </w:p>
    <w:p w14:paraId="0A62F51A" w14:textId="77777777" w:rsidR="0062057E" w:rsidRPr="0062057E" w:rsidRDefault="0062057E" w:rsidP="0062057E">
      <w:pPr>
        <w:rPr>
          <w:bCs/>
        </w:rPr>
      </w:pPr>
      <w:r w:rsidRPr="0062057E">
        <w:rPr>
          <w:bCs/>
        </w:rPr>
        <w:t xml:space="preserve">Soweit das Gesetz darauf abstellt, dass die unmittelbare Gefahr für die öffentliche Sicherheit oder Ordnung gerade bei Durchführung der Versammlung drohen muss, wird deutlich gemacht, dass die Gefahr in erster Linie auf einem Verhalten der Versammlungsteilnehmer*innen beruhen muss. Zwischen der Gefährdung der öffentlichen Sicherheit oder Ordnung und der Durchführung der Versammlung muss also ein hinreichend bestimmter Kausalzusammenhang bestehen; die Gefahr muss danach dem Veranstalter/der Veranstaltungsleiterin oder den Teilnehmer*innen normativ zuzurechnen sein. </w:t>
      </w:r>
    </w:p>
    <w:p w14:paraId="11619A73" w14:textId="77777777" w:rsidR="0062057E" w:rsidRPr="0062057E" w:rsidRDefault="0062057E" w:rsidP="0062057E">
      <w:pPr>
        <w:rPr>
          <w:bCs/>
        </w:rPr>
      </w:pPr>
      <w:r w:rsidRPr="0062057E">
        <w:rPr>
          <w:bCs/>
        </w:rPr>
        <w:t>Weitere Voraussetzung für Beschränkungen einer Versammlung oder eines Aufzugs ist das Vorliegen einer unmittelbaren Gefahr. Unmittelbar gefährdet ist die öffentliche Sicherheit oder Ordnung, wenn eine konkrete Sachlage vorliegt, die nach dem gewöhnlichen Verlauf der Dinge den Eintritt eines Schadens mit hoher Wahrscheinlichkeit erwarten lässt und daher bei ungehindertem Geschehensablauf zu einem Schaden für die der Versammlungsfreiheit entgegenstehenden Rechtsgüter führen wird.</w:t>
      </w:r>
    </w:p>
    <w:p w14:paraId="686EE380" w14:textId="6DCDEB87" w:rsidR="0062057E" w:rsidRPr="0062057E" w:rsidRDefault="0062057E" w:rsidP="0062057E">
      <w:pPr>
        <w:rPr>
          <w:bCs/>
        </w:rPr>
      </w:pPr>
      <w:r w:rsidRPr="0062057E">
        <w:rPr>
          <w:bCs/>
        </w:rPr>
        <w:t>Diese Rechtsgüter werden mit den Begriffen der öffentlichen Sicherheit und der öffentlichen Ordnung umschrieben: Die öffentliche Sicherheit umfasst die Unverletzlichkeit der Rechtsordnung, der subjektiven Rechte und Rechtsgüter des Einzelnen sowie des Bestandes, der Einrichtungen und Veranstaltungen des Staates oder sonstiger Träger der Hoheitsgewalt. Die Berufsfreiheit (Art. 12 I GG) der Händler*innen sowie die allgemeine Handlungsfreiheit (Art. 2 I GG) der Marktbesucher*innen werden als subjektive Rechte von der öffentlichen Sicherheit geschützt.</w:t>
      </w:r>
      <w:r w:rsidR="00A566D1">
        <w:rPr>
          <w:bCs/>
        </w:rPr>
        <w:t xml:space="preserve"> </w:t>
      </w:r>
    </w:p>
    <w:p w14:paraId="011A8869" w14:textId="77777777" w:rsidR="0062057E" w:rsidRPr="0062057E" w:rsidRDefault="0062057E" w:rsidP="0062057E">
      <w:pPr>
        <w:rPr>
          <w:bCs/>
        </w:rPr>
      </w:pPr>
      <w:r w:rsidRPr="0062057E">
        <w:rPr>
          <w:bCs/>
        </w:rPr>
        <w:t>Ohne die Verlegung der Versammlung wird der Marktablauf signifikant beeinträchtigt. Diese Einschätzung kann auf tatsächliche Anhaltspunkte gestützt werden. Die genannten Schutzgüter sind folglich unmittelbar gefährdet.</w:t>
      </w:r>
    </w:p>
    <w:p w14:paraId="17D6CFF5" w14:textId="77777777" w:rsidR="0062057E" w:rsidRPr="00635C3A" w:rsidRDefault="0062057E" w:rsidP="0077320D">
      <w:pPr>
        <w:pStyle w:val="berschrift8"/>
      </w:pPr>
      <w:bookmarkStart w:id="562" w:name="_Toc22133348"/>
      <w:r w:rsidRPr="00635C3A">
        <w:t>cc) Störereigenschaft</w:t>
      </w:r>
      <w:bookmarkEnd w:id="562"/>
    </w:p>
    <w:p w14:paraId="10F62C7B" w14:textId="77777777" w:rsidR="0062057E" w:rsidRDefault="0062057E" w:rsidP="0062057E">
      <w:pPr>
        <w:pStyle w:val="Randnummer"/>
        <w:framePr w:wrap="around"/>
      </w:pPr>
    </w:p>
    <w:p w14:paraId="26F4A460" w14:textId="799B48D6" w:rsidR="0062057E" w:rsidRPr="0062057E" w:rsidRDefault="0062057E" w:rsidP="0062057E">
      <w:r w:rsidRPr="0062057E">
        <w:t xml:space="preserve">A als Adressatin der Anordnung müsste zudem als Störerin zu qualifizieren sein. § 15 I SächsVersG setzt voraus, dass die Gefahr von der Versammlung selbst ausgeht. Das steht zwar nicht </w:t>
      </w:r>
      <w:r w:rsidR="0034557A">
        <w:t xml:space="preserve">ausdrücklich </w:t>
      </w:r>
      <w:r w:rsidRPr="0062057E">
        <w:t xml:space="preserve">in der Norm, ergibt sich aber – als ungeschriebenes Tatbestandsmerkmal – aus dem Grundsatz, dass Eingriffsmaßnahmen der Polizei in erster Linie gegen </w:t>
      </w:r>
      <w:r w:rsidR="0034557A">
        <w:t>Personen</w:t>
      </w:r>
      <w:r w:rsidRPr="0062057E">
        <w:t xml:space="preserve"> zu richten sind, </w:t>
      </w:r>
      <w:r w:rsidR="0034557A">
        <w:t>die sie als Störer verursachen</w:t>
      </w:r>
      <w:r w:rsidRPr="0062057E">
        <w:t>. Der Störerbegriff richtet sich deshalb nach dem allgemeinen Polizei- und Ordnungsrecht, wobei A als Verhaltensstörerin i.S.v. § 4 I SächsPolG</w:t>
      </w:r>
      <w:r w:rsidRPr="0062057E">
        <w:rPr>
          <w:bCs/>
          <w:vertAlign w:val="superscript"/>
        </w:rPr>
        <w:footnoteReference w:id="501"/>
      </w:r>
      <w:r w:rsidRPr="0062057E">
        <w:t xml:space="preserve"> in Betracht kommt.</w:t>
      </w:r>
      <w:r w:rsidRPr="0062057E">
        <w:rPr>
          <w:bCs/>
          <w:vertAlign w:val="superscript"/>
        </w:rPr>
        <w:footnoteReference w:id="502"/>
      </w:r>
      <w:r w:rsidRPr="0062057E">
        <w:t xml:space="preserve"> Als Verhaltensstörerin wird in Anspruch genommen, wer eine Gefahr selbst, d.h. durch eigenes Verhalten, verursacht hat. Auf ein Verschulden kommt es nicht an. Dabei wird hinsichtlich der Kausalität auf die unmittelbare Gefahrverursachung abgestellt; Störerin ist danach, wer die Gefahrenschwelle überschreitet. A hat die Demonstration initiiert, zu ihr aufgerufen und veranstaltet sie. A ist als Veranstalterin der Versammlung mithin als Verhaltensstörerin einzustufen.</w:t>
      </w:r>
    </w:p>
    <w:p w14:paraId="0B3B0F65" w14:textId="77777777" w:rsidR="0062057E" w:rsidRPr="00635C3A" w:rsidRDefault="0062057E" w:rsidP="0077320D">
      <w:pPr>
        <w:pStyle w:val="berschrift8"/>
      </w:pPr>
      <w:bookmarkStart w:id="563" w:name="_Toc22133349"/>
      <w:r w:rsidRPr="00635C3A">
        <w:t>dd) Zwischenergebnis</w:t>
      </w:r>
      <w:bookmarkEnd w:id="563"/>
    </w:p>
    <w:p w14:paraId="4F152E58" w14:textId="77777777" w:rsidR="0062057E" w:rsidRDefault="0062057E" w:rsidP="0062057E">
      <w:pPr>
        <w:pStyle w:val="Randnummer"/>
        <w:framePr w:wrap="around"/>
      </w:pPr>
    </w:p>
    <w:p w14:paraId="73CA39A7" w14:textId="77777777" w:rsidR="0062057E" w:rsidRPr="0062057E" w:rsidRDefault="0062057E" w:rsidP="0062057E">
      <w:r w:rsidRPr="0062057E">
        <w:t>Die Tatbestandsvoraussetzungen des § 15 I SächsVersG liegen vor.</w:t>
      </w:r>
    </w:p>
    <w:p w14:paraId="5AD21F58" w14:textId="77777777" w:rsidR="0062057E" w:rsidRPr="00635C3A" w:rsidRDefault="0062057E" w:rsidP="0077320D">
      <w:pPr>
        <w:pStyle w:val="berschrift7"/>
      </w:pPr>
      <w:bookmarkStart w:id="564" w:name="_Toc22133350"/>
      <w:r w:rsidRPr="00635C3A">
        <w:t>b) Rechtsfolge: Ermessen</w:t>
      </w:r>
      <w:bookmarkEnd w:id="564"/>
    </w:p>
    <w:p w14:paraId="7A9FC0A1" w14:textId="77777777" w:rsidR="0062057E" w:rsidRDefault="0062057E" w:rsidP="0062057E">
      <w:pPr>
        <w:pStyle w:val="Randnummer"/>
        <w:framePr w:wrap="around"/>
      </w:pPr>
    </w:p>
    <w:p w14:paraId="4A094756" w14:textId="17427F8C" w:rsidR="0062057E" w:rsidRPr="0062057E" w:rsidRDefault="0062057E" w:rsidP="0062057E">
      <w:r w:rsidRPr="0062057E">
        <w:t>Liegen die tatbestandlichen Voraussetzungen vor, so „kann“ die Behörde die Versammlung von bestimmten Beschränkungen abhängig machen, § 15 I SächsVersG. Ihr steht also ein Ermessen zu.</w:t>
      </w:r>
      <w:r w:rsidRPr="0062057E">
        <w:rPr>
          <w:vertAlign w:val="superscript"/>
        </w:rPr>
        <w:footnoteReference w:id="503"/>
      </w:r>
      <w:r w:rsidRPr="0062057E">
        <w:t xml:space="preserve"> Dabei kann das Verwaltungsgericht nur nach Maßgabe des § 114 </w:t>
      </w:r>
      <w:r w:rsidR="00E91AF0">
        <w:t>1</w:t>
      </w:r>
      <w:r w:rsidRPr="0062057E">
        <w:t xml:space="preserve"> VwGO das Ermessen der Behörde überprüfen (Ermessensüberschreitung, -fehlgebrauch, -nichtgebrauch als Ermessensfehler). Angesichts des Umstands, dass die Stadt L erkennbar die Belange der öffentlichen Sicherheit und diejenigen der A gegeneinander abgewogen hat, kann von einem Ermessensnichtgebrauch, also dem vollständigen Ausfall der Ermessensbetätigung, nicht gesprochen werden.</w:t>
      </w:r>
    </w:p>
    <w:p w14:paraId="61029C4F" w14:textId="77777777" w:rsidR="0062057E" w:rsidRPr="0062057E" w:rsidRDefault="0062057E" w:rsidP="0062057E">
      <w:r w:rsidRPr="0062057E">
        <w:t>Indes könnte ein Fall der Ermessensdisproportionalität vorliegen. Dies wäre dann der Fall, wenn die Stadt L die schutzwürdigen Rechtsgüter zu stark gewichtet hat, ohne hinreichend auf die Interessen der Versammlungsteilnehmer*innen Rücksicht genommen zu haben, m.a.W. wenn die Versammlungsverlegung unverhältnismäßig war.</w:t>
      </w:r>
    </w:p>
    <w:p w14:paraId="3C337C62" w14:textId="531699C1" w:rsidR="0062057E" w:rsidRPr="0062057E" w:rsidRDefault="0034557A" w:rsidP="0062057E">
      <w:r>
        <w:t xml:space="preserve">Im </w:t>
      </w:r>
      <w:r w:rsidR="0062057E" w:rsidRPr="0062057E">
        <w:t>Hinblick auf die finanziellen Interessen der Händler*innen (Art. 12 I GG) und der Marktbesucher*innen (Art. 2 I GG) liegt der Versammlungsverlegung ein legitimer Zweck zugrunde.</w:t>
      </w:r>
    </w:p>
    <w:p w14:paraId="1E3794D8" w14:textId="450E08FC" w:rsidR="0062057E" w:rsidRPr="0062057E" w:rsidRDefault="0062057E" w:rsidP="0062057E">
      <w:r w:rsidRPr="0062057E">
        <w:t xml:space="preserve">Die Versammlungsverlegung erscheint auch nicht schlechterdings ungeeignet, den legitimen Zweck zu </w:t>
      </w:r>
      <w:r w:rsidR="0034557A">
        <w:t>fördern</w:t>
      </w:r>
      <w:r w:rsidRPr="0062057E">
        <w:t>.</w:t>
      </w:r>
    </w:p>
    <w:p w14:paraId="5555E2C2" w14:textId="4783C88F" w:rsidR="0062057E" w:rsidRPr="0062057E" w:rsidRDefault="0062057E" w:rsidP="0062057E">
      <w:r w:rsidRPr="0062057E">
        <w:t xml:space="preserve">Die Verfügung müsste indes erforderlich sein, d.h. es dürfte kein milderes, gleich wirksames Mittel zur Verfügung stehen, um den schutzwürdigen Interessen in gleichem Maße zur Geltung zu verhelfen. Im Hinblick darauf, dass der Markt auch auf dem nahegelegenen Augustusplatz ohne wesentliche Umsatzeinbußen stattfinden kann, bestehen hieran ernstliche Zweifel. Aufgrund der Distanz von lediglich 500m erscheint es auch für die Marktbesucher*innen – wenn überhaupt – als nur geringfügige Unannehmlichkeit, die Marktstände auch an besagtem Freitag auf dem Augustusplatz statt auf dem Marktplatz aufzusuchen. Dem könnte man lediglich entgegnen, dass einige Marktbesucher*innen aufgrund der kurzfristigen Verlegung den Markt möglicherweise nicht direkt auffinden und sodann wieder unverrichteter Dinge nach Hause gehen. Mithin erscheint die Verfügung wohl noch als erforderlich (a.A. </w:t>
      </w:r>
      <w:r w:rsidR="0034557A">
        <w:t>gut</w:t>
      </w:r>
      <w:r w:rsidRPr="0062057E">
        <w:t xml:space="preserve"> vertretbar).</w:t>
      </w:r>
    </w:p>
    <w:p w14:paraId="5AE90078" w14:textId="34A5B804" w:rsidR="0062057E" w:rsidRPr="0062057E" w:rsidRDefault="0062057E" w:rsidP="0062057E">
      <w:r w:rsidRPr="0062057E">
        <w:t xml:space="preserve">Selbst wenn der </w:t>
      </w:r>
      <w:r w:rsidR="006D7E4D">
        <w:t>Verwaltungsakt</w:t>
      </w:r>
      <w:r w:rsidRPr="0062057E">
        <w:t xml:space="preserve"> als erforderlich zur Wahrung der geschützten Interessen angesehen wird, so müsste er dennoch angemessen sein, d.h. die Versammlungsverlegung dürfte nicht außer Verhältnis zu dem verfolgten Zweck stehen. Die Versammlungsfreiheit des Art. 8 I GG schützt die Freiheit zur kollektiven Meinungskundgabe. Sie ist damit ebenso wichtig wie die Meinungsfreiheit des Art. 5 I GG, welche zu den unentbehrlichen und grundlegenden Funktionselementen eines demokratischen Gemeinwesens und zu den vornehmsten Menschenrechten überhaupt gehört. Die Versammlungsfreiheit des Art. 8 I GG schützt auch die Auswahl des Veranstaltungsortes. A hat sich für den Marktplatz als Veranstaltungsort für die Demonstration entschieden und begründet dies zudem damit, dass sie dort mit einer höheren Resonanz rechne. Auch handelt es sich um ein Thema, welches kontrovers und in weiten Teilen Bevölkerung diskutiert wird. Demgegenüber werden die Interessen der Händler*innen aus Art. 12 I GG und der Marktteilnehmer*innen Art. 2 I GG – wenn überhaupt – nur geringfügig beeinträchtigt. Mithin steht die Versammlungsverlegung offensichtlich außer Verhältnis zu dem verfolgten Zweck und erweist sich damit als unangemessen und folglich als unverhältnismäßig. Somit liegt ein Fall der Ermessensdisproportionalität vor. </w:t>
      </w:r>
    </w:p>
    <w:p w14:paraId="726F0BFF" w14:textId="77777777" w:rsidR="0062057E" w:rsidRPr="00635C3A" w:rsidRDefault="0062057E" w:rsidP="0077320D">
      <w:pPr>
        <w:pStyle w:val="berschrift7"/>
      </w:pPr>
      <w:bookmarkStart w:id="565" w:name="_Toc22133351"/>
      <w:r w:rsidRPr="00635C3A">
        <w:t>c) Zwischenergebnis</w:t>
      </w:r>
      <w:bookmarkEnd w:id="565"/>
    </w:p>
    <w:p w14:paraId="5DADD872" w14:textId="77777777" w:rsidR="0062057E" w:rsidRDefault="0062057E" w:rsidP="0062057E">
      <w:pPr>
        <w:pStyle w:val="Randnummer"/>
        <w:framePr w:wrap="around"/>
      </w:pPr>
    </w:p>
    <w:p w14:paraId="292C335E" w14:textId="086F6604" w:rsidR="0062057E" w:rsidRPr="0062057E" w:rsidRDefault="0062057E" w:rsidP="0062057E">
      <w:r w:rsidRPr="0062057E">
        <w:t xml:space="preserve">Der </w:t>
      </w:r>
      <w:r w:rsidR="006D7E4D">
        <w:t>Verwaltungsakt</w:t>
      </w:r>
      <w:r w:rsidRPr="0062057E">
        <w:t xml:space="preserve"> erweist sich in materieller Hinsicht als offensichtlich rechtswidrig. </w:t>
      </w:r>
      <w:r w:rsidR="0034557A">
        <w:t>Im</w:t>
      </w:r>
      <w:r w:rsidRPr="0062057E">
        <w:t xml:space="preserve"> Hinblick auf ein etwaiges Hauptsacheverfahren der A bestehen Erfolgsaussichten.</w:t>
      </w:r>
    </w:p>
    <w:p w14:paraId="74A5A707" w14:textId="7B76FECD" w:rsidR="0062057E" w:rsidRPr="00635C3A" w:rsidRDefault="0062057E" w:rsidP="0077320D">
      <w:pPr>
        <w:pStyle w:val="berschrift5"/>
      </w:pPr>
      <w:bookmarkStart w:id="566" w:name="_Toc22133352"/>
      <w:r w:rsidRPr="00635C3A">
        <w:t>IV. Interesse der Öffentlichkeit an der sofortigen Vollziehung</w:t>
      </w:r>
      <w:bookmarkEnd w:id="566"/>
    </w:p>
    <w:p w14:paraId="71558645" w14:textId="77777777" w:rsidR="0062057E" w:rsidRDefault="0062057E" w:rsidP="0062057E">
      <w:pPr>
        <w:pStyle w:val="Randnummer"/>
        <w:framePr w:wrap="around"/>
      </w:pPr>
    </w:p>
    <w:p w14:paraId="1205BDE4" w14:textId="3D1758C6" w:rsidR="0062057E" w:rsidRDefault="0062057E" w:rsidP="0062057E">
      <w:r w:rsidRPr="0062057E">
        <w:t xml:space="preserve">Es kann kein öffentliches Interesse an der sofortigen Vollziehung eines offensichtlich rechtswidrigen </w:t>
      </w:r>
      <w:r w:rsidR="006D7E4D">
        <w:t>Verwaltungsakt</w:t>
      </w:r>
      <w:r w:rsidRPr="0062057E">
        <w:t>s bestehen. Folglich überwiegt das Suspensivinteresse der A gegenüber dem</w:t>
      </w:r>
      <w:r w:rsidR="00507DFA">
        <w:t xml:space="preserve"> öffentlichen</w:t>
      </w:r>
      <w:r w:rsidRPr="0062057E">
        <w:t xml:space="preserve"> Vollziehungsinteresse der Stadt L.</w:t>
      </w:r>
    </w:p>
    <w:p w14:paraId="5A0B9FBE" w14:textId="77777777" w:rsidR="0062057E" w:rsidRPr="00635C3A" w:rsidRDefault="0062057E" w:rsidP="0077320D">
      <w:pPr>
        <w:pStyle w:val="berschrift4"/>
      </w:pPr>
      <w:bookmarkStart w:id="567" w:name="_Toc22133353"/>
      <w:r w:rsidRPr="00635C3A">
        <w:t>C. Ergebnis</w:t>
      </w:r>
      <w:bookmarkEnd w:id="567"/>
    </w:p>
    <w:p w14:paraId="790D04BE" w14:textId="77777777" w:rsidR="0062057E" w:rsidRDefault="0062057E" w:rsidP="0062057E">
      <w:pPr>
        <w:pStyle w:val="Randnummer"/>
        <w:framePr w:wrap="around"/>
      </w:pPr>
    </w:p>
    <w:p w14:paraId="0AFC24DA" w14:textId="77777777" w:rsidR="0062057E" w:rsidRPr="0062057E" w:rsidRDefault="0062057E" w:rsidP="0062057E">
      <w:r w:rsidRPr="0062057E">
        <w:t>Der zulässige Antrag ist auch begründet und hat folglich Aussicht auf Erfolg.</w:t>
      </w:r>
    </w:p>
    <w:p w14:paraId="061E828F" w14:textId="77777777" w:rsidR="0062057E" w:rsidRPr="0062057E" w:rsidRDefault="0062057E" w:rsidP="0062057E">
      <w:pPr>
        <w:rPr>
          <w:bCs/>
        </w:rPr>
      </w:pPr>
    </w:p>
    <w:p w14:paraId="5B0942BD" w14:textId="13D03355" w:rsidR="0062057E" w:rsidRPr="0001383E" w:rsidRDefault="0062057E" w:rsidP="0001383E">
      <w:pPr>
        <w:pStyle w:val="berschrift3"/>
      </w:pPr>
      <w:bookmarkStart w:id="568" w:name="_Toc22133354"/>
      <w:r w:rsidRPr="001F5973">
        <w:t>Lösung</w:t>
      </w:r>
      <w:r w:rsidR="0001383E">
        <w:t>svorschlag</w:t>
      </w:r>
      <w:r w:rsidRPr="001F5973">
        <w:t xml:space="preserve"> Abwandlung</w:t>
      </w:r>
      <w:bookmarkEnd w:id="568"/>
    </w:p>
    <w:p w14:paraId="0D5243F3" w14:textId="1F19FD67" w:rsidR="0062057E" w:rsidRPr="001F5973" w:rsidRDefault="0062057E" w:rsidP="0077320D">
      <w:pPr>
        <w:pStyle w:val="berschrift4"/>
      </w:pPr>
      <w:bookmarkStart w:id="569" w:name="_Toc22133355"/>
      <w:r w:rsidRPr="001F5973">
        <w:t>A. Zulässigkeit des Antrags</w:t>
      </w:r>
      <w:bookmarkEnd w:id="569"/>
    </w:p>
    <w:p w14:paraId="431B26DE" w14:textId="5CBB1DF6" w:rsidR="0062057E" w:rsidRDefault="004A27CF" w:rsidP="0062057E">
      <w:pPr>
        <w:rPr>
          <w:iCs/>
        </w:rPr>
      </w:pPr>
      <w:r>
        <w:rPr>
          <w:iCs/>
        </w:rPr>
        <w:t>S.</w:t>
      </w:r>
      <w:r w:rsidR="0062057E" w:rsidRPr="0062057E">
        <w:rPr>
          <w:iCs/>
        </w:rPr>
        <w:t xml:space="preserve"> zur Zulässigkeit bereits ausführlich </w:t>
      </w:r>
      <w:r w:rsidR="0034557A">
        <w:rPr>
          <w:iCs/>
        </w:rPr>
        <w:t>die Lösung des</w:t>
      </w:r>
      <w:r w:rsidR="0062057E">
        <w:rPr>
          <w:iCs/>
        </w:rPr>
        <w:t xml:space="preserve"> Ausgangsfall</w:t>
      </w:r>
      <w:r w:rsidR="0034557A">
        <w:rPr>
          <w:iCs/>
        </w:rPr>
        <w:t>s</w:t>
      </w:r>
      <w:r w:rsidR="0062057E">
        <w:rPr>
          <w:iCs/>
        </w:rPr>
        <w:t>,</w:t>
      </w:r>
      <w:r w:rsidR="0034557A">
        <w:rPr>
          <w:iCs/>
        </w:rPr>
        <w:t xml:space="preserve"> Rn.</w:t>
      </w:r>
      <w:r w:rsidR="00507DFA">
        <w:rPr>
          <w:iCs/>
        </w:rPr>
        <w:t>5</w:t>
      </w:r>
      <w:r w:rsidR="0034557A">
        <w:rPr>
          <w:iCs/>
        </w:rPr>
        <w:t> ff.</w:t>
      </w:r>
    </w:p>
    <w:p w14:paraId="3FED1DA9" w14:textId="77777777" w:rsidR="0077320D" w:rsidRPr="0062057E" w:rsidRDefault="0077320D" w:rsidP="0062057E">
      <w:pPr>
        <w:rPr>
          <w:iCs/>
        </w:rPr>
      </w:pPr>
    </w:p>
    <w:p w14:paraId="28057B59" w14:textId="77777777" w:rsidR="0062057E" w:rsidRPr="001F5973" w:rsidRDefault="0062057E" w:rsidP="0077320D">
      <w:pPr>
        <w:pStyle w:val="berschrift4"/>
      </w:pPr>
      <w:bookmarkStart w:id="570" w:name="_Toc22133356"/>
      <w:r w:rsidRPr="001F5973">
        <w:t>B. Begründetheit des Antrags</w:t>
      </w:r>
      <w:bookmarkEnd w:id="570"/>
    </w:p>
    <w:p w14:paraId="037BDAA6" w14:textId="77777777" w:rsidR="0062057E" w:rsidRDefault="0062057E" w:rsidP="0062057E">
      <w:pPr>
        <w:pStyle w:val="Randnummer"/>
        <w:framePr w:wrap="around"/>
      </w:pPr>
    </w:p>
    <w:p w14:paraId="7559D667" w14:textId="77777777" w:rsidR="0062057E" w:rsidRPr="0062057E" w:rsidRDefault="0062057E" w:rsidP="0062057E">
      <w:pPr>
        <w:rPr>
          <w:iCs/>
        </w:rPr>
      </w:pPr>
      <w:r w:rsidRPr="0062057E">
        <w:t xml:space="preserve">Der Antrag müsste begründet sein. </w:t>
      </w:r>
      <w:r w:rsidRPr="0062057E">
        <w:rPr>
          <w:iCs/>
        </w:rPr>
        <w:t>Der Antrag nach § 80 V 1 Alt. 2 VwGO ist begründet, wenn die Anordnung der sofortigen Vollziehung (formell) fehlerhaft war oder wenn das Interesse der A an der Aussetzung der Vollziehung (Suspensivinteresse) das Interesse der Allgemeinheit an der sofortigen Vollziehung (Vollziehungsinteresse) überwiegt.</w:t>
      </w:r>
      <w:r w:rsidRPr="0062057E">
        <w:rPr>
          <w:iCs/>
          <w:vertAlign w:val="superscript"/>
        </w:rPr>
        <w:t xml:space="preserve"> </w:t>
      </w:r>
      <w:r w:rsidRPr="0062057E">
        <w:rPr>
          <w:iCs/>
        </w:rPr>
        <w:t>Maßgeblich hierfür ist insbesondere, ob nach summarischer Prüfung der Rechtsbehelf in der Hauptsache Aussicht auf Erfolg hätte. Zudem muss der Antrag gegen den richtigen Antragsgegner gerichtet sein.</w:t>
      </w:r>
    </w:p>
    <w:p w14:paraId="4ACDDD4A" w14:textId="0606D8C4" w:rsidR="0062057E" w:rsidRPr="001F5973" w:rsidRDefault="001F5973" w:rsidP="0077320D">
      <w:pPr>
        <w:pStyle w:val="berschrift5"/>
      </w:pPr>
      <w:bookmarkStart w:id="571" w:name="_Toc22133357"/>
      <w:r w:rsidRPr="001F5973">
        <w:t>I</w:t>
      </w:r>
      <w:r w:rsidR="0062057E" w:rsidRPr="001F5973">
        <w:t>. Passivlegitimation</w:t>
      </w:r>
      <w:bookmarkEnd w:id="571"/>
    </w:p>
    <w:p w14:paraId="56AF2F9B" w14:textId="77777777" w:rsidR="0062057E" w:rsidRPr="0062057E" w:rsidRDefault="0062057E" w:rsidP="0062057E">
      <w:r w:rsidRPr="0062057E">
        <w:t>Die Stadt L als Rechtsträgerin der handelnden Behörde ist passivlegitimiert (Rechtsträgerprinzip).</w:t>
      </w:r>
    </w:p>
    <w:p w14:paraId="49EB9CE3" w14:textId="29A81EBD" w:rsidR="0062057E" w:rsidRPr="001F5973" w:rsidRDefault="001F5973" w:rsidP="0077320D">
      <w:pPr>
        <w:pStyle w:val="berschrift5"/>
      </w:pPr>
      <w:bookmarkStart w:id="572" w:name="_Toc22133358"/>
      <w:r w:rsidRPr="001F5973">
        <w:t>II</w:t>
      </w:r>
      <w:r w:rsidR="0062057E" w:rsidRPr="001F5973">
        <w:t>. Formelle Rechtmäßigkeit der Anordnung der sofortigen Vollziehung</w:t>
      </w:r>
      <w:bookmarkEnd w:id="572"/>
    </w:p>
    <w:p w14:paraId="417FBBE4" w14:textId="77777777" w:rsidR="0062057E" w:rsidRDefault="0062057E" w:rsidP="0062057E">
      <w:pPr>
        <w:pStyle w:val="Randnummer"/>
        <w:framePr w:wrap="around"/>
      </w:pPr>
    </w:p>
    <w:p w14:paraId="6EEE98D6" w14:textId="77777777" w:rsidR="0062057E" w:rsidRPr="0062057E" w:rsidRDefault="0062057E" w:rsidP="0062057E">
      <w:r w:rsidRPr="0062057E">
        <w:t>Die Anordnung der sofortigen Vollziehung durch die Stadt L müsste formell rechtmäßig erfolgt sein.</w:t>
      </w:r>
    </w:p>
    <w:p w14:paraId="52C8F8E7" w14:textId="447C8900" w:rsidR="0062057E" w:rsidRPr="001F5973" w:rsidRDefault="001F5973" w:rsidP="0077320D">
      <w:pPr>
        <w:pStyle w:val="berschrift6"/>
      </w:pPr>
      <w:bookmarkStart w:id="573" w:name="_Toc22133359"/>
      <w:r w:rsidRPr="001F5973">
        <w:t>1.</w:t>
      </w:r>
      <w:r w:rsidR="0062057E" w:rsidRPr="001F5973">
        <w:t xml:space="preserve"> Zuständigkeit</w:t>
      </w:r>
      <w:bookmarkEnd w:id="573"/>
    </w:p>
    <w:p w14:paraId="5C57EC66" w14:textId="77777777" w:rsidR="0062057E" w:rsidRDefault="0062057E" w:rsidP="0062057E">
      <w:pPr>
        <w:pStyle w:val="Randnummer"/>
        <w:framePr w:wrap="around"/>
      </w:pPr>
    </w:p>
    <w:p w14:paraId="0301A677" w14:textId="77777777" w:rsidR="0062057E" w:rsidRPr="0062057E" w:rsidRDefault="0062057E" w:rsidP="0062057E">
      <w:r w:rsidRPr="0062057E">
        <w:t>Als für die Versammlungsverlegung zuständige Behörde war die Stadt L gem. § 80 IV 1 VwGO auch für die Anordnung der sofortigen Vollziehung zuständig.</w:t>
      </w:r>
    </w:p>
    <w:p w14:paraId="6A45FB11" w14:textId="6690CDD5" w:rsidR="0062057E" w:rsidRPr="001F5973" w:rsidRDefault="001F5973" w:rsidP="0077320D">
      <w:pPr>
        <w:pStyle w:val="berschrift6"/>
      </w:pPr>
      <w:bookmarkStart w:id="574" w:name="_Toc22133360"/>
      <w:r w:rsidRPr="001F5973">
        <w:t>2.</w:t>
      </w:r>
      <w:r w:rsidR="0062057E" w:rsidRPr="001F5973">
        <w:t xml:space="preserve"> Verfahren</w:t>
      </w:r>
      <w:bookmarkEnd w:id="574"/>
    </w:p>
    <w:p w14:paraId="3414E557" w14:textId="77777777" w:rsidR="0062057E" w:rsidRDefault="0062057E" w:rsidP="0062057E">
      <w:pPr>
        <w:pStyle w:val="Randnummer"/>
        <w:framePr w:wrap="around"/>
      </w:pPr>
    </w:p>
    <w:p w14:paraId="19BD9EE8" w14:textId="09D89673" w:rsidR="0062057E" w:rsidRPr="0062057E" w:rsidRDefault="0062057E" w:rsidP="0062057E">
      <w:r w:rsidRPr="0062057E">
        <w:t xml:space="preserve">Fraglich ist, ob die Stadt L die A vor Anordnung der sofortigen Vollziehung hätte anhören müssen. Gem. § 28 I VwVfG ist vor dem Erlass eines belastenden </w:t>
      </w:r>
      <w:r w:rsidR="006D7E4D">
        <w:t>Verwaltungsakt</w:t>
      </w:r>
      <w:r w:rsidRPr="0062057E">
        <w:t>s dem Betroffenen Gelegenheit zu geben, sich zu den für die Entscheidung erheblichen Tatsachen zu äußern. Die Anordnung der sofortigen Vollziehung erfolgt als Bestandteil des Haupt-</w:t>
      </w:r>
      <w:r w:rsidR="006D7E4D">
        <w:t>Verwaltungsakt</w:t>
      </w:r>
      <w:r w:rsidRPr="0062057E">
        <w:t>s (Nebenentscheidung) bzw. als unselbstständiger Annex zu diesem – sie setzt den Haupt-</w:t>
      </w:r>
      <w:r w:rsidR="006D7E4D">
        <w:t>Verwaltungsakt</w:t>
      </w:r>
      <w:r w:rsidRPr="0062057E">
        <w:t xml:space="preserve"> damit voraus und regelt mit der Vollziehung nur die Modalität, ohne einen neuen Regelungsinhalt zu begründen. § 28 I VwVfG ist folglich nicht unmittelbar anwendbar.</w:t>
      </w:r>
    </w:p>
    <w:p w14:paraId="1A85FB0E" w14:textId="632DD4CF" w:rsidR="0062057E" w:rsidRPr="0062057E" w:rsidRDefault="0062057E" w:rsidP="0062057E">
      <w:r w:rsidRPr="0062057E">
        <w:t xml:space="preserve">Zwar könnte eine analoge Anwendung des § 28 VwVfG in Betracht gezogen werden, dies setzt jedoch eine planwidrige Regelungslücke sowie eine vergleichbare Interessenlage voraus. Für das Vorliegen einer vergleichbaren Interessenlage könnte sprechen, dass der Verlust des Suspensiveffekts für den Bürger ähnlich einschneidend wie eine eigenständige belastende Regelung wirkt. Gleichwohl unterliegt ein gerichtliches Vorgehen gegen die Anordnung der sofortigen Vollziehung keinen Fristen, weshalb diese folglich auch nicht in Bestandskraft erwachsen </w:t>
      </w:r>
      <w:r w:rsidR="00507DFA">
        <w:t>kann</w:t>
      </w:r>
      <w:r w:rsidRPr="0062057E">
        <w:t xml:space="preserve">. Viel spricht deshalb dafür, dass keine vergleichbare Interessenlage besteht. Zumindest ist § 80 III VwGO </w:t>
      </w:r>
      <w:r w:rsidR="00507DFA">
        <w:t>im</w:t>
      </w:r>
      <w:r w:rsidRPr="0062057E">
        <w:t xml:space="preserve"> Hinblick auf die formellen Erfordernisse der Anordnung einer sofortigen Vollziehung abschließend, sodass keine Regelungslücke besteht. Mithin ist § 28 VwVfG auch nicht analog anwendbar. </w:t>
      </w:r>
      <w:r w:rsidR="0034557A">
        <w:t>Somit</w:t>
      </w:r>
      <w:r w:rsidRPr="0062057E">
        <w:t xml:space="preserve"> musste die Stadt L die A nicht vor Erlass der Anordnung der sofortigen Vollziehung anhören.</w:t>
      </w:r>
    </w:p>
    <w:p w14:paraId="28F19F72" w14:textId="33183D97" w:rsidR="0062057E" w:rsidRPr="001F5973" w:rsidRDefault="001F5973" w:rsidP="0077320D">
      <w:pPr>
        <w:pStyle w:val="berschrift6"/>
      </w:pPr>
      <w:bookmarkStart w:id="575" w:name="_Toc22133361"/>
      <w:r w:rsidRPr="001F5973">
        <w:t>3.</w:t>
      </w:r>
      <w:r w:rsidR="0062057E" w:rsidRPr="001F5973">
        <w:t xml:space="preserve"> Form</w:t>
      </w:r>
      <w:bookmarkEnd w:id="575"/>
    </w:p>
    <w:p w14:paraId="20AEFDBE" w14:textId="77777777" w:rsidR="0062057E" w:rsidRDefault="0062057E" w:rsidP="0062057E">
      <w:pPr>
        <w:pStyle w:val="Randnummer"/>
        <w:framePr w:wrap="around"/>
      </w:pPr>
    </w:p>
    <w:p w14:paraId="587E9FAB" w14:textId="74FC6899" w:rsidR="0062057E" w:rsidRPr="0062057E" w:rsidRDefault="0062057E" w:rsidP="0062057E">
      <w:r w:rsidRPr="0062057E">
        <w:t xml:space="preserve">Die Form müsste gewahrt sein. Gem. § 80 III 1 VwGO ist in den Fällen des § 80 II Nr. 4 VwGO das besondere Interesse an der sofortigen Vollziehung des </w:t>
      </w:r>
      <w:r w:rsidR="006D7E4D">
        <w:t>Verwaltungsakt</w:t>
      </w:r>
      <w:r w:rsidRPr="0062057E">
        <w:t>s schriftlich zu begründen. Die schriftliche Begründung muss erkennen lassen, wieso sich die Behörde zur Anordnung der sofortigen Vollziehung veranlasst gesehen hat. Die Formvorschrift dient dazu, der Behörde vor Augen zu führen, dass sie dem Bürger den Suspensiveffekt als gesetzlichen Regelfall (§ 80 I 1 VwGO) entzieht (Warnfunktion). Eine bloß formelhafte Formulierung sowie die Wiederholung des Gesetzestextes sind insoweit ungenügend. Vorliegend hat die Stadt L lediglich den Gesetzeswortlaut wiederholt. Damit hat sie der Formvorschrift des § 80 III 1 VwGO nicht genüge getan.</w:t>
      </w:r>
    </w:p>
    <w:p w14:paraId="4A30EA06" w14:textId="77777777" w:rsidR="0062057E" w:rsidRPr="0062057E" w:rsidRDefault="0062057E" w:rsidP="0062057E">
      <w:r w:rsidRPr="0062057E">
        <w:t>Fraglich ist, ob der formelle Begründungsmangel noch analog § 45 I Nr. 2 VwVfG geheilt werden könnte. Dafür lassen sich vor allem Gründe der Prozessökonomie anführen. Denn die Behörde kann die Anordnung der Vollziehung – auch ohne Anerkennung der Heilungsmöglichkeit – schlicht erneut mit einer vollständigen Begründung erlassen. Dagegen lässt sich anführen, dass der Schutzzweck des § 80 III 1 VwGO vor allem darin liegt, der an Recht und Gesetz gebundenen Behörde vor Augen zu führen, dass sie dem Bürger den durch § 80 I 1 VwGO gewährten und als gesetzlichen Regelfall ausgestalteten Suspensiveffekt des Rechtsbehelfs nimmt (Warnfunktion). Der Neuerlass ist zwar jederzeit möglich, gleichwohl ist § 80 III 1 VwGO hinsichtlich des Begründungserfordernisses abschließend, es fehlt folglich an der planwidrigen Regelungslücke. Viel spricht deshalb dafür, dass ein schlichtes Nachholen der Begründung mit heilender Wirkung nicht möglich ist.</w:t>
      </w:r>
      <w:r w:rsidRPr="0062057E">
        <w:rPr>
          <w:vertAlign w:val="superscript"/>
        </w:rPr>
        <w:footnoteReference w:id="504"/>
      </w:r>
    </w:p>
    <w:p w14:paraId="6E4B5940" w14:textId="7CC51329" w:rsidR="0062057E" w:rsidRPr="001F5973" w:rsidRDefault="001F5973" w:rsidP="0077320D">
      <w:pPr>
        <w:pStyle w:val="berschrift6"/>
      </w:pPr>
      <w:bookmarkStart w:id="576" w:name="_Toc22133362"/>
      <w:r w:rsidRPr="001F5973">
        <w:t>4.</w:t>
      </w:r>
      <w:r w:rsidR="0062057E" w:rsidRPr="001F5973">
        <w:t xml:space="preserve"> Zwischenergebnis</w:t>
      </w:r>
      <w:bookmarkEnd w:id="576"/>
    </w:p>
    <w:p w14:paraId="74493245" w14:textId="77777777" w:rsidR="0062057E" w:rsidRDefault="0062057E" w:rsidP="0062057E">
      <w:pPr>
        <w:pStyle w:val="Randnummer"/>
        <w:framePr w:wrap="around"/>
      </w:pPr>
    </w:p>
    <w:p w14:paraId="5BABE662" w14:textId="1575E7B3" w:rsidR="0062057E" w:rsidRPr="0062057E" w:rsidRDefault="0062057E" w:rsidP="0062057E">
      <w:r w:rsidRPr="0062057E">
        <w:t xml:space="preserve">Die Anordnung der sofortigen Vollziehung erfolgte formell rechtswidrig. Zwar wird teilweise sogar von der Nichtigkeit der Anordnung der sofortigen Vollziehung ausgegangen. Mangels </w:t>
      </w:r>
      <w:r w:rsidR="006D7E4D">
        <w:t>Verwaltungsakt</w:t>
      </w:r>
      <w:r w:rsidRPr="0062057E">
        <w:t>-Qualität der Anordnung der sofortigen Vollziehung entfaltet sie jedoch in beiden Fällen keine Rechtswirkung, weshalb es auch keiner behördlichen oder gerichtlichen Aufhebung bedarf. Der Antrag ist bereits deshalb begründet und hat Aussicht auf Erfolg. Jedoch muss der Antragsteller jederzeit mit einer erneuten, formell ordnungsgemäß begründeten Anordnung der sofortigen Vollziehung rechnen.</w:t>
      </w:r>
    </w:p>
    <w:p w14:paraId="07AD168E" w14:textId="4B0C34A1" w:rsidR="0062057E" w:rsidRPr="0062057E" w:rsidRDefault="008C1818" w:rsidP="0062057E">
      <w:pPr>
        <w:rPr>
          <w:i/>
        </w:rPr>
      </w:pPr>
      <w:r>
        <w:rPr>
          <w:i/>
        </w:rPr>
        <w:t>Lösungsh</w:t>
      </w:r>
      <w:r w:rsidR="0062057E" w:rsidRPr="0062057E">
        <w:rPr>
          <w:i/>
        </w:rPr>
        <w:t>inweis: Deshalb sollte die Prüfung der Begründetheit des Antrags also an diesem Punkt nicht beendet werden, sondern – ggf. im Hilfsgutachten – fortgeführt werden.</w:t>
      </w:r>
    </w:p>
    <w:p w14:paraId="71C56820" w14:textId="44A8CFAC" w:rsidR="0062057E" w:rsidRPr="004312B1" w:rsidRDefault="001F5973" w:rsidP="0077320D">
      <w:pPr>
        <w:pStyle w:val="berschrift5"/>
      </w:pPr>
      <w:bookmarkStart w:id="577" w:name="_Toc22133363"/>
      <w:r w:rsidRPr="004312B1">
        <w:t xml:space="preserve">III. </w:t>
      </w:r>
      <w:r w:rsidR="004312B1" w:rsidRPr="004312B1">
        <w:t>Abwägung des Suspensivinteresses der Antragstellerin mit dem öffentlichen Vollziehungsinteresse</w:t>
      </w:r>
      <w:bookmarkEnd w:id="577"/>
    </w:p>
    <w:p w14:paraId="371A6F83" w14:textId="77777777" w:rsidR="0062057E" w:rsidRDefault="0062057E" w:rsidP="0062057E">
      <w:pPr>
        <w:pStyle w:val="Randnummer"/>
        <w:framePr w:wrap="around"/>
      </w:pPr>
    </w:p>
    <w:p w14:paraId="740F2811" w14:textId="07B6A666" w:rsidR="0062057E" w:rsidRPr="0062057E" w:rsidRDefault="004A27CF" w:rsidP="0062057E">
      <w:r>
        <w:t>S.</w:t>
      </w:r>
      <w:r w:rsidR="0062057E">
        <w:t xml:space="preserve"> zur Abwägung bereits ausführlich die Lösung des Ausgangsfalls, Rn.</w:t>
      </w:r>
      <w:r w:rsidR="0034557A">
        <w:t> </w:t>
      </w:r>
      <w:r w:rsidR="00507DFA">
        <w:t>19</w:t>
      </w:r>
      <w:r w:rsidR="0034557A">
        <w:t> ff</w:t>
      </w:r>
      <w:r w:rsidR="0062057E">
        <w:t>.</w:t>
      </w:r>
      <w:bookmarkEnd w:id="533"/>
      <w:bookmarkEnd w:id="535"/>
    </w:p>
    <w:p w14:paraId="40C50DAC" w14:textId="77777777" w:rsidR="0062057E" w:rsidRDefault="0062057E" w:rsidP="00A0667A"/>
    <w:p w14:paraId="469DE368" w14:textId="77777777" w:rsidR="007E71EB" w:rsidRDefault="007E71EB">
      <w:pPr>
        <w:jc w:val="left"/>
        <w:sectPr w:rsidR="007E71EB" w:rsidSect="000C4535">
          <w:footnotePr>
            <w:numRestart w:val="eachSect"/>
          </w:footnotePr>
          <w:pgSz w:w="9639" w:h="13608"/>
          <w:pgMar w:top="1418" w:right="1134" w:bottom="1134" w:left="1134" w:header="709" w:footer="709" w:gutter="0"/>
          <w:cols w:space="708"/>
          <w:docGrid w:linePitch="360"/>
        </w:sectPr>
      </w:pPr>
    </w:p>
    <w:p w14:paraId="5335B645" w14:textId="25D7D3FA" w:rsidR="002722D1" w:rsidRDefault="008779DD" w:rsidP="002722D1">
      <w:pPr>
        <w:pStyle w:val="berschrift1"/>
      </w:pPr>
      <w:bookmarkStart w:id="578" w:name="_Toc10464365"/>
      <w:bookmarkStart w:id="579" w:name="_Toc22132793"/>
      <w:r>
        <w:t xml:space="preserve">§ </w:t>
      </w:r>
      <w:r w:rsidR="00601E96">
        <w:t xml:space="preserve">9 </w:t>
      </w:r>
      <w:r>
        <w:t>Übungsfall zum</w:t>
      </w:r>
      <w:r w:rsidR="00A0667A">
        <w:t xml:space="preserve"> Antrag nach § 123 VwGO</w:t>
      </w:r>
      <w:bookmarkEnd w:id="578"/>
      <w:bookmarkEnd w:id="579"/>
    </w:p>
    <w:p w14:paraId="2ECC6061" w14:textId="2579F1AA" w:rsidR="001B1D71" w:rsidRDefault="001B1D71" w:rsidP="001B1D71">
      <w:pPr>
        <w:pStyle w:val="berschrift2"/>
      </w:pPr>
      <w:bookmarkStart w:id="580" w:name="_Toc22132794"/>
      <w:r>
        <w:t>Die Struktur des Antrags nach § 123 VwGO (Nikolas Eisentraut)</w:t>
      </w:r>
      <w:bookmarkEnd w:id="580"/>
    </w:p>
    <w:p w14:paraId="5A19A91F" w14:textId="5238D3B5" w:rsidR="001B1D71" w:rsidRDefault="001B1D71" w:rsidP="001B1D71">
      <w:pPr>
        <w:pStyle w:val="Autorin"/>
      </w:pPr>
      <w:r>
        <w:t>Nikolas Eisentraut</w:t>
      </w:r>
    </w:p>
    <w:p w14:paraId="61A1D3BF" w14:textId="77777777" w:rsidR="001B1D71" w:rsidRDefault="001B1D71" w:rsidP="001B1D71">
      <w:r>
        <w:t>Der gutachterlichen Prüfung des Antrags nach § 123 VwGO</w:t>
      </w:r>
      <w:r>
        <w:fldChar w:fldCharType="begin"/>
      </w:r>
      <w:r>
        <w:instrText xml:space="preserve"> XE "</w:instrText>
      </w:r>
      <w:r w:rsidRPr="00092A2C">
        <w:instrText>Antrag nach § 123 Vw</w:instrText>
      </w:r>
      <w:r>
        <w:instrText>G</w:instrText>
      </w:r>
      <w:r w:rsidRPr="00092A2C">
        <w:instrText>O</w:instrText>
      </w:r>
      <w:r>
        <w:instrText xml:space="preserve">" </w:instrText>
      </w:r>
      <w:r>
        <w:fldChar w:fldCharType="end"/>
      </w:r>
      <w:r>
        <w:t xml:space="preserve"> liegt die folgende Struktur zugrunde</w:t>
      </w:r>
      <w:r>
        <w:fldChar w:fldCharType="begin"/>
      </w:r>
      <w:r>
        <w:instrText xml:space="preserve"> XE "</w:instrText>
      </w:r>
      <w:r w:rsidRPr="00030079">
        <w:instrText>Einstweiliger Rechtsschutz:Antrag nach § 123 VwGO</w:instrText>
      </w:r>
      <w:r>
        <w:instrText xml:space="preserve">" </w:instrText>
      </w:r>
      <w:r>
        <w:fldChar w:fldCharType="end"/>
      </w:r>
      <w:r>
        <w:t>:</w:t>
      </w:r>
    </w:p>
    <w:p w14:paraId="18453DC0" w14:textId="77777777" w:rsidR="001B1D71" w:rsidRDefault="001B1D71" w:rsidP="001B1D71">
      <w:r>
        <w:t>A. Zulässigkeit</w:t>
      </w:r>
      <w:r>
        <w:fldChar w:fldCharType="begin"/>
      </w:r>
      <w:r>
        <w:instrText xml:space="preserve"> XE "</w:instrText>
      </w:r>
      <w:r w:rsidRPr="00B2090E">
        <w:instrText>Antrag nach § 123 VwGO:Zulässigkeitsprüfung</w:instrText>
      </w:r>
      <w:r>
        <w:instrText xml:space="preserve">" </w:instrText>
      </w:r>
      <w:r>
        <w:fldChar w:fldCharType="end"/>
      </w:r>
    </w:p>
    <w:p w14:paraId="6C02742B" w14:textId="253D795F" w:rsidR="001B1D71" w:rsidRPr="00D16DAC" w:rsidRDefault="001B1D71" w:rsidP="001B1D71">
      <w:pPr>
        <w:ind w:firstLine="708"/>
      </w:pPr>
      <w:r w:rsidRPr="00D16DAC">
        <w:t>I. Eröffnung des Verwaltungsrechtswegs</w:t>
      </w:r>
      <w:r>
        <w:t xml:space="preserve"> (s. § 1 Rn. </w:t>
      </w:r>
      <w:r w:rsidR="00173FBA">
        <w:t>8</w:t>
      </w:r>
      <w:r>
        <w:t> ff.)</w:t>
      </w:r>
      <w:r>
        <w:rPr>
          <w:rStyle w:val="Funotenzeichen"/>
        </w:rPr>
        <w:footnoteReference w:id="505"/>
      </w:r>
    </w:p>
    <w:p w14:paraId="352F7FF2" w14:textId="4E7BAE4E" w:rsidR="001B1D71" w:rsidRPr="00D16DAC" w:rsidRDefault="001B1D71" w:rsidP="001B1D71">
      <w:pPr>
        <w:ind w:left="708"/>
      </w:pPr>
      <w:r w:rsidRPr="00D16DAC">
        <w:t xml:space="preserve">II. Statthafte </w:t>
      </w:r>
      <w:r>
        <w:t>Antragsart</w:t>
      </w:r>
      <w:r w:rsidRPr="00D16DAC">
        <w:t xml:space="preserve"> (</w:t>
      </w:r>
      <w:r>
        <w:t>s. § 1 Rn. </w:t>
      </w:r>
      <w:r w:rsidR="00173FBA">
        <w:t>6</w:t>
      </w:r>
      <w:r>
        <w:t> ff.)</w:t>
      </w:r>
      <w:r>
        <w:rPr>
          <w:rStyle w:val="Funotenzeichen"/>
        </w:rPr>
        <w:footnoteReference w:id="506"/>
      </w:r>
    </w:p>
    <w:p w14:paraId="2BF59CA0" w14:textId="5201547F" w:rsidR="001B1D71" w:rsidRDefault="001B1D71" w:rsidP="001B1D71">
      <w:pPr>
        <w:ind w:firstLine="708"/>
      </w:pPr>
      <w:r>
        <w:t>III. Antragsbefugnis</w:t>
      </w:r>
      <w:r w:rsidR="00A32846">
        <w:rPr>
          <w:rStyle w:val="Funotenzeichen"/>
        </w:rPr>
        <w:footnoteReference w:id="507"/>
      </w:r>
    </w:p>
    <w:p w14:paraId="27D45BD7" w14:textId="036D1B0A" w:rsidR="001B1D71" w:rsidRDefault="00A32846" w:rsidP="001B1D71">
      <w:pPr>
        <w:ind w:firstLine="708"/>
      </w:pPr>
      <w:r>
        <w:t>IV</w:t>
      </w:r>
      <w:r w:rsidR="001B1D71">
        <w:t>. Beteiligte</w:t>
      </w:r>
      <w:r>
        <w:rPr>
          <w:rStyle w:val="Funotenzeichen"/>
        </w:rPr>
        <w:footnoteReference w:id="508"/>
      </w:r>
    </w:p>
    <w:p w14:paraId="18D40AC5" w14:textId="409A21BC" w:rsidR="001B1D71" w:rsidRDefault="00A32846" w:rsidP="001B1D71">
      <w:pPr>
        <w:ind w:firstLine="708"/>
      </w:pPr>
      <w:r>
        <w:t>V</w:t>
      </w:r>
      <w:r w:rsidR="001B1D71">
        <w:t>. Zuständiges Gericht</w:t>
      </w:r>
      <w:r>
        <w:rPr>
          <w:rStyle w:val="Funotenzeichen"/>
        </w:rPr>
        <w:footnoteReference w:id="509"/>
      </w:r>
    </w:p>
    <w:p w14:paraId="19ADDBDE" w14:textId="438D9EBB" w:rsidR="001B1D71" w:rsidRDefault="001B1D71" w:rsidP="001B1D71">
      <w:pPr>
        <w:ind w:firstLine="708"/>
      </w:pPr>
      <w:r>
        <w:t>VI. Rechtsschutzbedürfnis</w:t>
      </w:r>
      <w:r w:rsidR="00A32846">
        <w:rPr>
          <w:rStyle w:val="Funotenzeichen"/>
        </w:rPr>
        <w:footnoteReference w:id="510"/>
      </w:r>
    </w:p>
    <w:p w14:paraId="3DD8A53F" w14:textId="7ACAEE87" w:rsidR="001B1D71" w:rsidRDefault="001B1D71" w:rsidP="001B1D71">
      <w:r>
        <w:t>B. Begründetheit</w:t>
      </w:r>
      <w:r w:rsidR="00A32846">
        <w:rPr>
          <w:rStyle w:val="Funotenzeichen"/>
        </w:rPr>
        <w:footnoteReference w:id="511"/>
      </w:r>
    </w:p>
    <w:p w14:paraId="3B48344F" w14:textId="562DB883" w:rsidR="001B1D71" w:rsidRDefault="001B1D71" w:rsidP="001B1D71">
      <w:pPr>
        <w:ind w:firstLine="708"/>
      </w:pPr>
      <w:r>
        <w:t>I. Anordnungsgrund</w:t>
      </w:r>
    </w:p>
    <w:p w14:paraId="5C0B8D0B" w14:textId="330C6304" w:rsidR="001B1D71" w:rsidRDefault="001B1D71" w:rsidP="001B1D71">
      <w:pPr>
        <w:ind w:firstLine="708"/>
      </w:pPr>
      <w:r>
        <w:t>II. Anordnungsanspruch</w:t>
      </w:r>
    </w:p>
    <w:p w14:paraId="422ED0BD" w14:textId="7D3F59BB" w:rsidR="001B1D71" w:rsidRDefault="001B1D71" w:rsidP="001B1D71">
      <w:pPr>
        <w:ind w:firstLine="708"/>
      </w:pPr>
      <w:r>
        <w:t>III. Keine Vorwegnahme der Hauptsache</w:t>
      </w:r>
    </w:p>
    <w:p w14:paraId="1D3D4AD2" w14:textId="536C0C7D" w:rsidR="001B1D71" w:rsidRDefault="001B1D71">
      <w:pPr>
        <w:jc w:val="left"/>
      </w:pPr>
      <w:r>
        <w:br w:type="page"/>
      </w:r>
    </w:p>
    <w:p w14:paraId="733A2968" w14:textId="709864B9" w:rsidR="007D1377" w:rsidRDefault="008779DD" w:rsidP="007D1377">
      <w:pPr>
        <w:pStyle w:val="berschrift2"/>
      </w:pPr>
      <w:bookmarkStart w:id="581" w:name="_Toc10464387"/>
      <w:bookmarkStart w:id="582" w:name="_Toc13827697"/>
      <w:bookmarkStart w:id="583" w:name="_Toc22132795"/>
      <w:bookmarkStart w:id="584" w:name="Antrag123"/>
      <w:r>
        <w:t>F</w:t>
      </w:r>
      <w:r w:rsidR="000B7A1C">
        <w:t>all</w:t>
      </w:r>
      <w:r w:rsidR="00F1012B">
        <w:t xml:space="preserve"> 15</w:t>
      </w:r>
      <w:r w:rsidR="000B7A1C">
        <w:t xml:space="preserve">: </w:t>
      </w:r>
      <w:r w:rsidR="00FE5315">
        <w:t xml:space="preserve">Antrag nach § 123 VwGO auf </w:t>
      </w:r>
      <w:r w:rsidR="004D7C04">
        <w:t>Zulassung zu einer Kindertagesstätte</w:t>
      </w:r>
      <w:r w:rsidR="00FE5315">
        <w:t>: „Ärger mit den Naseweisen“</w:t>
      </w:r>
      <w:r w:rsidR="000B7A1C">
        <w:t xml:space="preserve"> (</w:t>
      </w:r>
      <w:r w:rsidR="00586556">
        <w:t>Alexander Brade)</w:t>
      </w:r>
      <w:bookmarkEnd w:id="581"/>
      <w:bookmarkEnd w:id="582"/>
      <w:bookmarkEnd w:id="583"/>
    </w:p>
    <w:p w14:paraId="5C3B4D86" w14:textId="3FB9EFA0" w:rsidR="002722D1" w:rsidRPr="00BB684E" w:rsidRDefault="001A1997" w:rsidP="00BB684E">
      <w:pPr>
        <w:pStyle w:val="Autorin"/>
      </w:pPr>
      <w:r w:rsidRPr="00BB684E">
        <w:t>Alexander Brade</w:t>
      </w:r>
    </w:p>
    <w:p w14:paraId="4F9132AF" w14:textId="77777777" w:rsidR="00113AB2" w:rsidRPr="00BB684E" w:rsidRDefault="00113AB2" w:rsidP="005A16FB">
      <w:pPr>
        <w:pStyle w:val="Randnummer"/>
        <w:framePr w:wrap="around"/>
        <w:numPr>
          <w:ilvl w:val="0"/>
          <w:numId w:val="13"/>
        </w:numPr>
      </w:pPr>
    </w:p>
    <w:p w14:paraId="3E6F0674" w14:textId="77777777" w:rsidR="00B347CC" w:rsidRDefault="002722D1" w:rsidP="00113AB2">
      <w:pPr>
        <w:tabs>
          <w:tab w:val="right" w:pos="9070"/>
        </w:tabs>
      </w:pPr>
      <w:r w:rsidRPr="00BB684E">
        <w:t>Schwerpunkte</w:t>
      </w:r>
      <w:r w:rsidR="00113AB2" w:rsidRPr="00BB684E">
        <w:t>/Lernziele:</w:t>
      </w:r>
      <w:r w:rsidR="00BB684E" w:rsidRPr="00BB684E">
        <w:t xml:space="preserve"> Antrag nach § 123 VwGO, Verwaltungsakt, </w:t>
      </w:r>
      <w:r w:rsidR="00BB684E">
        <w:t xml:space="preserve">Umgang mit unbekannten Normen des </w:t>
      </w:r>
      <w:r w:rsidR="00BB684E" w:rsidRPr="00BB684E">
        <w:t>Kinder- und Jugendhilferecht</w:t>
      </w:r>
      <w:r w:rsidR="00BB684E">
        <w:t>s</w:t>
      </w:r>
      <w:r w:rsidR="00BB684E" w:rsidRPr="00BB684E">
        <w:t>, Privatisierung, Unmöglichkeit bei öffentlich-rechtlichen Schuldverhältnissen</w:t>
      </w:r>
    </w:p>
    <w:p w14:paraId="37C62208" w14:textId="44575872" w:rsidR="002722D1" w:rsidRPr="002722D1" w:rsidRDefault="00113AB2" w:rsidP="00113AB2">
      <w:pPr>
        <w:tabs>
          <w:tab w:val="right" w:pos="9070"/>
        </w:tabs>
      </w:pPr>
      <w:r>
        <w:tab/>
      </w:r>
    </w:p>
    <w:p w14:paraId="3F96B694" w14:textId="77777777" w:rsidR="007D1377" w:rsidRPr="002E6199" w:rsidRDefault="007D1377" w:rsidP="0001383E">
      <w:pPr>
        <w:pStyle w:val="berschrift3"/>
      </w:pPr>
      <w:r w:rsidRPr="002E6199">
        <w:t>Sachverhalt</w:t>
      </w:r>
    </w:p>
    <w:p w14:paraId="0F6D2114" w14:textId="77777777" w:rsidR="007D1377" w:rsidRDefault="007D1377" w:rsidP="007D1377">
      <w:pPr>
        <w:pStyle w:val="Randnummer"/>
        <w:framePr w:wrap="around"/>
      </w:pPr>
    </w:p>
    <w:p w14:paraId="13E729BB" w14:textId="2AD6D9C5" w:rsidR="007D1377" w:rsidRPr="007D1377" w:rsidRDefault="007D1377" w:rsidP="007D1377">
      <w:r w:rsidRPr="007D1377">
        <w:t>Die Eheleute Fiona (F) und Manfred (M) sind stolze Eltern der kleinen Kira (K), die am 5. April 2017 das Licht der Welt erblickt. Sie leben gemeinsam im Osten der Großstadt S im Bundesland L, arbeiten beide – gemeint sind F und M – aber auswärts in Vollzeit.</w:t>
      </w:r>
    </w:p>
    <w:p w14:paraId="263895DF" w14:textId="77777777" w:rsidR="007D1377" w:rsidRPr="007D1377" w:rsidRDefault="007D1377" w:rsidP="007D1377">
      <w:r w:rsidRPr="007D1377">
        <w:t>Im September 2017 stellt F, wozu M sie ermächtigt hatte, einen Antrag bei der zuständigen Stadt S, ihrer Tochter ab 1. Mai 2018 einen Betreuungsplatz in einer wohnortnahen Kindertageseinrichtung oder Kindertagespflege zur Verfügung zu stellen. Vorzugsweise beantragt sie einen Platz in der Kita „Räuberkiste“, die sich in privater Trägerschaft befindet, oder in der ebenfalls nahegelegenen städtischen Kindertagespflege „Die Strolche“, die in der Rechtsform einer GmbH betrieben wird.</w:t>
      </w:r>
    </w:p>
    <w:p w14:paraId="63DA428F" w14:textId="0F1AA9D4" w:rsidR="007D1377" w:rsidRPr="007D1377" w:rsidRDefault="007D1377" w:rsidP="007D1377">
      <w:r w:rsidRPr="007D1377">
        <w:t>Ihrer Tochter wird daraufhin mit Bescheid vom 4. April 2018 ein Platz in der städtischen Kindertageseinrichtung „Naseweis“, im Westen der Stadt S gelegen, angeboten. Andere Plätze gebe es – was zutrifft – seit 1. März 2018 nicht mehr. Auch eine Einwirkungsmöglichkeit auf Private bestehe seitens der Stadt nicht.</w:t>
      </w:r>
    </w:p>
    <w:p w14:paraId="47384AC8" w14:textId="77777777" w:rsidR="007D1377" w:rsidRPr="007D1377" w:rsidRDefault="007D1377" w:rsidP="007D1377">
      <w:r w:rsidRPr="007D1377">
        <w:t>F ärgert sich darüber sehr. Die Kindertageseinrichtung „Naseweis“ komme für ihre Tochter nicht in Betracht. F benötige für die Anfahrt mit dem öffentlichen Personennahverkehr – bezogen auf die einfache Strecke ab ihrer Wohnung –, was zutrifft, mindestens 45 Minuten. Dies sei nicht zumutbar, zumal sie nicht über einen eigenen PKW verfüge.</w:t>
      </w:r>
    </w:p>
    <w:p w14:paraId="5599A489" w14:textId="6B9BBB38" w:rsidR="007D1377" w:rsidRPr="007D1377" w:rsidRDefault="007D1377" w:rsidP="007D1377">
      <w:r w:rsidRPr="007D1377">
        <w:t xml:space="preserve">Die Politik habe versprochen, dafür Sorge zu tragen, dass alle Eltern, die für ihre Kleinsten einen Betreuungsplatz wollen, auch einen </w:t>
      </w:r>
      <w:r w:rsidR="003518A6">
        <w:t xml:space="preserve">bekommen werden. Immerhin werde </w:t>
      </w:r>
      <w:r w:rsidRPr="007D1377">
        <w:t>Eltern durch Art. 6 GG garantiert, Familientätigkeit und Erwerbstätigkeit miteinander verbinden zu können. Zudem enthalte das einfache Fachrecht eine unbedingte Gewährleistungspflicht des zuständigen Trägers der Jugendhilfe, die es ihm verbiete, sich auf Unvermögen zu berufen.</w:t>
      </w:r>
    </w:p>
    <w:p w14:paraId="0249F95C" w14:textId="77777777" w:rsidR="007D1377" w:rsidRDefault="007D1377" w:rsidP="007D1377">
      <w:r w:rsidRPr="007D1377">
        <w:t>F erhebt daher am 18. April 2018 Widerspruch gegen den Bescheid der Stadt S, über den bis heute nicht entschieden wurde. Gleichzeitig stellt sie einen Antrag bei dem zuständigen Verwaltungsgericht, mit dem sie Rechtsschutz für ihre Tochter begehrt, um „schnellstmöglich einen Platz für sie zu erhalten.“</w:t>
      </w:r>
    </w:p>
    <w:p w14:paraId="61147EF2" w14:textId="6A56F07D" w:rsidR="002E6199" w:rsidRPr="002E6199" w:rsidRDefault="002E6199" w:rsidP="007D1377">
      <w:pPr>
        <w:rPr>
          <w:b/>
        </w:rPr>
      </w:pPr>
      <w:r w:rsidRPr="002E6199">
        <w:rPr>
          <w:b/>
        </w:rPr>
        <w:t>Hat der Antrag Aussicht auf Erfolg?</w:t>
      </w:r>
    </w:p>
    <w:p w14:paraId="6AEFECE0" w14:textId="0542402C" w:rsidR="007D1377" w:rsidRDefault="007D1377" w:rsidP="007D1377">
      <w:r w:rsidRPr="007D1377">
        <w:rPr>
          <w:b/>
        </w:rPr>
        <w:t>Bearbeitungsvermerk:</w:t>
      </w:r>
      <w:r w:rsidRPr="007D1377">
        <w:t xml:space="preserve"> </w:t>
      </w:r>
      <w:r w:rsidR="002E6199">
        <w:t>Es ist</w:t>
      </w:r>
      <w:r w:rsidRPr="007D1377">
        <w:t xml:space="preserve">, soweit erforderlich hilfsweise, auf alle aufgeworfenen Rechtsfragen einzugehen. Bearbeitungszeitpunkt ist der 30.04.2018.Vorschriften des Kommunalrechts sind nicht zu prüfen. Es ist weiter davon auszugehen, dass § 51 SGG im Unterschied zu § 31 SGB X nicht einschlägig ist. </w:t>
      </w:r>
    </w:p>
    <w:p w14:paraId="7BF05923" w14:textId="77777777" w:rsidR="002E6199" w:rsidRPr="007D1377" w:rsidRDefault="002E6199" w:rsidP="007D1377"/>
    <w:p w14:paraId="115F3EE6" w14:textId="77777777" w:rsidR="007D1377" w:rsidRPr="00095F85" w:rsidRDefault="007D1377" w:rsidP="007D1377">
      <w:pPr>
        <w:rPr>
          <w:b/>
        </w:rPr>
      </w:pPr>
      <w:r w:rsidRPr="00095F85">
        <w:rPr>
          <w:b/>
        </w:rPr>
        <w:t>Anzuwendende Vorschriften:</w:t>
      </w:r>
    </w:p>
    <w:p w14:paraId="0DFCA8CB" w14:textId="77777777" w:rsidR="007D1377" w:rsidRPr="00095F85" w:rsidRDefault="007D1377" w:rsidP="007D1377">
      <w:pPr>
        <w:rPr>
          <w:b/>
        </w:rPr>
      </w:pPr>
      <w:r w:rsidRPr="00095F85">
        <w:rPr>
          <w:b/>
        </w:rPr>
        <w:t>§ 3 SGB VIII</w:t>
      </w:r>
    </w:p>
    <w:p w14:paraId="30E41FCE" w14:textId="0CF1DF4B" w:rsidR="007D1377" w:rsidRPr="00095F85" w:rsidRDefault="007D1377" w:rsidP="007D1377">
      <w:bookmarkStart w:id="585" w:name="Y-100-G-SGB_VIII-P-3-X-1"/>
      <w:bookmarkEnd w:id="585"/>
      <w:r w:rsidRPr="00095F85">
        <w:t>[...]</w:t>
      </w:r>
      <w:bookmarkStart w:id="586" w:name="Y-100-G-SGB_VIII-P-3-X-2"/>
      <w:bookmarkEnd w:id="586"/>
      <w:r w:rsidRPr="00095F85">
        <w:t xml:space="preserve"> (2) </w:t>
      </w:r>
      <w:r w:rsidRPr="00095F85">
        <w:rPr>
          <w:vertAlign w:val="superscript"/>
        </w:rPr>
        <w:t>1</w:t>
      </w:r>
      <w:r w:rsidRPr="00095F85">
        <w:t xml:space="preserve">Leistungen der Jugendhilfe werden von Trägern der freien Jugendhilfe und von Trägern der öffentlichen Jugendhilfe erbracht. </w:t>
      </w:r>
      <w:r w:rsidRPr="00095F85">
        <w:rPr>
          <w:vertAlign w:val="superscript"/>
        </w:rPr>
        <w:t>2</w:t>
      </w:r>
      <w:r w:rsidRPr="00095F85">
        <w:t>Leistungsverpflichtungen, die durch dieses Buch begründet werden, richten sich an die Träger der öffentlichen Jugendhilfe. [...]</w:t>
      </w:r>
    </w:p>
    <w:p w14:paraId="3AA4F42F" w14:textId="77777777" w:rsidR="007D1377" w:rsidRPr="00095F85" w:rsidRDefault="007D1377" w:rsidP="007D1377">
      <w:pPr>
        <w:rPr>
          <w:b/>
        </w:rPr>
      </w:pPr>
      <w:r w:rsidRPr="00095F85">
        <w:rPr>
          <w:b/>
        </w:rPr>
        <w:t>§ 5 SGB VIII</w:t>
      </w:r>
    </w:p>
    <w:p w14:paraId="65387A73" w14:textId="77777777" w:rsidR="007D1377" w:rsidRPr="00095F85" w:rsidRDefault="007D1377" w:rsidP="007D1377">
      <w:bookmarkStart w:id="587" w:name="Y-100-G-SGB_VIII-P-5-X-1"/>
      <w:bookmarkEnd w:id="587"/>
      <w:r w:rsidRPr="00095F85">
        <w:t xml:space="preserve">(1) </w:t>
      </w:r>
      <w:r w:rsidRPr="00095F85">
        <w:rPr>
          <w:vertAlign w:val="superscript"/>
        </w:rPr>
        <w:t>1</w:t>
      </w:r>
      <w:r w:rsidRPr="00095F85">
        <w:t xml:space="preserve">Die Leistungsberechtigten haben das Recht, zwischen Einrichtungen und Diensten verschiedener Träger zu wählen und Wünsche hinsichtlich der Gestaltung der Hilfe zu äußern. </w:t>
      </w:r>
      <w:r w:rsidRPr="00095F85">
        <w:rPr>
          <w:vertAlign w:val="superscript"/>
        </w:rPr>
        <w:t>2</w:t>
      </w:r>
      <w:r w:rsidRPr="00095F85">
        <w:t xml:space="preserve"> [...]. </w:t>
      </w:r>
    </w:p>
    <w:p w14:paraId="42BE83A4" w14:textId="77777777" w:rsidR="007D1377" w:rsidRPr="00095F85" w:rsidRDefault="007D1377" w:rsidP="007D1377">
      <w:bookmarkStart w:id="588" w:name="Y-100-G-SGB_VIII-P-5-X-2"/>
      <w:bookmarkEnd w:id="588"/>
      <w:r w:rsidRPr="00095F85">
        <w:t xml:space="preserve">(2) </w:t>
      </w:r>
      <w:r w:rsidRPr="00095F85">
        <w:rPr>
          <w:vertAlign w:val="superscript"/>
        </w:rPr>
        <w:t>1</w:t>
      </w:r>
      <w:r w:rsidRPr="00095F85">
        <w:t>Der Wahl und den Wünschen soll entsprochen werden, sofern dies nicht mit unverhältnismäßigen Mehrkosten verbunden ist.</w:t>
      </w:r>
    </w:p>
    <w:p w14:paraId="4F944109" w14:textId="77777777" w:rsidR="007D1377" w:rsidRPr="00095F85" w:rsidRDefault="007D1377" w:rsidP="007D1377">
      <w:pPr>
        <w:rPr>
          <w:b/>
        </w:rPr>
      </w:pPr>
      <w:r w:rsidRPr="00095F85">
        <w:rPr>
          <w:b/>
        </w:rPr>
        <w:t>§ 22 SGB VIII</w:t>
      </w:r>
    </w:p>
    <w:p w14:paraId="058FDD86" w14:textId="77777777" w:rsidR="007D1377" w:rsidRPr="00095F85" w:rsidRDefault="007D1377" w:rsidP="007D1377">
      <w:bookmarkStart w:id="589" w:name="Y-100-G-SGB_VIII-P-22-X-1"/>
      <w:bookmarkEnd w:id="589"/>
      <w:r w:rsidRPr="00095F85">
        <w:t xml:space="preserve">(1) </w:t>
      </w:r>
      <w:r w:rsidRPr="00095F85">
        <w:rPr>
          <w:vertAlign w:val="superscript"/>
        </w:rPr>
        <w:t>1</w:t>
      </w:r>
      <w:r w:rsidRPr="00095F85">
        <w:t xml:space="preserve">Tageseinrichtungen sind Einrichtungen, in denen sich Kinder für einen Teil des Tages oder ganztägig aufhalten und in Gruppen gefördert werden. </w:t>
      </w:r>
      <w:r w:rsidRPr="00095F85">
        <w:rPr>
          <w:vertAlign w:val="superscript"/>
        </w:rPr>
        <w:t>2</w:t>
      </w:r>
      <w:r w:rsidRPr="00095F85">
        <w:t xml:space="preserve">Kindertagespflege wird von einer geeigneten Tagespflegeperson in ihrem Haushalt oder im Haushalt des Personensorgeberechtigten geleistet. </w:t>
      </w:r>
      <w:r w:rsidRPr="00095F85">
        <w:rPr>
          <w:vertAlign w:val="superscript"/>
        </w:rPr>
        <w:t>3</w:t>
      </w:r>
      <w:r w:rsidRPr="00095F85">
        <w:t xml:space="preserve">Das Nähere über die Abgrenzung von Tageseinrichtungen und Kindertagespflege regelt das Landesrecht. </w:t>
      </w:r>
      <w:r w:rsidRPr="00095F85">
        <w:rPr>
          <w:vertAlign w:val="superscript"/>
        </w:rPr>
        <w:t>4</w:t>
      </w:r>
      <w:r w:rsidRPr="00095F85">
        <w:t xml:space="preserve">Es kann auch regeln, dass Kindertagespflege in anderen geeigneten Räumen geleistet wird. </w:t>
      </w:r>
    </w:p>
    <w:p w14:paraId="7B321CB1" w14:textId="77777777" w:rsidR="007D1377" w:rsidRPr="00095F85" w:rsidRDefault="007D1377" w:rsidP="007D1377">
      <w:bookmarkStart w:id="590" w:name="Y-100-G-SGB_VIII-P-22-X-2"/>
      <w:bookmarkEnd w:id="590"/>
      <w:r w:rsidRPr="00095F85">
        <w:t xml:space="preserve">(2) Tageseinrichtungen für Kinder und Kindertagespflege sollen </w:t>
      </w:r>
    </w:p>
    <w:p w14:paraId="4C83A949" w14:textId="77777777" w:rsidR="007D1377" w:rsidRPr="00095F85" w:rsidRDefault="007D1377" w:rsidP="007D1377">
      <w:r w:rsidRPr="00095F85">
        <w:t>1. die Entwicklung des Kindes zu einer eigenverantwortlichen und gemeinschaftsfähigen Persönlichkeit fördern,</w:t>
      </w:r>
    </w:p>
    <w:p w14:paraId="72024071" w14:textId="77777777" w:rsidR="007D1377" w:rsidRPr="00095F85" w:rsidRDefault="007D1377" w:rsidP="007D1377">
      <w:r w:rsidRPr="00095F85">
        <w:t>2. die Erziehung und Bildung in der Familie unterstützen und ergänzen,</w:t>
      </w:r>
    </w:p>
    <w:p w14:paraId="5B6F109B" w14:textId="77777777" w:rsidR="007D1377" w:rsidRPr="00095F85" w:rsidRDefault="007D1377" w:rsidP="007D1377">
      <w:r w:rsidRPr="00095F85">
        <w:t>3. den Eltern dabei helfen, Erwerbstätigkeit und Kindererziehung besser miteinander vereinbaren zu können.</w:t>
      </w:r>
    </w:p>
    <w:p w14:paraId="4EDCF754" w14:textId="77777777" w:rsidR="007D1377" w:rsidRPr="00095F85" w:rsidRDefault="007D1377" w:rsidP="007D1377">
      <w:bookmarkStart w:id="591" w:name="X3"/>
      <w:bookmarkStart w:id="592" w:name="Y-100-G-SGB_VIII-P-22-X-3"/>
      <w:bookmarkEnd w:id="591"/>
      <w:bookmarkEnd w:id="592"/>
      <w:r w:rsidRPr="00095F85">
        <w:t xml:space="preserve">(3) </w:t>
      </w:r>
      <w:r w:rsidRPr="00095F85">
        <w:rPr>
          <w:vertAlign w:val="superscript"/>
        </w:rPr>
        <w:t>1</w:t>
      </w:r>
      <w:r w:rsidRPr="00095F85">
        <w:t xml:space="preserve">Der Förderungsauftrag umfasst Erziehung, Bildung und Betreuung des Kindes und bezieht sich auf die soziale, emotionale, körperliche und geistige Entwicklung des Kindes. </w:t>
      </w:r>
      <w:r w:rsidRPr="00095F85">
        <w:rPr>
          <w:vertAlign w:val="superscript"/>
        </w:rPr>
        <w:t>2</w:t>
      </w:r>
      <w:r w:rsidRPr="00095F85">
        <w:t xml:space="preserve"> [...].</w:t>
      </w:r>
    </w:p>
    <w:p w14:paraId="0E09365F" w14:textId="77777777" w:rsidR="007D1377" w:rsidRPr="00095F85" w:rsidRDefault="007D1377" w:rsidP="007D1377">
      <w:pPr>
        <w:rPr>
          <w:b/>
        </w:rPr>
      </w:pPr>
      <w:r w:rsidRPr="00095F85">
        <w:rPr>
          <w:b/>
        </w:rPr>
        <w:t>§ 24 SGB VIII</w:t>
      </w:r>
    </w:p>
    <w:p w14:paraId="1277A0B9" w14:textId="77777777" w:rsidR="007D1377" w:rsidRPr="00095F85" w:rsidRDefault="007D1377" w:rsidP="007D1377">
      <w:bookmarkStart w:id="593" w:name="X1"/>
      <w:bookmarkStart w:id="594" w:name="Y-100-G-SGB_VIII-P-24-X-1"/>
      <w:bookmarkEnd w:id="593"/>
      <w:bookmarkEnd w:id="594"/>
      <w:r w:rsidRPr="00095F85">
        <w:t xml:space="preserve">(1) </w:t>
      </w:r>
      <w:r w:rsidRPr="00095F85">
        <w:rPr>
          <w:vertAlign w:val="superscript"/>
        </w:rPr>
        <w:t>1</w:t>
      </w:r>
      <w:r w:rsidRPr="00095F85">
        <w:t xml:space="preserve">Ein Kind, das das erste Lebensjahr noch nicht vollendet hat, ist in einer Einrichtung oder in Kindertagespflege zu fördern, wenn </w:t>
      </w:r>
      <w:bookmarkStart w:id="595" w:name="X2"/>
      <w:bookmarkStart w:id="596" w:name="Y-100-G-SGB_VIII-P-24-X-2"/>
      <w:bookmarkEnd w:id="595"/>
      <w:bookmarkEnd w:id="596"/>
      <w:r w:rsidRPr="00095F85">
        <w:t>[...]</w:t>
      </w:r>
    </w:p>
    <w:p w14:paraId="125D9441" w14:textId="77777777" w:rsidR="007D1377" w:rsidRPr="00095F85" w:rsidRDefault="007D1377" w:rsidP="007D1377">
      <w:r w:rsidRPr="00095F85">
        <w:t xml:space="preserve">(2) </w:t>
      </w:r>
      <w:r w:rsidRPr="00095F85">
        <w:rPr>
          <w:vertAlign w:val="superscript"/>
        </w:rPr>
        <w:t>1</w:t>
      </w:r>
      <w:r w:rsidRPr="00095F85">
        <w:t xml:space="preserve">Ein Kind, das das erste Lebensjahr vollendet hat, hat bis zur Vollendung des dritten Lebensjahres Anspruch auf frühkindliche Förderung in einer Tageseinrichtung oder in Kindertagespflege. </w:t>
      </w:r>
      <w:r w:rsidRPr="00095F85">
        <w:rPr>
          <w:vertAlign w:val="superscript"/>
        </w:rPr>
        <w:t>2</w:t>
      </w:r>
      <w:r w:rsidRPr="00095F85">
        <w:t xml:space="preserve"> [...].</w:t>
      </w:r>
    </w:p>
    <w:p w14:paraId="2B0D3A30" w14:textId="019EB921" w:rsidR="007D1377" w:rsidRPr="00095F85" w:rsidRDefault="007D1377" w:rsidP="007D1377">
      <w:r w:rsidRPr="00095F85">
        <w:t xml:space="preserve">(3) </w:t>
      </w:r>
      <w:r w:rsidRPr="00095F85">
        <w:rPr>
          <w:vertAlign w:val="superscript"/>
        </w:rPr>
        <w:t>1</w:t>
      </w:r>
      <w:r w:rsidRPr="00095F85">
        <w:t>Ein Kind, das das dritte Lebensjahr vollendet hat, hat bis zum Schuleintritt Anspruch auf Förderung in einer Tageseinrichtung.</w:t>
      </w:r>
      <w:r w:rsidR="00A10E8C">
        <w:t xml:space="preserve"> </w:t>
      </w:r>
      <w:r w:rsidR="00A10E8C" w:rsidRPr="00A10E8C">
        <w:rPr>
          <w:vertAlign w:val="superscript"/>
        </w:rPr>
        <w:t>2</w:t>
      </w:r>
      <w:r w:rsidRPr="00095F85">
        <w:t xml:space="preserve"> […]</w:t>
      </w:r>
    </w:p>
    <w:p w14:paraId="357DFC3C" w14:textId="77777777" w:rsidR="007D1377" w:rsidRPr="00095F85" w:rsidRDefault="007D1377" w:rsidP="007D1377">
      <w:pPr>
        <w:rPr>
          <w:b/>
        </w:rPr>
      </w:pPr>
      <w:r w:rsidRPr="00095F85">
        <w:rPr>
          <w:b/>
        </w:rPr>
        <w:t>§ 26 SGB VIII</w:t>
      </w:r>
    </w:p>
    <w:p w14:paraId="3D42577F" w14:textId="77777777" w:rsidR="007D1377" w:rsidRPr="00095F85" w:rsidRDefault="007D1377" w:rsidP="007D1377">
      <w:r w:rsidRPr="00095F85">
        <w:rPr>
          <w:vertAlign w:val="superscript"/>
        </w:rPr>
        <w:t>1</w:t>
      </w:r>
      <w:r w:rsidRPr="00095F85">
        <w:t xml:space="preserve">Das Nähere über Inhalt und Umfang der in diesem Abschnitt [gemeint sind §§ 22 bis 25 SGB VIII] geregelten Aufgaben und Leistungen regelt das Landesrecht. </w:t>
      </w:r>
      <w:r w:rsidRPr="00095F85">
        <w:rPr>
          <w:vertAlign w:val="superscript"/>
        </w:rPr>
        <w:t xml:space="preserve">2 </w:t>
      </w:r>
      <w:r w:rsidRPr="00095F85">
        <w:t>[...].</w:t>
      </w:r>
    </w:p>
    <w:p w14:paraId="35238AD7" w14:textId="77777777" w:rsidR="007D1377" w:rsidRPr="00095F85" w:rsidRDefault="007D1377" w:rsidP="007D1377">
      <w:pPr>
        <w:rPr>
          <w:b/>
        </w:rPr>
      </w:pPr>
      <w:r w:rsidRPr="00095F85">
        <w:rPr>
          <w:b/>
        </w:rPr>
        <w:t>§ 79 SGB VIII</w:t>
      </w:r>
    </w:p>
    <w:p w14:paraId="2F921C91" w14:textId="77777777" w:rsidR="007D1377" w:rsidRPr="00095F85" w:rsidRDefault="007D1377" w:rsidP="007D1377">
      <w:bookmarkStart w:id="597" w:name="Y-100-G-SGB_VIII-P-79-X-1"/>
      <w:bookmarkEnd w:id="597"/>
      <w:r w:rsidRPr="00095F85">
        <w:t xml:space="preserve">(1) Die Träger der öffentlichen Jugendhilfe haben für die Erfüllung der Aufgaben nach diesem Buch die Gesamtverantwortung einschließlich der Planungsverantwortung. </w:t>
      </w:r>
    </w:p>
    <w:p w14:paraId="135EC4F0" w14:textId="77777777" w:rsidR="007D1377" w:rsidRPr="00095F85" w:rsidRDefault="007D1377" w:rsidP="007D1377">
      <w:bookmarkStart w:id="598" w:name="Y-100-G-SGB_VIII-P-79-X-2"/>
      <w:bookmarkEnd w:id="598"/>
      <w:r w:rsidRPr="00095F85">
        <w:t xml:space="preserve">(2) </w:t>
      </w:r>
      <w:r w:rsidRPr="00095F85">
        <w:rPr>
          <w:vertAlign w:val="superscript"/>
        </w:rPr>
        <w:t>1</w:t>
      </w:r>
      <w:r w:rsidRPr="00095F85">
        <w:t xml:space="preserve">Die Träger der öffentlichen Jugendhilfe sollen gewährleisten, dass zur Erfüllung der Aufgaben nach diesem Buch </w:t>
      </w:r>
    </w:p>
    <w:p w14:paraId="35B5F1FF" w14:textId="77777777" w:rsidR="007D1377" w:rsidRPr="00095F85" w:rsidRDefault="007D1377" w:rsidP="007D1377">
      <w:pPr>
        <w:rPr>
          <w:b/>
        </w:rPr>
      </w:pPr>
      <w:r w:rsidRPr="00095F85">
        <w:t>1. die erforderlichen und geeigneten Einrichtungen, Dienste und Veranstaltungen den verschiedenen Grundrichtungen der Erziehung entsprechend rechtzeitig und ausreichend zur Verfügung stehen; [...].</w:t>
      </w:r>
    </w:p>
    <w:p w14:paraId="49B6393C" w14:textId="77777777" w:rsidR="007D1377" w:rsidRPr="00095F85" w:rsidRDefault="007D1377" w:rsidP="007D1377">
      <w:pPr>
        <w:rPr>
          <w:b/>
        </w:rPr>
      </w:pPr>
      <w:r w:rsidRPr="00095F85">
        <w:rPr>
          <w:b/>
        </w:rPr>
        <w:t>§ 31 SGB X</w:t>
      </w:r>
    </w:p>
    <w:p w14:paraId="6EBE8AAF" w14:textId="77777777" w:rsidR="007D1377" w:rsidRPr="00095F85" w:rsidRDefault="007D1377" w:rsidP="007D1377">
      <w:r w:rsidRPr="00095F85">
        <w:rPr>
          <w:vertAlign w:val="superscript"/>
        </w:rPr>
        <w:t>1</w:t>
      </w:r>
      <w:r w:rsidRPr="00095F85">
        <w:t xml:space="preserve">Verwaltungsakt ist jede Verfügung, Entscheidung oder andere hoheitliche Maßnahme, die eine Behörde zur Regelung eines Einzelfalles auf dem Gebiet des öffentlichen Rechts trifft und die auf unmittelbare Rechtswirkung nach außen gerichtet ist. </w:t>
      </w:r>
      <w:r w:rsidRPr="00095F85">
        <w:rPr>
          <w:vertAlign w:val="superscript"/>
        </w:rPr>
        <w:t>2</w:t>
      </w:r>
      <w:r w:rsidRPr="00095F85">
        <w:t>[...].</w:t>
      </w:r>
    </w:p>
    <w:p w14:paraId="60BB8EB2" w14:textId="77777777" w:rsidR="007D1377" w:rsidRPr="00095F85" w:rsidRDefault="007D1377" w:rsidP="007D1377">
      <w:pPr>
        <w:rPr>
          <w:b/>
        </w:rPr>
      </w:pPr>
      <w:r w:rsidRPr="00095F85">
        <w:rPr>
          <w:b/>
        </w:rPr>
        <w:t xml:space="preserve">§ 51 </w:t>
      </w:r>
      <w:bookmarkStart w:id="599" w:name="Y-100-G-SGG-P-51-X-1"/>
      <w:bookmarkEnd w:id="599"/>
      <w:r w:rsidRPr="00095F85">
        <w:rPr>
          <w:b/>
        </w:rPr>
        <w:t>SGG</w:t>
      </w:r>
    </w:p>
    <w:p w14:paraId="165E2D84" w14:textId="77777777" w:rsidR="007D1377" w:rsidRPr="00095F85" w:rsidRDefault="007D1377" w:rsidP="007D1377">
      <w:r w:rsidRPr="00095F85">
        <w:t xml:space="preserve">(1) Die Gerichte der Sozialgerichtsbarkeit entscheiden über öffentlich-rechtliche Streitigkeiten </w:t>
      </w:r>
    </w:p>
    <w:p w14:paraId="3604D52E" w14:textId="77777777" w:rsidR="007D1377" w:rsidRDefault="007D1377" w:rsidP="007D1377">
      <w:r w:rsidRPr="00095F85">
        <w:t>1. [...].</w:t>
      </w:r>
    </w:p>
    <w:p w14:paraId="4346B026" w14:textId="77777777" w:rsidR="007D1377" w:rsidRPr="00095F85" w:rsidRDefault="007D1377" w:rsidP="007D1377">
      <w:pPr>
        <w:rPr>
          <w:b/>
        </w:rPr>
      </w:pPr>
      <w:r w:rsidRPr="00095F85">
        <w:rPr>
          <w:b/>
        </w:rPr>
        <w:t>§ 3 KitaG des Landes L</w:t>
      </w:r>
      <w:bookmarkStart w:id="600" w:name="Y-100-G-SaKitaG-P-3-X-1"/>
      <w:bookmarkEnd w:id="600"/>
      <w:r w:rsidRPr="00095F85">
        <w:rPr>
          <w:b/>
        </w:rPr>
        <w:t xml:space="preserve"> (LKitaG)</w:t>
      </w:r>
    </w:p>
    <w:p w14:paraId="09E073DB" w14:textId="77777777" w:rsidR="007D1377" w:rsidRPr="00095F85" w:rsidRDefault="007D1377" w:rsidP="007D1377">
      <w:pPr>
        <w:rPr>
          <w:b/>
        </w:rPr>
      </w:pPr>
      <w:r w:rsidRPr="00095F85">
        <w:t xml:space="preserve">(1) </w:t>
      </w:r>
      <w:r w:rsidRPr="00095F85">
        <w:rPr>
          <w:vertAlign w:val="superscript"/>
        </w:rPr>
        <w:t>1</w:t>
      </w:r>
      <w:r w:rsidRPr="00095F85">
        <w:t xml:space="preserve">Alle Kinder haben ab Vollendung des dritten Lebensjahres bis zum Schuleintritt Anspruch auf den Besuch eines Kindergartens. </w:t>
      </w:r>
      <w:r w:rsidRPr="00095F85">
        <w:rPr>
          <w:vertAlign w:val="superscript"/>
        </w:rPr>
        <w:t>2</w:t>
      </w:r>
      <w:r w:rsidRPr="00095F85">
        <w:t>Der Anspruch richtet sich gegen den örtlichen Träger der öffentlichen Jugendhilfe.</w:t>
      </w:r>
      <w:bookmarkStart w:id="601" w:name="Y-100-G-SaKitaG-P-3-X-2"/>
      <w:bookmarkEnd w:id="601"/>
    </w:p>
    <w:p w14:paraId="02C94811" w14:textId="77777777" w:rsidR="007D1377" w:rsidRPr="00095F85" w:rsidRDefault="007D1377" w:rsidP="007D1377">
      <w:pPr>
        <w:rPr>
          <w:b/>
        </w:rPr>
      </w:pPr>
      <w:r w:rsidRPr="00095F85">
        <w:t xml:space="preserve">(2) </w:t>
      </w:r>
      <w:r w:rsidRPr="00095F85">
        <w:rPr>
          <w:vertAlign w:val="superscript"/>
        </w:rPr>
        <w:t>1</w:t>
      </w:r>
      <w:r w:rsidRPr="00095F85">
        <w:t xml:space="preserve">Es gehört zu den Pflichtaufgaben des örtlichen Trägers der öffentlichen Jugendhilfe, für ein bedarfsgerechtes Angebot an Kindertageseinrichtungen zur Betreuung von Kindern unter drei Jahren und für schulpflichtige Kinder bis zur Vollendung der vierten Klasse zu sorgen. </w:t>
      </w:r>
      <w:r w:rsidRPr="00095F85">
        <w:rPr>
          <w:vertAlign w:val="superscript"/>
        </w:rPr>
        <w:t>2</w:t>
      </w:r>
      <w:r w:rsidRPr="00095F85">
        <w:t xml:space="preserve"> [...].</w:t>
      </w:r>
      <w:bookmarkStart w:id="602" w:name="Y-100-G-SaKitaG-P-3-X-3"/>
      <w:bookmarkEnd w:id="602"/>
    </w:p>
    <w:p w14:paraId="7EDE6DCB" w14:textId="77777777" w:rsidR="007D1377" w:rsidRPr="00095F85" w:rsidRDefault="007D1377" w:rsidP="007D1377">
      <w:r w:rsidRPr="00095F85">
        <w:t xml:space="preserve">(3) </w:t>
      </w:r>
      <w:r w:rsidRPr="00095F85">
        <w:rPr>
          <w:vertAlign w:val="superscript"/>
        </w:rPr>
        <w:t>1</w:t>
      </w:r>
      <w:r w:rsidRPr="00095F85">
        <w:t xml:space="preserve">Bei Kindern im Alter bis zur Vollendung des dritten Lebensjahres kann die Gemeinde den Eltern die Bildung, Erziehung und Betreuung ihrer Kinder statt in einer Kindertageseinrichtung auch in Kindertagespflege anbieten. </w:t>
      </w:r>
      <w:r w:rsidRPr="00095F85">
        <w:rPr>
          <w:vertAlign w:val="superscript"/>
        </w:rPr>
        <w:t>2</w:t>
      </w:r>
      <w:r w:rsidRPr="00095F85">
        <w:t xml:space="preserve"> [...].</w:t>
      </w:r>
    </w:p>
    <w:p w14:paraId="3626F8BD" w14:textId="77777777" w:rsidR="007D1377" w:rsidRPr="00095F85" w:rsidRDefault="007D1377" w:rsidP="007D1377">
      <w:pPr>
        <w:rPr>
          <w:b/>
        </w:rPr>
      </w:pPr>
      <w:r w:rsidRPr="00095F85">
        <w:rPr>
          <w:b/>
        </w:rPr>
        <w:t>§ 4 KitaG des Landes L (LKitaG)</w:t>
      </w:r>
    </w:p>
    <w:p w14:paraId="00119530" w14:textId="31FCA345" w:rsidR="0001383E" w:rsidRPr="00095F85" w:rsidRDefault="007D1377" w:rsidP="00095F85">
      <w:bookmarkStart w:id="603" w:name="Y-100-G-SaKitaG-P-4-X-1"/>
      <w:bookmarkEnd w:id="603"/>
      <w:r w:rsidRPr="00095F85">
        <w:rPr>
          <w:vertAlign w:val="superscript"/>
        </w:rPr>
        <w:t>1</w:t>
      </w:r>
      <w:r w:rsidRPr="00095F85">
        <w:t xml:space="preserve">Die Erziehungsberechtigten können im Rahmen der verfügbaren Plätze entscheiden, in welcher Kindertageseinrichtung oder Kindertagespflegestelle innerhalb oder außerhalb der Gemeinde ihr Kind betreut werden soll. </w:t>
      </w:r>
      <w:r w:rsidRPr="00095F85">
        <w:rPr>
          <w:vertAlign w:val="superscript"/>
        </w:rPr>
        <w:t>2</w:t>
      </w:r>
      <w:r w:rsidRPr="00095F85">
        <w:t>Sie haben den Betreuungsbedarf in der Regel sechs Monate im Voraus bei der Wohnortgemeinde unter Angabe der gewünschten Einrichtung oder Kind</w:t>
      </w:r>
      <w:r w:rsidR="00095F85">
        <w:t>ertagespflegestelle anzumelden.</w:t>
      </w:r>
      <w:r w:rsidR="0001383E">
        <w:br w:type="page"/>
      </w:r>
    </w:p>
    <w:p w14:paraId="5FBBF1CF" w14:textId="09D65F45" w:rsidR="00250C2F" w:rsidRDefault="00250C2F" w:rsidP="0001383E">
      <w:pPr>
        <w:pStyle w:val="berschrift3"/>
      </w:pPr>
      <w:r w:rsidRPr="00250C2F">
        <w:t>Lösungsgliederung</w:t>
      </w:r>
    </w:p>
    <w:p w14:paraId="6099A88A" w14:textId="77777777" w:rsidR="00250C2F" w:rsidRPr="00250C2F" w:rsidRDefault="00250C2F" w:rsidP="00250C2F">
      <w:pPr>
        <w:pStyle w:val="Randnummer"/>
        <w:framePr w:wrap="around"/>
      </w:pPr>
    </w:p>
    <w:p w14:paraId="458FA36A" w14:textId="004E7983" w:rsidR="007537A8" w:rsidRDefault="000434BF">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"Fall15" </w:instrText>
      </w:r>
      <w:r>
        <w:rPr>
          <w:rFonts w:eastAsiaTheme="majorEastAsia"/>
        </w:rPr>
        <w:fldChar w:fldCharType="separate"/>
      </w:r>
      <w:hyperlink w:anchor="_Toc22133364" w:history="1">
        <w:r w:rsidR="007537A8" w:rsidRPr="00A314F5">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_Toc22133364 \h </w:instrText>
        </w:r>
        <w:r w:rsidR="007537A8">
          <w:rPr>
            <w:noProof/>
            <w:webHidden/>
          </w:rPr>
        </w:r>
        <w:r w:rsidR="007537A8">
          <w:rPr>
            <w:noProof/>
            <w:webHidden/>
          </w:rPr>
          <w:fldChar w:fldCharType="separate"/>
        </w:r>
        <w:r w:rsidR="007537A8">
          <w:rPr>
            <w:noProof/>
            <w:webHidden/>
          </w:rPr>
          <w:t>238</w:t>
        </w:r>
        <w:r w:rsidR="007537A8">
          <w:rPr>
            <w:noProof/>
            <w:webHidden/>
          </w:rPr>
          <w:fldChar w:fldCharType="end"/>
        </w:r>
      </w:hyperlink>
    </w:p>
    <w:p w14:paraId="327D0016" w14:textId="7426B752" w:rsidR="007537A8" w:rsidRDefault="00091FED">
      <w:pPr>
        <w:pStyle w:val="Verzeichnis4"/>
        <w:tabs>
          <w:tab w:val="right" w:leader="dot" w:pos="7361"/>
        </w:tabs>
        <w:rPr>
          <w:rFonts w:eastAsiaTheme="minorEastAsia"/>
          <w:noProof/>
          <w:sz w:val="22"/>
          <w:szCs w:val="22"/>
          <w:lang w:eastAsia="de-DE"/>
        </w:rPr>
      </w:pPr>
      <w:hyperlink w:anchor="_Toc22133365" w:history="1">
        <w:r w:rsidR="007537A8" w:rsidRPr="00A314F5">
          <w:rPr>
            <w:rStyle w:val="Hyperlink"/>
            <w:noProof/>
          </w:rPr>
          <w:t>A. Zulässigkeit</w:t>
        </w:r>
        <w:r w:rsidR="007537A8">
          <w:rPr>
            <w:noProof/>
            <w:webHidden/>
          </w:rPr>
          <w:tab/>
        </w:r>
        <w:r w:rsidR="007537A8">
          <w:rPr>
            <w:noProof/>
            <w:webHidden/>
          </w:rPr>
          <w:fldChar w:fldCharType="begin"/>
        </w:r>
        <w:r w:rsidR="007537A8">
          <w:rPr>
            <w:noProof/>
            <w:webHidden/>
          </w:rPr>
          <w:instrText xml:space="preserve"> PAGEREF _Toc22133365 \h </w:instrText>
        </w:r>
        <w:r w:rsidR="007537A8">
          <w:rPr>
            <w:noProof/>
            <w:webHidden/>
          </w:rPr>
        </w:r>
        <w:r w:rsidR="007537A8">
          <w:rPr>
            <w:noProof/>
            <w:webHidden/>
          </w:rPr>
          <w:fldChar w:fldCharType="separate"/>
        </w:r>
        <w:r w:rsidR="007537A8">
          <w:rPr>
            <w:noProof/>
            <w:webHidden/>
          </w:rPr>
          <w:t>238</w:t>
        </w:r>
        <w:r w:rsidR="007537A8">
          <w:rPr>
            <w:noProof/>
            <w:webHidden/>
          </w:rPr>
          <w:fldChar w:fldCharType="end"/>
        </w:r>
      </w:hyperlink>
    </w:p>
    <w:p w14:paraId="00791906" w14:textId="6568ECAA" w:rsidR="007537A8" w:rsidRDefault="00091FED">
      <w:pPr>
        <w:pStyle w:val="Verzeichnis5"/>
        <w:tabs>
          <w:tab w:val="right" w:leader="dot" w:pos="7361"/>
        </w:tabs>
        <w:rPr>
          <w:rFonts w:eastAsiaTheme="minorEastAsia"/>
          <w:noProof/>
          <w:sz w:val="22"/>
          <w:szCs w:val="22"/>
          <w:lang w:eastAsia="de-DE"/>
        </w:rPr>
      </w:pPr>
      <w:hyperlink w:anchor="_Toc22133366" w:history="1">
        <w:r w:rsidR="007537A8" w:rsidRPr="00A314F5">
          <w:rPr>
            <w:rStyle w:val="Hyperlink"/>
            <w:noProof/>
          </w:rPr>
          <w:t>I. Eröffnung des Verwaltungsrechtswegs</w:t>
        </w:r>
        <w:r w:rsidR="007537A8">
          <w:rPr>
            <w:noProof/>
            <w:webHidden/>
          </w:rPr>
          <w:tab/>
        </w:r>
        <w:r w:rsidR="007537A8">
          <w:rPr>
            <w:noProof/>
            <w:webHidden/>
          </w:rPr>
          <w:fldChar w:fldCharType="begin"/>
        </w:r>
        <w:r w:rsidR="007537A8">
          <w:rPr>
            <w:noProof/>
            <w:webHidden/>
          </w:rPr>
          <w:instrText xml:space="preserve"> PAGEREF _Toc22133366 \h </w:instrText>
        </w:r>
        <w:r w:rsidR="007537A8">
          <w:rPr>
            <w:noProof/>
            <w:webHidden/>
          </w:rPr>
        </w:r>
        <w:r w:rsidR="007537A8">
          <w:rPr>
            <w:noProof/>
            <w:webHidden/>
          </w:rPr>
          <w:fldChar w:fldCharType="separate"/>
        </w:r>
        <w:r w:rsidR="007537A8">
          <w:rPr>
            <w:noProof/>
            <w:webHidden/>
          </w:rPr>
          <w:t>238</w:t>
        </w:r>
        <w:r w:rsidR="007537A8">
          <w:rPr>
            <w:noProof/>
            <w:webHidden/>
          </w:rPr>
          <w:fldChar w:fldCharType="end"/>
        </w:r>
      </w:hyperlink>
    </w:p>
    <w:p w14:paraId="40C1A42A" w14:textId="2AF35EA6" w:rsidR="007537A8" w:rsidRDefault="00091FED">
      <w:pPr>
        <w:pStyle w:val="Verzeichnis5"/>
        <w:tabs>
          <w:tab w:val="right" w:leader="dot" w:pos="7361"/>
        </w:tabs>
        <w:rPr>
          <w:rFonts w:eastAsiaTheme="minorEastAsia"/>
          <w:noProof/>
          <w:sz w:val="22"/>
          <w:szCs w:val="22"/>
          <w:lang w:eastAsia="de-DE"/>
        </w:rPr>
      </w:pPr>
      <w:hyperlink w:anchor="_Toc22133367" w:history="1">
        <w:r w:rsidR="007537A8" w:rsidRPr="00A314F5">
          <w:rPr>
            <w:rStyle w:val="Hyperlink"/>
            <w:noProof/>
          </w:rPr>
          <w:t>II. Statthafte Antragsart</w:t>
        </w:r>
        <w:r w:rsidR="007537A8">
          <w:rPr>
            <w:noProof/>
            <w:webHidden/>
          </w:rPr>
          <w:tab/>
        </w:r>
        <w:r w:rsidR="007537A8">
          <w:rPr>
            <w:noProof/>
            <w:webHidden/>
          </w:rPr>
          <w:fldChar w:fldCharType="begin"/>
        </w:r>
        <w:r w:rsidR="007537A8">
          <w:rPr>
            <w:noProof/>
            <w:webHidden/>
          </w:rPr>
          <w:instrText xml:space="preserve"> PAGEREF _Toc22133367 \h </w:instrText>
        </w:r>
        <w:r w:rsidR="007537A8">
          <w:rPr>
            <w:noProof/>
            <w:webHidden/>
          </w:rPr>
        </w:r>
        <w:r w:rsidR="007537A8">
          <w:rPr>
            <w:noProof/>
            <w:webHidden/>
          </w:rPr>
          <w:fldChar w:fldCharType="separate"/>
        </w:r>
        <w:r w:rsidR="007537A8">
          <w:rPr>
            <w:noProof/>
            <w:webHidden/>
          </w:rPr>
          <w:t>238</w:t>
        </w:r>
        <w:r w:rsidR="007537A8">
          <w:rPr>
            <w:noProof/>
            <w:webHidden/>
          </w:rPr>
          <w:fldChar w:fldCharType="end"/>
        </w:r>
      </w:hyperlink>
    </w:p>
    <w:p w14:paraId="5FC3C6CF" w14:textId="0213FE11" w:rsidR="007537A8" w:rsidRDefault="00091FED">
      <w:pPr>
        <w:pStyle w:val="Verzeichnis5"/>
        <w:tabs>
          <w:tab w:val="right" w:leader="dot" w:pos="7361"/>
        </w:tabs>
        <w:rPr>
          <w:rFonts w:eastAsiaTheme="minorEastAsia"/>
          <w:noProof/>
          <w:sz w:val="22"/>
          <w:szCs w:val="22"/>
          <w:lang w:eastAsia="de-DE"/>
        </w:rPr>
      </w:pPr>
      <w:hyperlink w:anchor="_Toc22133368" w:history="1">
        <w:r w:rsidR="007537A8" w:rsidRPr="00A314F5">
          <w:rPr>
            <w:rStyle w:val="Hyperlink"/>
            <w:noProof/>
          </w:rPr>
          <w:t>III. Antragsbefugnis, § 42 II VwGO analog</w:t>
        </w:r>
        <w:r w:rsidR="007537A8">
          <w:rPr>
            <w:noProof/>
            <w:webHidden/>
          </w:rPr>
          <w:tab/>
        </w:r>
        <w:r w:rsidR="007537A8">
          <w:rPr>
            <w:noProof/>
            <w:webHidden/>
          </w:rPr>
          <w:fldChar w:fldCharType="begin"/>
        </w:r>
        <w:r w:rsidR="007537A8">
          <w:rPr>
            <w:noProof/>
            <w:webHidden/>
          </w:rPr>
          <w:instrText xml:space="preserve"> PAGEREF _Toc22133368 \h </w:instrText>
        </w:r>
        <w:r w:rsidR="007537A8">
          <w:rPr>
            <w:noProof/>
            <w:webHidden/>
          </w:rPr>
        </w:r>
        <w:r w:rsidR="007537A8">
          <w:rPr>
            <w:noProof/>
            <w:webHidden/>
          </w:rPr>
          <w:fldChar w:fldCharType="separate"/>
        </w:r>
        <w:r w:rsidR="007537A8">
          <w:rPr>
            <w:noProof/>
            <w:webHidden/>
          </w:rPr>
          <w:t>239</w:t>
        </w:r>
        <w:r w:rsidR="007537A8">
          <w:rPr>
            <w:noProof/>
            <w:webHidden/>
          </w:rPr>
          <w:fldChar w:fldCharType="end"/>
        </w:r>
      </w:hyperlink>
    </w:p>
    <w:p w14:paraId="74AED98C" w14:textId="33EB47F7" w:rsidR="007537A8" w:rsidRDefault="00091FED">
      <w:pPr>
        <w:pStyle w:val="Verzeichnis6"/>
        <w:tabs>
          <w:tab w:val="right" w:leader="dot" w:pos="7361"/>
        </w:tabs>
        <w:rPr>
          <w:noProof/>
          <w:sz w:val="22"/>
          <w:szCs w:val="22"/>
          <w:lang w:eastAsia="de-DE"/>
        </w:rPr>
      </w:pPr>
      <w:hyperlink w:anchor="_Toc22133369" w:history="1">
        <w:r w:rsidR="007537A8" w:rsidRPr="00A314F5">
          <w:rPr>
            <w:rStyle w:val="Hyperlink"/>
            <w:noProof/>
          </w:rPr>
          <w:t>1. Anordnungsanspruch</w:t>
        </w:r>
        <w:r w:rsidR="007537A8">
          <w:rPr>
            <w:noProof/>
            <w:webHidden/>
          </w:rPr>
          <w:tab/>
        </w:r>
        <w:r w:rsidR="007537A8">
          <w:rPr>
            <w:noProof/>
            <w:webHidden/>
          </w:rPr>
          <w:fldChar w:fldCharType="begin"/>
        </w:r>
        <w:r w:rsidR="007537A8">
          <w:rPr>
            <w:noProof/>
            <w:webHidden/>
          </w:rPr>
          <w:instrText xml:space="preserve"> PAGEREF _Toc22133369 \h </w:instrText>
        </w:r>
        <w:r w:rsidR="007537A8">
          <w:rPr>
            <w:noProof/>
            <w:webHidden/>
          </w:rPr>
        </w:r>
        <w:r w:rsidR="007537A8">
          <w:rPr>
            <w:noProof/>
            <w:webHidden/>
          </w:rPr>
          <w:fldChar w:fldCharType="separate"/>
        </w:r>
        <w:r w:rsidR="007537A8">
          <w:rPr>
            <w:noProof/>
            <w:webHidden/>
          </w:rPr>
          <w:t>239</w:t>
        </w:r>
        <w:r w:rsidR="007537A8">
          <w:rPr>
            <w:noProof/>
            <w:webHidden/>
          </w:rPr>
          <w:fldChar w:fldCharType="end"/>
        </w:r>
      </w:hyperlink>
    </w:p>
    <w:p w14:paraId="72DCD4B4" w14:textId="3782659D" w:rsidR="007537A8" w:rsidRDefault="00091FED">
      <w:pPr>
        <w:pStyle w:val="Verzeichnis6"/>
        <w:tabs>
          <w:tab w:val="right" w:leader="dot" w:pos="7361"/>
        </w:tabs>
        <w:rPr>
          <w:noProof/>
          <w:sz w:val="22"/>
          <w:szCs w:val="22"/>
          <w:lang w:eastAsia="de-DE"/>
        </w:rPr>
      </w:pPr>
      <w:hyperlink w:anchor="_Toc22133370" w:history="1">
        <w:r w:rsidR="007537A8" w:rsidRPr="00A314F5">
          <w:rPr>
            <w:rStyle w:val="Hyperlink"/>
            <w:noProof/>
          </w:rPr>
          <w:t>2. Anordnungsgrund</w:t>
        </w:r>
        <w:r w:rsidR="007537A8">
          <w:rPr>
            <w:noProof/>
            <w:webHidden/>
          </w:rPr>
          <w:tab/>
        </w:r>
        <w:r w:rsidR="007537A8">
          <w:rPr>
            <w:noProof/>
            <w:webHidden/>
          </w:rPr>
          <w:fldChar w:fldCharType="begin"/>
        </w:r>
        <w:r w:rsidR="007537A8">
          <w:rPr>
            <w:noProof/>
            <w:webHidden/>
          </w:rPr>
          <w:instrText xml:space="preserve"> PAGEREF _Toc22133370 \h </w:instrText>
        </w:r>
        <w:r w:rsidR="007537A8">
          <w:rPr>
            <w:noProof/>
            <w:webHidden/>
          </w:rPr>
        </w:r>
        <w:r w:rsidR="007537A8">
          <w:rPr>
            <w:noProof/>
            <w:webHidden/>
          </w:rPr>
          <w:fldChar w:fldCharType="separate"/>
        </w:r>
        <w:r w:rsidR="007537A8">
          <w:rPr>
            <w:noProof/>
            <w:webHidden/>
          </w:rPr>
          <w:t>239</w:t>
        </w:r>
        <w:r w:rsidR="007537A8">
          <w:rPr>
            <w:noProof/>
            <w:webHidden/>
          </w:rPr>
          <w:fldChar w:fldCharType="end"/>
        </w:r>
      </w:hyperlink>
    </w:p>
    <w:p w14:paraId="1CD8FF8B" w14:textId="0D1B1E04" w:rsidR="007537A8" w:rsidRDefault="00091FED">
      <w:pPr>
        <w:pStyle w:val="Verzeichnis5"/>
        <w:tabs>
          <w:tab w:val="right" w:leader="dot" w:pos="7361"/>
        </w:tabs>
        <w:rPr>
          <w:rFonts w:eastAsiaTheme="minorEastAsia"/>
          <w:noProof/>
          <w:sz w:val="22"/>
          <w:szCs w:val="22"/>
          <w:lang w:eastAsia="de-DE"/>
        </w:rPr>
      </w:pPr>
      <w:hyperlink w:anchor="_Toc22133371" w:history="1">
        <w:r w:rsidR="007537A8" w:rsidRPr="00A314F5">
          <w:rPr>
            <w:rStyle w:val="Hyperlink"/>
            <w:noProof/>
          </w:rPr>
          <w:t>IV. Passive Prozessführungsbefugnis</w:t>
        </w:r>
        <w:r w:rsidR="007537A8">
          <w:rPr>
            <w:noProof/>
            <w:webHidden/>
          </w:rPr>
          <w:tab/>
        </w:r>
        <w:r w:rsidR="007537A8">
          <w:rPr>
            <w:noProof/>
            <w:webHidden/>
          </w:rPr>
          <w:fldChar w:fldCharType="begin"/>
        </w:r>
        <w:r w:rsidR="007537A8">
          <w:rPr>
            <w:noProof/>
            <w:webHidden/>
          </w:rPr>
          <w:instrText xml:space="preserve"> PAGEREF _Toc22133371 \h </w:instrText>
        </w:r>
        <w:r w:rsidR="007537A8">
          <w:rPr>
            <w:noProof/>
            <w:webHidden/>
          </w:rPr>
        </w:r>
        <w:r w:rsidR="007537A8">
          <w:rPr>
            <w:noProof/>
            <w:webHidden/>
          </w:rPr>
          <w:fldChar w:fldCharType="separate"/>
        </w:r>
        <w:r w:rsidR="007537A8">
          <w:rPr>
            <w:noProof/>
            <w:webHidden/>
          </w:rPr>
          <w:t>240</w:t>
        </w:r>
        <w:r w:rsidR="007537A8">
          <w:rPr>
            <w:noProof/>
            <w:webHidden/>
          </w:rPr>
          <w:fldChar w:fldCharType="end"/>
        </w:r>
      </w:hyperlink>
    </w:p>
    <w:p w14:paraId="4BD03E9A" w14:textId="24F23453" w:rsidR="007537A8" w:rsidRDefault="00091FED">
      <w:pPr>
        <w:pStyle w:val="Verzeichnis5"/>
        <w:tabs>
          <w:tab w:val="right" w:leader="dot" w:pos="7361"/>
        </w:tabs>
        <w:rPr>
          <w:rFonts w:eastAsiaTheme="minorEastAsia"/>
          <w:noProof/>
          <w:sz w:val="22"/>
          <w:szCs w:val="22"/>
          <w:lang w:eastAsia="de-DE"/>
        </w:rPr>
      </w:pPr>
      <w:hyperlink w:anchor="_Toc22133372" w:history="1">
        <w:r w:rsidR="007537A8" w:rsidRPr="00A314F5">
          <w:rPr>
            <w:rStyle w:val="Hyperlink"/>
            <w:noProof/>
          </w:rPr>
          <w:t>V. Beteiligungs- und Prozessfähigkeit</w:t>
        </w:r>
        <w:r w:rsidR="007537A8">
          <w:rPr>
            <w:noProof/>
            <w:webHidden/>
          </w:rPr>
          <w:tab/>
        </w:r>
        <w:r w:rsidR="007537A8">
          <w:rPr>
            <w:noProof/>
            <w:webHidden/>
          </w:rPr>
          <w:fldChar w:fldCharType="begin"/>
        </w:r>
        <w:r w:rsidR="007537A8">
          <w:rPr>
            <w:noProof/>
            <w:webHidden/>
          </w:rPr>
          <w:instrText xml:space="preserve"> PAGEREF _Toc22133372 \h </w:instrText>
        </w:r>
        <w:r w:rsidR="007537A8">
          <w:rPr>
            <w:noProof/>
            <w:webHidden/>
          </w:rPr>
        </w:r>
        <w:r w:rsidR="007537A8">
          <w:rPr>
            <w:noProof/>
            <w:webHidden/>
          </w:rPr>
          <w:fldChar w:fldCharType="separate"/>
        </w:r>
        <w:r w:rsidR="007537A8">
          <w:rPr>
            <w:noProof/>
            <w:webHidden/>
          </w:rPr>
          <w:t>240</w:t>
        </w:r>
        <w:r w:rsidR="007537A8">
          <w:rPr>
            <w:noProof/>
            <w:webHidden/>
          </w:rPr>
          <w:fldChar w:fldCharType="end"/>
        </w:r>
      </w:hyperlink>
    </w:p>
    <w:p w14:paraId="0EFE8240" w14:textId="5C4B91E4" w:rsidR="007537A8" w:rsidRDefault="00091FED">
      <w:pPr>
        <w:pStyle w:val="Verzeichnis5"/>
        <w:tabs>
          <w:tab w:val="right" w:leader="dot" w:pos="7361"/>
        </w:tabs>
        <w:rPr>
          <w:rFonts w:eastAsiaTheme="minorEastAsia"/>
          <w:noProof/>
          <w:sz w:val="22"/>
          <w:szCs w:val="22"/>
          <w:lang w:eastAsia="de-DE"/>
        </w:rPr>
      </w:pPr>
      <w:hyperlink w:anchor="_Toc22133373" w:history="1">
        <w:r w:rsidR="007537A8" w:rsidRPr="00A314F5">
          <w:rPr>
            <w:rStyle w:val="Hyperlink"/>
            <w:noProof/>
          </w:rPr>
          <w:t>VI. Ordnungsgemäßer Antrag</w:t>
        </w:r>
        <w:r w:rsidR="007537A8">
          <w:rPr>
            <w:noProof/>
            <w:webHidden/>
          </w:rPr>
          <w:tab/>
        </w:r>
        <w:r w:rsidR="007537A8">
          <w:rPr>
            <w:noProof/>
            <w:webHidden/>
          </w:rPr>
          <w:fldChar w:fldCharType="begin"/>
        </w:r>
        <w:r w:rsidR="007537A8">
          <w:rPr>
            <w:noProof/>
            <w:webHidden/>
          </w:rPr>
          <w:instrText xml:space="preserve"> PAGEREF _Toc22133373 \h </w:instrText>
        </w:r>
        <w:r w:rsidR="007537A8">
          <w:rPr>
            <w:noProof/>
            <w:webHidden/>
          </w:rPr>
        </w:r>
        <w:r w:rsidR="007537A8">
          <w:rPr>
            <w:noProof/>
            <w:webHidden/>
          </w:rPr>
          <w:fldChar w:fldCharType="separate"/>
        </w:r>
        <w:r w:rsidR="007537A8">
          <w:rPr>
            <w:noProof/>
            <w:webHidden/>
          </w:rPr>
          <w:t>240</w:t>
        </w:r>
        <w:r w:rsidR="007537A8">
          <w:rPr>
            <w:noProof/>
            <w:webHidden/>
          </w:rPr>
          <w:fldChar w:fldCharType="end"/>
        </w:r>
      </w:hyperlink>
    </w:p>
    <w:p w14:paraId="54D77EBB" w14:textId="7404C396" w:rsidR="007537A8" w:rsidRDefault="00091FED">
      <w:pPr>
        <w:pStyle w:val="Verzeichnis5"/>
        <w:tabs>
          <w:tab w:val="right" w:leader="dot" w:pos="7361"/>
        </w:tabs>
        <w:rPr>
          <w:rFonts w:eastAsiaTheme="minorEastAsia"/>
          <w:noProof/>
          <w:sz w:val="22"/>
          <w:szCs w:val="22"/>
          <w:lang w:eastAsia="de-DE"/>
        </w:rPr>
      </w:pPr>
      <w:hyperlink w:anchor="_Toc22133374" w:history="1">
        <w:r w:rsidR="007537A8" w:rsidRPr="00A314F5">
          <w:rPr>
            <w:rStyle w:val="Hyperlink"/>
            <w:noProof/>
          </w:rPr>
          <w:t>VII. Allgemeines Rechtsschutzbedürfnis</w:t>
        </w:r>
        <w:r w:rsidR="007537A8">
          <w:rPr>
            <w:noProof/>
            <w:webHidden/>
          </w:rPr>
          <w:tab/>
        </w:r>
        <w:r w:rsidR="007537A8">
          <w:rPr>
            <w:noProof/>
            <w:webHidden/>
          </w:rPr>
          <w:fldChar w:fldCharType="begin"/>
        </w:r>
        <w:r w:rsidR="007537A8">
          <w:rPr>
            <w:noProof/>
            <w:webHidden/>
          </w:rPr>
          <w:instrText xml:space="preserve"> PAGEREF _Toc22133374 \h </w:instrText>
        </w:r>
        <w:r w:rsidR="007537A8">
          <w:rPr>
            <w:noProof/>
            <w:webHidden/>
          </w:rPr>
        </w:r>
        <w:r w:rsidR="007537A8">
          <w:rPr>
            <w:noProof/>
            <w:webHidden/>
          </w:rPr>
          <w:fldChar w:fldCharType="separate"/>
        </w:r>
        <w:r w:rsidR="007537A8">
          <w:rPr>
            <w:noProof/>
            <w:webHidden/>
          </w:rPr>
          <w:t>240</w:t>
        </w:r>
        <w:r w:rsidR="007537A8">
          <w:rPr>
            <w:noProof/>
            <w:webHidden/>
          </w:rPr>
          <w:fldChar w:fldCharType="end"/>
        </w:r>
      </w:hyperlink>
    </w:p>
    <w:p w14:paraId="6A25AF96" w14:textId="011D7549" w:rsidR="007537A8" w:rsidRDefault="00091FED">
      <w:pPr>
        <w:pStyle w:val="Verzeichnis5"/>
        <w:tabs>
          <w:tab w:val="right" w:leader="dot" w:pos="7361"/>
        </w:tabs>
        <w:rPr>
          <w:rFonts w:eastAsiaTheme="minorEastAsia"/>
          <w:noProof/>
          <w:sz w:val="22"/>
          <w:szCs w:val="22"/>
          <w:lang w:eastAsia="de-DE"/>
        </w:rPr>
      </w:pPr>
      <w:hyperlink w:anchor="_Toc22133375" w:history="1">
        <w:r w:rsidR="007537A8" w:rsidRPr="00A314F5">
          <w:rPr>
            <w:rStyle w:val="Hyperlink"/>
            <w:noProof/>
          </w:rPr>
          <w:t>VIII. Zwischenergebnis</w:t>
        </w:r>
        <w:r w:rsidR="007537A8">
          <w:rPr>
            <w:noProof/>
            <w:webHidden/>
          </w:rPr>
          <w:tab/>
        </w:r>
        <w:r w:rsidR="007537A8">
          <w:rPr>
            <w:noProof/>
            <w:webHidden/>
          </w:rPr>
          <w:fldChar w:fldCharType="begin"/>
        </w:r>
        <w:r w:rsidR="007537A8">
          <w:rPr>
            <w:noProof/>
            <w:webHidden/>
          </w:rPr>
          <w:instrText xml:space="preserve"> PAGEREF _Toc22133375 \h </w:instrText>
        </w:r>
        <w:r w:rsidR="007537A8">
          <w:rPr>
            <w:noProof/>
            <w:webHidden/>
          </w:rPr>
        </w:r>
        <w:r w:rsidR="007537A8">
          <w:rPr>
            <w:noProof/>
            <w:webHidden/>
          </w:rPr>
          <w:fldChar w:fldCharType="separate"/>
        </w:r>
        <w:r w:rsidR="007537A8">
          <w:rPr>
            <w:noProof/>
            <w:webHidden/>
          </w:rPr>
          <w:t>240</w:t>
        </w:r>
        <w:r w:rsidR="007537A8">
          <w:rPr>
            <w:noProof/>
            <w:webHidden/>
          </w:rPr>
          <w:fldChar w:fldCharType="end"/>
        </w:r>
      </w:hyperlink>
    </w:p>
    <w:p w14:paraId="42CDFDA9" w14:textId="4CE5DB4E" w:rsidR="007537A8" w:rsidRDefault="00091FED">
      <w:pPr>
        <w:pStyle w:val="Verzeichnis4"/>
        <w:tabs>
          <w:tab w:val="right" w:leader="dot" w:pos="7361"/>
        </w:tabs>
        <w:rPr>
          <w:rFonts w:eastAsiaTheme="minorEastAsia"/>
          <w:noProof/>
          <w:sz w:val="22"/>
          <w:szCs w:val="22"/>
          <w:lang w:eastAsia="de-DE"/>
        </w:rPr>
      </w:pPr>
      <w:hyperlink w:anchor="_Toc22133376" w:history="1">
        <w:r w:rsidR="007537A8" w:rsidRPr="00A314F5">
          <w:rPr>
            <w:rStyle w:val="Hyperlink"/>
            <w:noProof/>
          </w:rPr>
          <w:t>B. Beiladung</w:t>
        </w:r>
        <w:r w:rsidR="007537A8">
          <w:rPr>
            <w:noProof/>
            <w:webHidden/>
          </w:rPr>
          <w:tab/>
        </w:r>
        <w:r w:rsidR="007537A8">
          <w:rPr>
            <w:noProof/>
            <w:webHidden/>
          </w:rPr>
          <w:fldChar w:fldCharType="begin"/>
        </w:r>
        <w:r w:rsidR="007537A8">
          <w:rPr>
            <w:noProof/>
            <w:webHidden/>
          </w:rPr>
          <w:instrText xml:space="preserve"> PAGEREF _Toc22133376 \h </w:instrText>
        </w:r>
        <w:r w:rsidR="007537A8">
          <w:rPr>
            <w:noProof/>
            <w:webHidden/>
          </w:rPr>
        </w:r>
        <w:r w:rsidR="007537A8">
          <w:rPr>
            <w:noProof/>
            <w:webHidden/>
          </w:rPr>
          <w:fldChar w:fldCharType="separate"/>
        </w:r>
        <w:r w:rsidR="007537A8">
          <w:rPr>
            <w:noProof/>
            <w:webHidden/>
          </w:rPr>
          <w:t>241</w:t>
        </w:r>
        <w:r w:rsidR="007537A8">
          <w:rPr>
            <w:noProof/>
            <w:webHidden/>
          </w:rPr>
          <w:fldChar w:fldCharType="end"/>
        </w:r>
      </w:hyperlink>
    </w:p>
    <w:p w14:paraId="73891302" w14:textId="14943FFC" w:rsidR="007537A8" w:rsidRDefault="00091FED">
      <w:pPr>
        <w:pStyle w:val="Verzeichnis4"/>
        <w:tabs>
          <w:tab w:val="right" w:leader="dot" w:pos="7361"/>
        </w:tabs>
        <w:rPr>
          <w:rFonts w:eastAsiaTheme="minorEastAsia"/>
          <w:noProof/>
          <w:sz w:val="22"/>
          <w:szCs w:val="22"/>
          <w:lang w:eastAsia="de-DE"/>
        </w:rPr>
      </w:pPr>
      <w:hyperlink w:anchor="_Toc22133377" w:history="1">
        <w:r w:rsidR="007537A8" w:rsidRPr="00A314F5">
          <w:rPr>
            <w:rStyle w:val="Hyperlink"/>
            <w:noProof/>
          </w:rPr>
          <w:t>C. Begründetheit</w:t>
        </w:r>
        <w:r w:rsidR="007537A8">
          <w:rPr>
            <w:noProof/>
            <w:webHidden/>
          </w:rPr>
          <w:tab/>
        </w:r>
        <w:r w:rsidR="007537A8">
          <w:rPr>
            <w:noProof/>
            <w:webHidden/>
          </w:rPr>
          <w:fldChar w:fldCharType="begin"/>
        </w:r>
        <w:r w:rsidR="007537A8">
          <w:rPr>
            <w:noProof/>
            <w:webHidden/>
          </w:rPr>
          <w:instrText xml:space="preserve"> PAGEREF _Toc22133377 \h </w:instrText>
        </w:r>
        <w:r w:rsidR="007537A8">
          <w:rPr>
            <w:noProof/>
            <w:webHidden/>
          </w:rPr>
        </w:r>
        <w:r w:rsidR="007537A8">
          <w:rPr>
            <w:noProof/>
            <w:webHidden/>
          </w:rPr>
          <w:fldChar w:fldCharType="separate"/>
        </w:r>
        <w:r w:rsidR="007537A8">
          <w:rPr>
            <w:noProof/>
            <w:webHidden/>
          </w:rPr>
          <w:t>241</w:t>
        </w:r>
        <w:r w:rsidR="007537A8">
          <w:rPr>
            <w:noProof/>
            <w:webHidden/>
          </w:rPr>
          <w:fldChar w:fldCharType="end"/>
        </w:r>
      </w:hyperlink>
    </w:p>
    <w:p w14:paraId="6CAB3307" w14:textId="649E22E9" w:rsidR="007537A8" w:rsidRDefault="00091FED">
      <w:pPr>
        <w:pStyle w:val="Verzeichnis5"/>
        <w:tabs>
          <w:tab w:val="right" w:leader="dot" w:pos="7361"/>
        </w:tabs>
        <w:rPr>
          <w:rFonts w:eastAsiaTheme="minorEastAsia"/>
          <w:noProof/>
          <w:sz w:val="22"/>
          <w:szCs w:val="22"/>
          <w:lang w:eastAsia="de-DE"/>
        </w:rPr>
      </w:pPr>
      <w:hyperlink w:anchor="_Toc22133378" w:history="1">
        <w:r w:rsidR="007537A8" w:rsidRPr="00A314F5">
          <w:rPr>
            <w:rStyle w:val="Hyperlink"/>
            <w:noProof/>
          </w:rPr>
          <w:t>I. Anordnungsgrund</w:t>
        </w:r>
        <w:r w:rsidR="007537A8">
          <w:rPr>
            <w:noProof/>
            <w:webHidden/>
          </w:rPr>
          <w:tab/>
        </w:r>
        <w:r w:rsidR="007537A8">
          <w:rPr>
            <w:noProof/>
            <w:webHidden/>
          </w:rPr>
          <w:fldChar w:fldCharType="begin"/>
        </w:r>
        <w:r w:rsidR="007537A8">
          <w:rPr>
            <w:noProof/>
            <w:webHidden/>
          </w:rPr>
          <w:instrText xml:space="preserve"> PAGEREF _Toc22133378 \h </w:instrText>
        </w:r>
        <w:r w:rsidR="007537A8">
          <w:rPr>
            <w:noProof/>
            <w:webHidden/>
          </w:rPr>
        </w:r>
        <w:r w:rsidR="007537A8">
          <w:rPr>
            <w:noProof/>
            <w:webHidden/>
          </w:rPr>
          <w:fldChar w:fldCharType="separate"/>
        </w:r>
        <w:r w:rsidR="007537A8">
          <w:rPr>
            <w:noProof/>
            <w:webHidden/>
          </w:rPr>
          <w:t>241</w:t>
        </w:r>
        <w:r w:rsidR="007537A8">
          <w:rPr>
            <w:noProof/>
            <w:webHidden/>
          </w:rPr>
          <w:fldChar w:fldCharType="end"/>
        </w:r>
      </w:hyperlink>
    </w:p>
    <w:p w14:paraId="7ED184C2" w14:textId="0A15C4FF" w:rsidR="007537A8" w:rsidRDefault="00091FED">
      <w:pPr>
        <w:pStyle w:val="Verzeichnis5"/>
        <w:tabs>
          <w:tab w:val="right" w:leader="dot" w:pos="7361"/>
        </w:tabs>
        <w:rPr>
          <w:rFonts w:eastAsiaTheme="minorEastAsia"/>
          <w:noProof/>
          <w:sz w:val="22"/>
          <w:szCs w:val="22"/>
          <w:lang w:eastAsia="de-DE"/>
        </w:rPr>
      </w:pPr>
      <w:hyperlink w:anchor="_Toc22133379" w:history="1">
        <w:r w:rsidR="007537A8" w:rsidRPr="00A314F5">
          <w:rPr>
            <w:rStyle w:val="Hyperlink"/>
            <w:noProof/>
          </w:rPr>
          <w:t>II. Anordnungsanspruch</w:t>
        </w:r>
        <w:r w:rsidR="007537A8">
          <w:rPr>
            <w:noProof/>
            <w:webHidden/>
          </w:rPr>
          <w:tab/>
        </w:r>
        <w:r w:rsidR="007537A8">
          <w:rPr>
            <w:noProof/>
            <w:webHidden/>
          </w:rPr>
          <w:fldChar w:fldCharType="begin"/>
        </w:r>
        <w:r w:rsidR="007537A8">
          <w:rPr>
            <w:noProof/>
            <w:webHidden/>
          </w:rPr>
          <w:instrText xml:space="preserve"> PAGEREF _Toc22133379 \h </w:instrText>
        </w:r>
        <w:r w:rsidR="007537A8">
          <w:rPr>
            <w:noProof/>
            <w:webHidden/>
          </w:rPr>
        </w:r>
        <w:r w:rsidR="007537A8">
          <w:rPr>
            <w:noProof/>
            <w:webHidden/>
          </w:rPr>
          <w:fldChar w:fldCharType="separate"/>
        </w:r>
        <w:r w:rsidR="007537A8">
          <w:rPr>
            <w:noProof/>
            <w:webHidden/>
          </w:rPr>
          <w:t>241</w:t>
        </w:r>
        <w:r w:rsidR="007537A8">
          <w:rPr>
            <w:noProof/>
            <w:webHidden/>
          </w:rPr>
          <w:fldChar w:fldCharType="end"/>
        </w:r>
      </w:hyperlink>
    </w:p>
    <w:p w14:paraId="46DEF200" w14:textId="2FEDEC34" w:rsidR="007537A8" w:rsidRDefault="00091FED">
      <w:pPr>
        <w:pStyle w:val="Verzeichnis6"/>
        <w:tabs>
          <w:tab w:val="right" w:leader="dot" w:pos="7361"/>
        </w:tabs>
        <w:rPr>
          <w:noProof/>
          <w:sz w:val="22"/>
          <w:szCs w:val="22"/>
          <w:lang w:eastAsia="de-DE"/>
        </w:rPr>
      </w:pPr>
      <w:hyperlink w:anchor="_Toc22133380" w:history="1">
        <w:r w:rsidR="007537A8" w:rsidRPr="00A314F5">
          <w:rPr>
            <w:rStyle w:val="Hyperlink"/>
            <w:noProof/>
          </w:rPr>
          <w:t>1. Anspruchsgrundlage</w:t>
        </w:r>
        <w:r w:rsidR="007537A8">
          <w:rPr>
            <w:noProof/>
            <w:webHidden/>
          </w:rPr>
          <w:tab/>
        </w:r>
        <w:r w:rsidR="007537A8">
          <w:rPr>
            <w:noProof/>
            <w:webHidden/>
          </w:rPr>
          <w:fldChar w:fldCharType="begin"/>
        </w:r>
        <w:r w:rsidR="007537A8">
          <w:rPr>
            <w:noProof/>
            <w:webHidden/>
          </w:rPr>
          <w:instrText xml:space="preserve"> PAGEREF _Toc22133380 \h </w:instrText>
        </w:r>
        <w:r w:rsidR="007537A8">
          <w:rPr>
            <w:noProof/>
            <w:webHidden/>
          </w:rPr>
        </w:r>
        <w:r w:rsidR="007537A8">
          <w:rPr>
            <w:noProof/>
            <w:webHidden/>
          </w:rPr>
          <w:fldChar w:fldCharType="separate"/>
        </w:r>
        <w:r w:rsidR="007537A8">
          <w:rPr>
            <w:noProof/>
            <w:webHidden/>
          </w:rPr>
          <w:t>241</w:t>
        </w:r>
        <w:r w:rsidR="007537A8">
          <w:rPr>
            <w:noProof/>
            <w:webHidden/>
          </w:rPr>
          <w:fldChar w:fldCharType="end"/>
        </w:r>
      </w:hyperlink>
    </w:p>
    <w:p w14:paraId="71F6B6A6" w14:textId="3129D426" w:rsidR="007537A8" w:rsidRDefault="00091FED">
      <w:pPr>
        <w:pStyle w:val="Verzeichnis6"/>
        <w:tabs>
          <w:tab w:val="right" w:leader="dot" w:pos="7361"/>
        </w:tabs>
        <w:rPr>
          <w:noProof/>
          <w:sz w:val="22"/>
          <w:szCs w:val="22"/>
          <w:lang w:eastAsia="de-DE"/>
        </w:rPr>
      </w:pPr>
      <w:hyperlink w:anchor="_Toc22133381" w:history="1">
        <w:r w:rsidR="007537A8" w:rsidRPr="00A314F5">
          <w:rPr>
            <w:rStyle w:val="Hyperlink"/>
            <w:noProof/>
          </w:rPr>
          <w:t>2. Formelle Anspruchsvoraussetzungen</w:t>
        </w:r>
        <w:r w:rsidR="007537A8">
          <w:rPr>
            <w:noProof/>
            <w:webHidden/>
          </w:rPr>
          <w:tab/>
        </w:r>
        <w:r w:rsidR="007537A8">
          <w:rPr>
            <w:noProof/>
            <w:webHidden/>
          </w:rPr>
          <w:fldChar w:fldCharType="begin"/>
        </w:r>
        <w:r w:rsidR="007537A8">
          <w:rPr>
            <w:noProof/>
            <w:webHidden/>
          </w:rPr>
          <w:instrText xml:space="preserve"> PAGEREF _Toc22133381 \h </w:instrText>
        </w:r>
        <w:r w:rsidR="007537A8">
          <w:rPr>
            <w:noProof/>
            <w:webHidden/>
          </w:rPr>
        </w:r>
        <w:r w:rsidR="007537A8">
          <w:rPr>
            <w:noProof/>
            <w:webHidden/>
          </w:rPr>
          <w:fldChar w:fldCharType="separate"/>
        </w:r>
        <w:r w:rsidR="007537A8">
          <w:rPr>
            <w:noProof/>
            <w:webHidden/>
          </w:rPr>
          <w:t>241</w:t>
        </w:r>
        <w:r w:rsidR="007537A8">
          <w:rPr>
            <w:noProof/>
            <w:webHidden/>
          </w:rPr>
          <w:fldChar w:fldCharType="end"/>
        </w:r>
      </w:hyperlink>
    </w:p>
    <w:p w14:paraId="20C9F78A" w14:textId="5841EAB2" w:rsidR="007537A8" w:rsidRDefault="00091FED">
      <w:pPr>
        <w:pStyle w:val="Verzeichnis6"/>
        <w:tabs>
          <w:tab w:val="right" w:leader="dot" w:pos="7361"/>
        </w:tabs>
        <w:rPr>
          <w:noProof/>
          <w:sz w:val="22"/>
          <w:szCs w:val="22"/>
          <w:lang w:eastAsia="de-DE"/>
        </w:rPr>
      </w:pPr>
      <w:hyperlink w:anchor="_Toc22133382" w:history="1">
        <w:r w:rsidR="007537A8" w:rsidRPr="00A314F5">
          <w:rPr>
            <w:rStyle w:val="Hyperlink"/>
            <w:noProof/>
          </w:rPr>
          <w:t>3. Materielle Anspruchsvoraussetzungen</w:t>
        </w:r>
        <w:r w:rsidR="007537A8">
          <w:rPr>
            <w:noProof/>
            <w:webHidden/>
          </w:rPr>
          <w:tab/>
        </w:r>
        <w:r w:rsidR="007537A8">
          <w:rPr>
            <w:noProof/>
            <w:webHidden/>
          </w:rPr>
          <w:fldChar w:fldCharType="begin"/>
        </w:r>
        <w:r w:rsidR="007537A8">
          <w:rPr>
            <w:noProof/>
            <w:webHidden/>
          </w:rPr>
          <w:instrText xml:space="preserve"> PAGEREF _Toc22133382 \h </w:instrText>
        </w:r>
        <w:r w:rsidR="007537A8">
          <w:rPr>
            <w:noProof/>
            <w:webHidden/>
          </w:rPr>
        </w:r>
        <w:r w:rsidR="007537A8">
          <w:rPr>
            <w:noProof/>
            <w:webHidden/>
          </w:rPr>
          <w:fldChar w:fldCharType="separate"/>
        </w:r>
        <w:r w:rsidR="007537A8">
          <w:rPr>
            <w:noProof/>
            <w:webHidden/>
          </w:rPr>
          <w:t>242</w:t>
        </w:r>
        <w:r w:rsidR="007537A8">
          <w:rPr>
            <w:noProof/>
            <w:webHidden/>
          </w:rPr>
          <w:fldChar w:fldCharType="end"/>
        </w:r>
      </w:hyperlink>
    </w:p>
    <w:p w14:paraId="7F2A3F12" w14:textId="0629ACA4" w:rsidR="007537A8" w:rsidRDefault="00091FED">
      <w:pPr>
        <w:pStyle w:val="Verzeichnis7"/>
        <w:tabs>
          <w:tab w:val="right" w:leader="dot" w:pos="7361"/>
        </w:tabs>
        <w:rPr>
          <w:noProof/>
          <w:sz w:val="22"/>
          <w:szCs w:val="22"/>
          <w:lang w:eastAsia="de-DE"/>
        </w:rPr>
      </w:pPr>
      <w:hyperlink w:anchor="_Toc22133383" w:history="1">
        <w:r w:rsidR="007537A8" w:rsidRPr="00A314F5">
          <w:rPr>
            <w:rStyle w:val="Hyperlink"/>
            <w:noProof/>
          </w:rPr>
          <w:t>a) Tatbestand</w:t>
        </w:r>
        <w:r w:rsidR="007537A8">
          <w:rPr>
            <w:noProof/>
            <w:webHidden/>
          </w:rPr>
          <w:tab/>
        </w:r>
        <w:r w:rsidR="007537A8">
          <w:rPr>
            <w:noProof/>
            <w:webHidden/>
          </w:rPr>
          <w:fldChar w:fldCharType="begin"/>
        </w:r>
        <w:r w:rsidR="007537A8">
          <w:rPr>
            <w:noProof/>
            <w:webHidden/>
          </w:rPr>
          <w:instrText xml:space="preserve"> PAGEREF _Toc22133383 \h </w:instrText>
        </w:r>
        <w:r w:rsidR="007537A8">
          <w:rPr>
            <w:noProof/>
            <w:webHidden/>
          </w:rPr>
        </w:r>
        <w:r w:rsidR="007537A8">
          <w:rPr>
            <w:noProof/>
            <w:webHidden/>
          </w:rPr>
          <w:fldChar w:fldCharType="separate"/>
        </w:r>
        <w:r w:rsidR="007537A8">
          <w:rPr>
            <w:noProof/>
            <w:webHidden/>
          </w:rPr>
          <w:t>242</w:t>
        </w:r>
        <w:r w:rsidR="007537A8">
          <w:rPr>
            <w:noProof/>
            <w:webHidden/>
          </w:rPr>
          <w:fldChar w:fldCharType="end"/>
        </w:r>
      </w:hyperlink>
    </w:p>
    <w:p w14:paraId="12C2A2DB" w14:textId="3CD72077" w:rsidR="007537A8" w:rsidRDefault="00091FED">
      <w:pPr>
        <w:pStyle w:val="Verzeichnis7"/>
        <w:tabs>
          <w:tab w:val="right" w:leader="dot" w:pos="7361"/>
        </w:tabs>
        <w:rPr>
          <w:noProof/>
          <w:sz w:val="22"/>
          <w:szCs w:val="22"/>
          <w:lang w:eastAsia="de-DE"/>
        </w:rPr>
      </w:pPr>
      <w:hyperlink w:anchor="_Toc22133384" w:history="1">
        <w:r w:rsidR="007537A8" w:rsidRPr="00A314F5">
          <w:rPr>
            <w:rStyle w:val="Hyperlink"/>
            <w:noProof/>
          </w:rPr>
          <w:t>b) Rechtsfolge</w:t>
        </w:r>
        <w:r w:rsidR="007537A8">
          <w:rPr>
            <w:noProof/>
            <w:webHidden/>
          </w:rPr>
          <w:tab/>
        </w:r>
        <w:r w:rsidR="007537A8">
          <w:rPr>
            <w:noProof/>
            <w:webHidden/>
          </w:rPr>
          <w:fldChar w:fldCharType="begin"/>
        </w:r>
        <w:r w:rsidR="007537A8">
          <w:rPr>
            <w:noProof/>
            <w:webHidden/>
          </w:rPr>
          <w:instrText xml:space="preserve"> PAGEREF _Toc22133384 \h </w:instrText>
        </w:r>
        <w:r w:rsidR="007537A8">
          <w:rPr>
            <w:noProof/>
            <w:webHidden/>
          </w:rPr>
        </w:r>
        <w:r w:rsidR="007537A8">
          <w:rPr>
            <w:noProof/>
            <w:webHidden/>
          </w:rPr>
          <w:fldChar w:fldCharType="separate"/>
        </w:r>
        <w:r w:rsidR="007537A8">
          <w:rPr>
            <w:noProof/>
            <w:webHidden/>
          </w:rPr>
          <w:t>242</w:t>
        </w:r>
        <w:r w:rsidR="007537A8">
          <w:rPr>
            <w:noProof/>
            <w:webHidden/>
          </w:rPr>
          <w:fldChar w:fldCharType="end"/>
        </w:r>
      </w:hyperlink>
    </w:p>
    <w:p w14:paraId="4FEE7536" w14:textId="090563F5" w:rsidR="007537A8" w:rsidRDefault="00091FED">
      <w:pPr>
        <w:pStyle w:val="Verzeichnis8"/>
        <w:tabs>
          <w:tab w:val="right" w:leader="dot" w:pos="7361"/>
        </w:tabs>
        <w:rPr>
          <w:noProof/>
          <w:sz w:val="22"/>
          <w:szCs w:val="22"/>
          <w:lang w:eastAsia="de-DE"/>
        </w:rPr>
      </w:pPr>
      <w:hyperlink w:anchor="_Toc22133385" w:history="1">
        <w:r w:rsidR="007537A8" w:rsidRPr="00A314F5">
          <w:rPr>
            <w:rStyle w:val="Hyperlink"/>
            <w:noProof/>
          </w:rPr>
          <w:t>aa) Erfüllung (Zumutbarkeit des angebotenen Platzes)</w:t>
        </w:r>
        <w:r w:rsidR="007537A8">
          <w:rPr>
            <w:noProof/>
            <w:webHidden/>
          </w:rPr>
          <w:tab/>
        </w:r>
        <w:r w:rsidR="007537A8">
          <w:rPr>
            <w:noProof/>
            <w:webHidden/>
          </w:rPr>
          <w:fldChar w:fldCharType="begin"/>
        </w:r>
        <w:r w:rsidR="007537A8">
          <w:rPr>
            <w:noProof/>
            <w:webHidden/>
          </w:rPr>
          <w:instrText xml:space="preserve"> PAGEREF _Toc22133385 \h </w:instrText>
        </w:r>
        <w:r w:rsidR="007537A8">
          <w:rPr>
            <w:noProof/>
            <w:webHidden/>
          </w:rPr>
        </w:r>
        <w:r w:rsidR="007537A8">
          <w:rPr>
            <w:noProof/>
            <w:webHidden/>
          </w:rPr>
          <w:fldChar w:fldCharType="separate"/>
        </w:r>
        <w:r w:rsidR="007537A8">
          <w:rPr>
            <w:noProof/>
            <w:webHidden/>
          </w:rPr>
          <w:t>242</w:t>
        </w:r>
        <w:r w:rsidR="007537A8">
          <w:rPr>
            <w:noProof/>
            <w:webHidden/>
          </w:rPr>
          <w:fldChar w:fldCharType="end"/>
        </w:r>
      </w:hyperlink>
    </w:p>
    <w:p w14:paraId="0A1387AA" w14:textId="02995D61" w:rsidR="007537A8" w:rsidRDefault="00091FED">
      <w:pPr>
        <w:pStyle w:val="Verzeichnis8"/>
        <w:tabs>
          <w:tab w:val="right" w:leader="dot" w:pos="7361"/>
        </w:tabs>
        <w:rPr>
          <w:noProof/>
          <w:sz w:val="22"/>
          <w:szCs w:val="22"/>
          <w:lang w:eastAsia="de-DE"/>
        </w:rPr>
      </w:pPr>
      <w:hyperlink w:anchor="_Toc22133386" w:history="1">
        <w:r w:rsidR="007537A8" w:rsidRPr="00A314F5">
          <w:rPr>
            <w:rStyle w:val="Hyperlink"/>
            <w:noProof/>
          </w:rPr>
          <w:t>bb) Zugriff auf Einrichtungen verschiedener Träger, Wunsch- und Wahlrecht</w:t>
        </w:r>
        <w:r w:rsidR="007537A8">
          <w:rPr>
            <w:noProof/>
            <w:webHidden/>
          </w:rPr>
          <w:tab/>
        </w:r>
        <w:r w:rsidR="007537A8">
          <w:rPr>
            <w:noProof/>
            <w:webHidden/>
          </w:rPr>
          <w:fldChar w:fldCharType="begin"/>
        </w:r>
        <w:r w:rsidR="007537A8">
          <w:rPr>
            <w:noProof/>
            <w:webHidden/>
          </w:rPr>
          <w:instrText xml:space="preserve"> PAGEREF _Toc22133386 \h </w:instrText>
        </w:r>
        <w:r w:rsidR="007537A8">
          <w:rPr>
            <w:noProof/>
            <w:webHidden/>
          </w:rPr>
        </w:r>
        <w:r w:rsidR="007537A8">
          <w:rPr>
            <w:noProof/>
            <w:webHidden/>
          </w:rPr>
          <w:fldChar w:fldCharType="separate"/>
        </w:r>
        <w:r w:rsidR="007537A8">
          <w:rPr>
            <w:noProof/>
            <w:webHidden/>
          </w:rPr>
          <w:t>242</w:t>
        </w:r>
        <w:r w:rsidR="007537A8">
          <w:rPr>
            <w:noProof/>
            <w:webHidden/>
          </w:rPr>
          <w:fldChar w:fldCharType="end"/>
        </w:r>
      </w:hyperlink>
    </w:p>
    <w:p w14:paraId="2A483F94" w14:textId="78A94884" w:rsidR="007537A8" w:rsidRDefault="00091FED">
      <w:pPr>
        <w:pStyle w:val="Verzeichnis8"/>
        <w:tabs>
          <w:tab w:val="right" w:leader="dot" w:pos="7361"/>
        </w:tabs>
        <w:rPr>
          <w:noProof/>
          <w:sz w:val="22"/>
          <w:szCs w:val="22"/>
          <w:lang w:eastAsia="de-DE"/>
        </w:rPr>
      </w:pPr>
      <w:hyperlink w:anchor="_Toc22133387" w:history="1">
        <w:r w:rsidR="007537A8" w:rsidRPr="00A314F5">
          <w:rPr>
            <w:rStyle w:val="Hyperlink"/>
            <w:noProof/>
          </w:rPr>
          <w:t>cc) Einwand der Unmöglichkeit, Anspruch auf Kapazitätserweiterung</w:t>
        </w:r>
        <w:r w:rsidR="007537A8">
          <w:rPr>
            <w:noProof/>
            <w:webHidden/>
          </w:rPr>
          <w:tab/>
        </w:r>
        <w:r w:rsidR="007537A8">
          <w:rPr>
            <w:noProof/>
            <w:webHidden/>
          </w:rPr>
          <w:fldChar w:fldCharType="begin"/>
        </w:r>
        <w:r w:rsidR="007537A8">
          <w:rPr>
            <w:noProof/>
            <w:webHidden/>
          </w:rPr>
          <w:instrText xml:space="preserve"> PAGEREF _Toc22133387 \h </w:instrText>
        </w:r>
        <w:r w:rsidR="007537A8">
          <w:rPr>
            <w:noProof/>
            <w:webHidden/>
          </w:rPr>
        </w:r>
        <w:r w:rsidR="007537A8">
          <w:rPr>
            <w:noProof/>
            <w:webHidden/>
          </w:rPr>
          <w:fldChar w:fldCharType="separate"/>
        </w:r>
        <w:r w:rsidR="007537A8">
          <w:rPr>
            <w:noProof/>
            <w:webHidden/>
          </w:rPr>
          <w:t>243</w:t>
        </w:r>
        <w:r w:rsidR="007537A8">
          <w:rPr>
            <w:noProof/>
            <w:webHidden/>
          </w:rPr>
          <w:fldChar w:fldCharType="end"/>
        </w:r>
      </w:hyperlink>
    </w:p>
    <w:p w14:paraId="30BBDACC" w14:textId="02FCECC5" w:rsidR="007537A8" w:rsidRDefault="00091FED">
      <w:pPr>
        <w:pStyle w:val="Verzeichnis8"/>
        <w:tabs>
          <w:tab w:val="right" w:leader="dot" w:pos="7361"/>
        </w:tabs>
        <w:rPr>
          <w:noProof/>
          <w:sz w:val="22"/>
          <w:szCs w:val="22"/>
          <w:lang w:eastAsia="de-DE"/>
        </w:rPr>
      </w:pPr>
      <w:hyperlink w:anchor="_Toc22133388" w:history="1">
        <w:r w:rsidR="007537A8" w:rsidRPr="00A314F5">
          <w:rPr>
            <w:rStyle w:val="Hyperlink"/>
            <w:noProof/>
          </w:rPr>
          <w:t>dd) Zwischenergebnis</w:t>
        </w:r>
        <w:r w:rsidR="007537A8">
          <w:rPr>
            <w:noProof/>
            <w:webHidden/>
          </w:rPr>
          <w:tab/>
        </w:r>
        <w:r w:rsidR="007537A8">
          <w:rPr>
            <w:noProof/>
            <w:webHidden/>
          </w:rPr>
          <w:fldChar w:fldCharType="begin"/>
        </w:r>
        <w:r w:rsidR="007537A8">
          <w:rPr>
            <w:noProof/>
            <w:webHidden/>
          </w:rPr>
          <w:instrText xml:space="preserve"> PAGEREF _Toc22133388 \h </w:instrText>
        </w:r>
        <w:r w:rsidR="007537A8">
          <w:rPr>
            <w:noProof/>
            <w:webHidden/>
          </w:rPr>
        </w:r>
        <w:r w:rsidR="007537A8">
          <w:rPr>
            <w:noProof/>
            <w:webHidden/>
          </w:rPr>
          <w:fldChar w:fldCharType="separate"/>
        </w:r>
        <w:r w:rsidR="007537A8">
          <w:rPr>
            <w:noProof/>
            <w:webHidden/>
          </w:rPr>
          <w:t>244</w:t>
        </w:r>
        <w:r w:rsidR="007537A8">
          <w:rPr>
            <w:noProof/>
            <w:webHidden/>
          </w:rPr>
          <w:fldChar w:fldCharType="end"/>
        </w:r>
      </w:hyperlink>
    </w:p>
    <w:p w14:paraId="31C58945" w14:textId="3B4D81CE" w:rsidR="007537A8" w:rsidRDefault="00091FED">
      <w:pPr>
        <w:pStyle w:val="Verzeichnis7"/>
        <w:tabs>
          <w:tab w:val="right" w:leader="dot" w:pos="7361"/>
        </w:tabs>
        <w:rPr>
          <w:noProof/>
          <w:sz w:val="22"/>
          <w:szCs w:val="22"/>
          <w:lang w:eastAsia="de-DE"/>
        </w:rPr>
      </w:pPr>
      <w:hyperlink w:anchor="_Toc22133389" w:history="1">
        <w:r w:rsidR="007537A8" w:rsidRPr="00A314F5">
          <w:rPr>
            <w:rStyle w:val="Hyperlink"/>
            <w:noProof/>
          </w:rPr>
          <w:t>c) Zwischenergebnis</w:t>
        </w:r>
        <w:r w:rsidR="007537A8">
          <w:rPr>
            <w:noProof/>
            <w:webHidden/>
          </w:rPr>
          <w:tab/>
        </w:r>
        <w:r w:rsidR="007537A8">
          <w:rPr>
            <w:noProof/>
            <w:webHidden/>
          </w:rPr>
          <w:fldChar w:fldCharType="begin"/>
        </w:r>
        <w:r w:rsidR="007537A8">
          <w:rPr>
            <w:noProof/>
            <w:webHidden/>
          </w:rPr>
          <w:instrText xml:space="preserve"> PAGEREF _Toc22133389 \h </w:instrText>
        </w:r>
        <w:r w:rsidR="007537A8">
          <w:rPr>
            <w:noProof/>
            <w:webHidden/>
          </w:rPr>
        </w:r>
        <w:r w:rsidR="007537A8">
          <w:rPr>
            <w:noProof/>
            <w:webHidden/>
          </w:rPr>
          <w:fldChar w:fldCharType="separate"/>
        </w:r>
        <w:r w:rsidR="007537A8">
          <w:rPr>
            <w:noProof/>
            <w:webHidden/>
          </w:rPr>
          <w:t>244</w:t>
        </w:r>
        <w:r w:rsidR="007537A8">
          <w:rPr>
            <w:noProof/>
            <w:webHidden/>
          </w:rPr>
          <w:fldChar w:fldCharType="end"/>
        </w:r>
      </w:hyperlink>
    </w:p>
    <w:p w14:paraId="022FE8A6" w14:textId="3C053C19" w:rsidR="007537A8" w:rsidRDefault="00091FED">
      <w:pPr>
        <w:pStyle w:val="Verzeichnis5"/>
        <w:tabs>
          <w:tab w:val="right" w:leader="dot" w:pos="7361"/>
        </w:tabs>
        <w:rPr>
          <w:rFonts w:eastAsiaTheme="minorEastAsia"/>
          <w:noProof/>
          <w:sz w:val="22"/>
          <w:szCs w:val="22"/>
          <w:lang w:eastAsia="de-DE"/>
        </w:rPr>
      </w:pPr>
      <w:hyperlink w:anchor="_Toc22133390" w:history="1">
        <w:r w:rsidR="007537A8" w:rsidRPr="00A314F5">
          <w:rPr>
            <w:rStyle w:val="Hyperlink"/>
            <w:noProof/>
          </w:rPr>
          <w:t>III. Keine Vorwegnahme der Hauptsache</w:t>
        </w:r>
        <w:r w:rsidR="007537A8">
          <w:rPr>
            <w:noProof/>
            <w:webHidden/>
          </w:rPr>
          <w:tab/>
        </w:r>
        <w:r w:rsidR="007537A8">
          <w:rPr>
            <w:noProof/>
            <w:webHidden/>
          </w:rPr>
          <w:fldChar w:fldCharType="begin"/>
        </w:r>
        <w:r w:rsidR="007537A8">
          <w:rPr>
            <w:noProof/>
            <w:webHidden/>
          </w:rPr>
          <w:instrText xml:space="preserve"> PAGEREF _Toc22133390 \h </w:instrText>
        </w:r>
        <w:r w:rsidR="007537A8">
          <w:rPr>
            <w:noProof/>
            <w:webHidden/>
          </w:rPr>
        </w:r>
        <w:r w:rsidR="007537A8">
          <w:rPr>
            <w:noProof/>
            <w:webHidden/>
          </w:rPr>
          <w:fldChar w:fldCharType="separate"/>
        </w:r>
        <w:r w:rsidR="007537A8">
          <w:rPr>
            <w:noProof/>
            <w:webHidden/>
          </w:rPr>
          <w:t>244</w:t>
        </w:r>
        <w:r w:rsidR="007537A8">
          <w:rPr>
            <w:noProof/>
            <w:webHidden/>
          </w:rPr>
          <w:fldChar w:fldCharType="end"/>
        </w:r>
      </w:hyperlink>
    </w:p>
    <w:p w14:paraId="02FCCDD9" w14:textId="7061BA93" w:rsidR="007537A8" w:rsidRDefault="00091FED">
      <w:pPr>
        <w:pStyle w:val="Verzeichnis4"/>
        <w:tabs>
          <w:tab w:val="right" w:leader="dot" w:pos="7361"/>
        </w:tabs>
        <w:rPr>
          <w:rFonts w:eastAsiaTheme="minorEastAsia"/>
          <w:noProof/>
          <w:sz w:val="22"/>
          <w:szCs w:val="22"/>
          <w:lang w:eastAsia="de-DE"/>
        </w:rPr>
      </w:pPr>
      <w:hyperlink w:anchor="_Toc22133391" w:history="1">
        <w:r w:rsidR="007537A8" w:rsidRPr="00A314F5">
          <w:rPr>
            <w:rStyle w:val="Hyperlink"/>
            <w:noProof/>
          </w:rPr>
          <w:t>D. Ergebnis</w:t>
        </w:r>
        <w:r w:rsidR="007537A8">
          <w:rPr>
            <w:noProof/>
            <w:webHidden/>
          </w:rPr>
          <w:tab/>
        </w:r>
        <w:r w:rsidR="007537A8">
          <w:rPr>
            <w:noProof/>
            <w:webHidden/>
          </w:rPr>
          <w:fldChar w:fldCharType="begin"/>
        </w:r>
        <w:r w:rsidR="007537A8">
          <w:rPr>
            <w:noProof/>
            <w:webHidden/>
          </w:rPr>
          <w:instrText xml:space="preserve"> PAGEREF _Toc22133391 \h </w:instrText>
        </w:r>
        <w:r w:rsidR="007537A8">
          <w:rPr>
            <w:noProof/>
            <w:webHidden/>
          </w:rPr>
        </w:r>
        <w:r w:rsidR="007537A8">
          <w:rPr>
            <w:noProof/>
            <w:webHidden/>
          </w:rPr>
          <w:fldChar w:fldCharType="separate"/>
        </w:r>
        <w:r w:rsidR="007537A8">
          <w:rPr>
            <w:noProof/>
            <w:webHidden/>
          </w:rPr>
          <w:t>245</w:t>
        </w:r>
        <w:r w:rsidR="007537A8">
          <w:rPr>
            <w:noProof/>
            <w:webHidden/>
          </w:rPr>
          <w:fldChar w:fldCharType="end"/>
        </w:r>
      </w:hyperlink>
    </w:p>
    <w:p w14:paraId="166A5F4A" w14:textId="3771B163" w:rsidR="0001383E" w:rsidRDefault="000434BF" w:rsidP="00261442">
      <w:pPr>
        <w:rPr>
          <w:rFonts w:ascii="Calibri" w:eastAsiaTheme="majorEastAsia" w:hAnsi="Calibri" w:cstheme="majorBidi"/>
          <w:sz w:val="26"/>
          <w:szCs w:val="26"/>
        </w:rPr>
      </w:pPr>
      <w:r>
        <w:rPr>
          <w:rFonts w:eastAsiaTheme="majorEastAsia"/>
        </w:rPr>
        <w:fldChar w:fldCharType="end"/>
      </w:r>
    </w:p>
    <w:p w14:paraId="3827A664" w14:textId="58E9A4F6" w:rsidR="007D1377" w:rsidRDefault="007D1377" w:rsidP="0001383E">
      <w:pPr>
        <w:pStyle w:val="berschrift3"/>
      </w:pPr>
      <w:bookmarkStart w:id="604" w:name="_Toc22133364"/>
      <w:bookmarkStart w:id="605" w:name="Fall15"/>
      <w:r w:rsidRPr="00250C2F">
        <w:t>Lösung</w:t>
      </w:r>
      <w:r w:rsidR="00250C2F">
        <w:t>svorschlag</w:t>
      </w:r>
      <w:bookmarkEnd w:id="604"/>
    </w:p>
    <w:p w14:paraId="5E3E3C0F" w14:textId="77777777" w:rsidR="00A512B6" w:rsidRPr="00A512B6" w:rsidRDefault="00A512B6" w:rsidP="00A512B6">
      <w:pPr>
        <w:pStyle w:val="Randnummer"/>
        <w:framePr w:wrap="around"/>
      </w:pPr>
    </w:p>
    <w:p w14:paraId="64272D3B" w14:textId="77777777" w:rsidR="007D1377" w:rsidRPr="007D1377" w:rsidRDefault="007D1377" w:rsidP="007D1377">
      <w:r w:rsidRPr="007D1377">
        <w:t>Der Antrag der F für ihre Tochter K hat Aussicht auf Erfolg, soweit er zulässig und begründet ist.</w:t>
      </w:r>
    </w:p>
    <w:p w14:paraId="4DFF27A5" w14:textId="77777777" w:rsidR="007D1377" w:rsidRPr="00250C2F" w:rsidRDefault="007D1377" w:rsidP="0077320D">
      <w:pPr>
        <w:pStyle w:val="berschrift4"/>
      </w:pPr>
      <w:bookmarkStart w:id="606" w:name="_Toc22133365"/>
      <w:r w:rsidRPr="00250C2F">
        <w:t>A. Zulässigkeit</w:t>
      </w:r>
      <w:bookmarkEnd w:id="606"/>
    </w:p>
    <w:p w14:paraId="50A0BE68" w14:textId="77777777" w:rsidR="007D1377" w:rsidRPr="00250C2F" w:rsidRDefault="007D1377" w:rsidP="0077320D">
      <w:pPr>
        <w:pStyle w:val="berschrift5"/>
      </w:pPr>
      <w:bookmarkStart w:id="607" w:name="_Toc22133366"/>
      <w:r w:rsidRPr="00250C2F">
        <w:t>I. Eröffnung des Verwaltungsrechtswegs</w:t>
      </w:r>
      <w:bookmarkEnd w:id="607"/>
    </w:p>
    <w:p w14:paraId="07454BC8" w14:textId="77777777" w:rsidR="007D1377" w:rsidRPr="007D1377" w:rsidRDefault="007D1377" w:rsidP="007D1377">
      <w:pPr>
        <w:pStyle w:val="Randnummer"/>
        <w:framePr w:wrap="around"/>
      </w:pPr>
    </w:p>
    <w:p w14:paraId="41B570FA" w14:textId="0878E225" w:rsidR="007D1377" w:rsidRPr="007D1377" w:rsidRDefault="007D1377" w:rsidP="007D1377">
      <w:r w:rsidRPr="007D1377">
        <w:t>Der Verwaltungsrechtsweg müsste eröffnet sein. Eine aufdrängende Sonderzuweisung ist nicht ersichtlich. Daher ist § 40 I 1 VwGO maßgeblich. Danach müsste zunächst eine öffentlich-rechtliche Streitigkeit vorliegen. Gestritten wird um die Zuweisung eines Platzes in einer Kindertageseinrichtung oder Kindertagespflege. Dieser Anspruch richtet sich nach § 24 II SGB VIII. Dabei handelt es sich um Sozialverwaltungsrecht und damit öffentlich-rechtliches Sonderrecht. Die Norm berechtigt oder verpflichtet nämlich nicht jedermann, sondern ist ausschließlich an einen Hoheitsträger, hier den Träger der öffentlichen Jugendhilfe, adressiert (sog. Sonderrechtstheorie</w:t>
      </w:r>
      <w:r w:rsidRPr="007D1377">
        <w:rPr>
          <w:vertAlign w:val="superscript"/>
        </w:rPr>
        <w:footnoteReference w:id="512"/>
      </w:r>
      <w:r w:rsidRPr="007D1377">
        <w:t>). Folglich liegt eine öffentlich-rechtliche Streitigkeit vor.</w:t>
      </w:r>
    </w:p>
    <w:p w14:paraId="68BBEE73" w14:textId="77777777" w:rsidR="007D1377" w:rsidRPr="007D1377" w:rsidRDefault="007D1377" w:rsidP="007D1377">
      <w:r w:rsidRPr="007D1377">
        <w:t xml:space="preserve">Die Streitigkeit ist auch nicht verfassungsrechtlicher Art. Weder K noch die Stadt S nehmen unmittelbar am Verfassungsleben teil. Sie streiten außerdem primär um Bestimmungen des SGB VIII und nicht um Verfassungsrecht, woran auch Art. 6 GG nichts ändert (sog. doppelte Verfassungsunmittelbarkeit). </w:t>
      </w:r>
    </w:p>
    <w:p w14:paraId="0CB7A47F" w14:textId="77777777" w:rsidR="007D1377" w:rsidRPr="007D1377" w:rsidRDefault="007D1377" w:rsidP="007D1377">
      <w:r w:rsidRPr="007D1377">
        <w:t>Weiter ist die Streitigkeit auch nicht gem. § 51 SGG der Sozialgerichtsbarkeit zugewiesen. Damit ist der Verwaltungsrechtsweg eröffnet.</w:t>
      </w:r>
    </w:p>
    <w:p w14:paraId="7C2E5321" w14:textId="77777777" w:rsidR="007D1377" w:rsidRPr="00250C2F" w:rsidRDefault="007D1377" w:rsidP="0077320D">
      <w:pPr>
        <w:pStyle w:val="berschrift5"/>
      </w:pPr>
      <w:bookmarkStart w:id="608" w:name="_Toc22133367"/>
      <w:r w:rsidRPr="00250C2F">
        <w:t>II. Statthafte Antragsart</w:t>
      </w:r>
      <w:bookmarkEnd w:id="608"/>
    </w:p>
    <w:p w14:paraId="2088588B" w14:textId="77777777" w:rsidR="007D1377" w:rsidRPr="007D1377" w:rsidRDefault="007D1377" w:rsidP="007D1377">
      <w:pPr>
        <w:pStyle w:val="Randnummer"/>
        <w:framePr w:wrap="around"/>
      </w:pPr>
    </w:p>
    <w:p w14:paraId="183825A2" w14:textId="77777777" w:rsidR="007D1377" w:rsidRPr="007D1377" w:rsidRDefault="007D1377" w:rsidP="007D1377">
      <w:r w:rsidRPr="007D1377">
        <w:t>Die statthafte Antragsart richtet sich nach dem Begehren des Antragstellers (§§ 88, 122 VwGO). Hier begehrt die F für die K die Gewährung von Rechtsschutz, um „schnellstmöglich einen Platz für sie zu erhalten.“ In Betracht kommt daher ein Verfahren des einstweiligen Rechtsschutzes. Die VwGO sieht hierfür die §§ 80 V, 80a und 123 VwGO vor.</w:t>
      </w:r>
    </w:p>
    <w:p w14:paraId="3D086914" w14:textId="77777777" w:rsidR="007D1377" w:rsidRPr="007D1377" w:rsidRDefault="007D1377" w:rsidP="007D1377">
      <w:r w:rsidRPr="007D1377">
        <w:t>Ein Antrag auf Erlass einer einstweiligen Anordnung nach § 123 I VwGO ist gemäß § 123 V VwGO nur statthaft, wenn nicht ein Fall der §§ 80, 80 a VwGO vorliegt.</w:t>
      </w:r>
      <w:r w:rsidRPr="007D1377">
        <w:rPr>
          <w:vertAlign w:val="superscript"/>
        </w:rPr>
        <w:footnoteReference w:id="513"/>
      </w:r>
      <w:r w:rsidRPr="007D1377">
        <w:t xml:space="preserve"> §§ 80, 80 a VwGO kommen nur in Betracht, wenn ein Verwaltungsakt vorliegt, gegen den in der Hauptsache ein (Anfechtungs-)Widerspruch oder eine Anfechtungsklage die statthaften Rechtsbehelfe wären. Zwar handelt es sich bei dem Bescheid der Gemeinde, der K einen Platz in der Kindertageseinrichtung „Naseweis“ zuweist, um einen Verwaltungsakt i.S.d. § 31 SGB X. Eine Anfechtung dessen würde aber nicht dem Ziel der K Rechnung tragen, eine positive Zulassungsentscheidung in einer anderen (Wunsch-)Einrichtung zu erreichen. Folglich liegt eine Verpflichtungssituation vor, wofür § 123 VwGO einschlägig ist. Unerheblich ist dabei, ob der Erlass eines Verwaltungsakts (Verschaffung und Zulassung zu einer bestimmten Einrichtung) – also Verpflichtungsklage in der Hauptsache – oder die Vornahme eines Realakts (Bereitstellung bzw. Schaffung eines Platzes, namentlich bei freier Trägerschaft)</w:t>
      </w:r>
      <w:r w:rsidRPr="007D1377">
        <w:rPr>
          <w:vertAlign w:val="superscript"/>
        </w:rPr>
        <w:footnoteReference w:id="514"/>
      </w:r>
      <w:r w:rsidRPr="007D1377">
        <w:t xml:space="preserve"> – dann allgemeine Leistungsklage in der Hauptsache – begehrt wird.</w:t>
      </w:r>
    </w:p>
    <w:p w14:paraId="06B40B12" w14:textId="77777777" w:rsidR="007D1377" w:rsidRPr="007D1377" w:rsidRDefault="007D1377" w:rsidP="007D1377">
      <w:r w:rsidRPr="007D1377">
        <w:t>Abzugrenzen sind zudem § 123 I 1 VwGO (Sicherungsanordnung) und § 123 I 2 VwGO (Regelungsanordnung). Erstere dient dem Erhalt des status quo, während letztere auf die Einräumung oder Erweiterung einer Rechtsposition abzielt.</w:t>
      </w:r>
      <w:r w:rsidRPr="007D1377">
        <w:rPr>
          <w:vertAlign w:val="superscript"/>
        </w:rPr>
        <w:footnoteReference w:id="515"/>
      </w:r>
      <w:r w:rsidRPr="007D1377">
        <w:t xml:space="preserve"> K erstrebt eine vorläufige anderweitige Zulassung, also eine Veränderung des Zustandes, sodass der Antrag i.S.d. § 123 I 2 VwGO als Regelungsanordnung statthaft ist.</w:t>
      </w:r>
    </w:p>
    <w:p w14:paraId="44196D1B" w14:textId="77777777" w:rsidR="007D1377" w:rsidRPr="00250C2F" w:rsidRDefault="007D1377" w:rsidP="0077320D">
      <w:pPr>
        <w:pStyle w:val="berschrift5"/>
      </w:pPr>
      <w:bookmarkStart w:id="609" w:name="_Toc22133368"/>
      <w:r w:rsidRPr="00250C2F">
        <w:t>III. Antragsbefugnis, § 42 II VwGO analog</w:t>
      </w:r>
      <w:bookmarkEnd w:id="609"/>
    </w:p>
    <w:p w14:paraId="29B9A1B1" w14:textId="77777777" w:rsidR="007D1377" w:rsidRDefault="007D1377" w:rsidP="007D1377">
      <w:pPr>
        <w:pStyle w:val="Randnummer"/>
        <w:framePr w:wrap="around"/>
      </w:pPr>
    </w:p>
    <w:p w14:paraId="1E7B8E29" w14:textId="77777777" w:rsidR="007D1377" w:rsidRPr="007D1377" w:rsidRDefault="007D1377" w:rsidP="007D1377">
      <w:r w:rsidRPr="007D1377">
        <w:t>K müsste auch antragsbefugt sein. § 42 II VwGO wird analog angewandt, um Popularrechtsbehelfe auszuschließen. Das bedeutet konkret, dass K einen möglichen Anordnungsanspruch und einen Anordnungsgrund geltend machen können muss.</w:t>
      </w:r>
    </w:p>
    <w:p w14:paraId="05097D36" w14:textId="77777777" w:rsidR="007D1377" w:rsidRPr="00250C2F" w:rsidRDefault="007D1377" w:rsidP="0077320D">
      <w:pPr>
        <w:pStyle w:val="berschrift6"/>
      </w:pPr>
      <w:bookmarkStart w:id="610" w:name="_Toc22133369"/>
      <w:r w:rsidRPr="00250C2F">
        <w:t>1. Anordnungsanspruch</w:t>
      </w:r>
      <w:bookmarkEnd w:id="610"/>
    </w:p>
    <w:p w14:paraId="517CCAEE" w14:textId="77777777" w:rsidR="007D1377" w:rsidRDefault="007D1377" w:rsidP="007D1377">
      <w:pPr>
        <w:pStyle w:val="Randnummer"/>
        <w:framePr w:wrap="around"/>
      </w:pPr>
    </w:p>
    <w:p w14:paraId="58152A93" w14:textId="1DDD682F" w:rsidR="007D1377" w:rsidRPr="007D1377" w:rsidRDefault="007D1377" w:rsidP="007D1377">
      <w:r w:rsidRPr="007D1377">
        <w:t>Der Anordnungsanspruch ist der (im Hauptsacheverfahren geltend zu machende) materiell-rechtliche Anspruch auf Vornahme der geltend gemachten Handlung.</w:t>
      </w:r>
      <w:r w:rsidRPr="007D1377">
        <w:rPr>
          <w:vertAlign w:val="superscript"/>
        </w:rPr>
        <w:footnoteReference w:id="516"/>
      </w:r>
      <w:r w:rsidRPr="007D1377">
        <w:t xml:space="preserve"> Ein solcher könnte sich hier aus § 24 II SGB VIII ergeben. Ausweislich des eindeutigen Wortlauts der Norm vermittelt sie eine einklagbare Rechtsposition („Anspruch“) in der Form eines subjektiven Rechts des Kindes, hier zugunsten der K. Gerügt wird, dass der angebotene Platz nicht zumutbar sei, was bei einer einfachen Wegstrecke von 45 Minuten möglich erscheint. Ein Anordnungsanspruch ist daher nicht von vornherein ausgeschlossen.</w:t>
      </w:r>
    </w:p>
    <w:p w14:paraId="3F0F3ED1" w14:textId="77777777" w:rsidR="007D1377" w:rsidRPr="00250C2F" w:rsidRDefault="007D1377" w:rsidP="0077320D">
      <w:pPr>
        <w:pStyle w:val="berschrift6"/>
      </w:pPr>
      <w:bookmarkStart w:id="611" w:name="_Toc22133370"/>
      <w:r w:rsidRPr="00250C2F">
        <w:t>2. Anordnungsgrund</w:t>
      </w:r>
      <w:bookmarkEnd w:id="611"/>
    </w:p>
    <w:p w14:paraId="3B81FF2D" w14:textId="77777777" w:rsidR="007D1377" w:rsidRDefault="007D1377" w:rsidP="007D1377">
      <w:pPr>
        <w:pStyle w:val="Randnummer"/>
        <w:framePr w:wrap="around"/>
      </w:pPr>
    </w:p>
    <w:p w14:paraId="46E9A39A" w14:textId="77777777" w:rsidR="007D1377" w:rsidRPr="007D1377" w:rsidRDefault="007D1377" w:rsidP="007D1377">
      <w:r w:rsidRPr="007D1377">
        <w:t>Innerhalb des Anordnungsgrundes muss dargelegt werden, dass bereits im vorläufigen und nicht erst im Hauptsacheverfahren Rechtsschutz gewährleistet werden muss. Bei der Regelungsanordnung kommt es vor allem darauf an, ob die Regelung nötig erscheint, um wesentliche Nachteile abzuwenden oder drohende Gewalt zu verhindern, § 123 I 2 VwGO. Die besondere Eilbedürftigkeit ergibt sich hier unter Umständen daraus, dass der mögliche Anspruch der K fortschreitend „aufgezehrt“ wird und dies irreversible Nachteile für die kindliche Entwicklung und Förderung mit sich bringt.</w:t>
      </w:r>
      <w:r w:rsidRPr="007D1377">
        <w:rPr>
          <w:vertAlign w:val="superscript"/>
        </w:rPr>
        <w:footnoteReference w:id="517"/>
      </w:r>
      <w:r w:rsidRPr="007D1377">
        <w:t xml:space="preserve"> Ein Anordnungsgrund ist daher zumindest möglich.</w:t>
      </w:r>
    </w:p>
    <w:p w14:paraId="0C363652" w14:textId="77777777" w:rsidR="007D1377" w:rsidRDefault="007D1377" w:rsidP="007D1377">
      <w:r w:rsidRPr="007D1377">
        <w:t>Folglich ist K antragsbefugt.</w:t>
      </w:r>
    </w:p>
    <w:p w14:paraId="16CEA66F" w14:textId="77777777" w:rsidR="007D1377" w:rsidRPr="00250C2F" w:rsidRDefault="007D1377" w:rsidP="0077320D">
      <w:pPr>
        <w:pStyle w:val="berschrift5"/>
      </w:pPr>
      <w:bookmarkStart w:id="612" w:name="_Toc22133371"/>
      <w:r w:rsidRPr="00250C2F">
        <w:t>IV. Passive Prozessführungsbefugnis</w:t>
      </w:r>
      <w:bookmarkEnd w:id="612"/>
    </w:p>
    <w:p w14:paraId="05273EB6" w14:textId="77777777" w:rsidR="007D1377" w:rsidRDefault="007D1377" w:rsidP="007D1377">
      <w:pPr>
        <w:pStyle w:val="Randnummer"/>
        <w:framePr w:wrap="around"/>
      </w:pPr>
    </w:p>
    <w:p w14:paraId="10D39E1C" w14:textId="77777777" w:rsidR="007D1377" w:rsidRPr="007D1377" w:rsidRDefault="007D1377" w:rsidP="007D1377">
      <w:r w:rsidRPr="007D1377">
        <w:t>Gem. § 78 I Nr. 1 VwGO analog – eine landesgesetzliche Ermächtigung i.S.d. § 78 I Nr. 2 VwGO war nicht abgedruckt – ist der Antrag gegen den Rechtsträger der Behörde zu richten, die den beantragten Verwaltungsakt unterlassen hat, hier also die Stadt S.</w:t>
      </w:r>
    </w:p>
    <w:p w14:paraId="21654AFA" w14:textId="1843D4FD" w:rsidR="007D1377" w:rsidRPr="007D1377" w:rsidRDefault="00A10E8C" w:rsidP="007D1377">
      <w:pPr>
        <w:rPr>
          <w:i/>
        </w:rPr>
      </w:pPr>
      <w:r>
        <w:rPr>
          <w:i/>
        </w:rPr>
        <w:t>Lösungshinweis</w:t>
      </w:r>
      <w:r w:rsidR="007D1377" w:rsidRPr="007D1377">
        <w:rPr>
          <w:i/>
        </w:rPr>
        <w:t>: Geht man von einer allgemeinen Leistungsklage in der Hauptsache aus, führt dies zu keinem anderen Ergebnis, denn auch insofern ist das Rechtsträgerprinzip maßgeblich.</w:t>
      </w:r>
      <w:r w:rsidR="007D1377" w:rsidRPr="007D1377">
        <w:rPr>
          <w:i/>
          <w:vertAlign w:val="superscript"/>
        </w:rPr>
        <w:footnoteReference w:id="518"/>
      </w:r>
      <w:r w:rsidR="007D1377" w:rsidRPr="007D1377">
        <w:rPr>
          <w:i/>
        </w:rPr>
        <w:t xml:space="preserve"> Es ist ungeachtet dessen vertretbar, diese Frage erst in der Begründetheit unter dem Stichwort „Passivlegitimation“ aufzuwerfen.</w:t>
      </w:r>
      <w:r w:rsidR="007D1377" w:rsidRPr="007D1377">
        <w:rPr>
          <w:i/>
          <w:vertAlign w:val="superscript"/>
        </w:rPr>
        <w:footnoteReference w:id="519"/>
      </w:r>
    </w:p>
    <w:p w14:paraId="45FA1224" w14:textId="517D8CB8" w:rsidR="007D1377" w:rsidRPr="00250C2F" w:rsidRDefault="007D1377" w:rsidP="0077320D">
      <w:pPr>
        <w:pStyle w:val="berschrift5"/>
      </w:pPr>
      <w:bookmarkStart w:id="613" w:name="_Toc22133372"/>
      <w:r w:rsidRPr="00250C2F">
        <w:t>V. Beteili</w:t>
      </w:r>
      <w:r w:rsidR="00A10E8C">
        <w:t>gungs</w:t>
      </w:r>
      <w:r w:rsidRPr="00250C2F">
        <w:t>- und Prozessfähigkeit</w:t>
      </w:r>
      <w:bookmarkEnd w:id="613"/>
    </w:p>
    <w:p w14:paraId="4D9D8C08" w14:textId="77777777" w:rsidR="007D1377" w:rsidRDefault="007D1377" w:rsidP="007D1377">
      <w:pPr>
        <w:pStyle w:val="Randnummer"/>
        <w:framePr w:wrap="around"/>
      </w:pPr>
    </w:p>
    <w:p w14:paraId="2596C732" w14:textId="32C35DC1" w:rsidR="007D1377" w:rsidRPr="007D1377" w:rsidRDefault="007D1377" w:rsidP="007D1377">
      <w:r w:rsidRPr="007D1377">
        <w:t xml:space="preserve">K ist </w:t>
      </w:r>
      <w:r w:rsidR="001D430A">
        <w:t xml:space="preserve">eine </w:t>
      </w:r>
      <w:r w:rsidRPr="007D1377">
        <w:t>natürliche Person und daher gem. § 61 Nr. 1 Alt. 1 VwGO beteilig</w:t>
      </w:r>
      <w:r w:rsidR="00A10E8C">
        <w:t>ungs</w:t>
      </w:r>
      <w:r w:rsidRPr="007D1377">
        <w:t>fähig. Sie ist aber nicht selbst prozessfähig (vgl. § 62 I Nr. 1 VwGO), sondern bedarf der Vertretung durch ihre Eltern. Insoweit gilt der Grundsatz der Gesamtvertretung, §§ 1626 I, 1629 I 1, 2 Hs. 1 BGB. Allerdings hat M die F ausdrücklich dazu ermächtigt, allein für das Kind zu handeln, soweit es um ihre Betreuung in einer Kindertageseinrichtung oder Kindertagespflege geht. Dies beinhaltet auch eine entsprechende Verfolgung ihrer Interessen vor Gericht. K wird daher vor Gericht von F vertreten und ist insofern prozessfähig.</w:t>
      </w:r>
    </w:p>
    <w:p w14:paraId="24649405" w14:textId="65203A17" w:rsidR="007D1377" w:rsidRPr="007D1377" w:rsidRDefault="007D1377" w:rsidP="007D1377">
      <w:r w:rsidRPr="007D1377">
        <w:t>Die Stadt S ist gem. §§ 61 Nr. 1 Alt. 2, 62 III VwGO, jeweils i.V.m. den kommunalrechtlichen Regelungen des Landes L, beteil</w:t>
      </w:r>
      <w:r w:rsidR="00A10E8C">
        <w:t>igungs</w:t>
      </w:r>
      <w:r w:rsidRPr="007D1377">
        <w:t>- und prozessfähig.</w:t>
      </w:r>
    </w:p>
    <w:p w14:paraId="418F48E7" w14:textId="1E7509EB" w:rsidR="007D1377" w:rsidRPr="007D1377" w:rsidRDefault="00A10E8C" w:rsidP="007D1377">
      <w:r>
        <w:rPr>
          <w:i/>
        </w:rPr>
        <w:t>Lösungshinweis</w:t>
      </w:r>
      <w:r w:rsidR="007D1377" w:rsidRPr="007D1377">
        <w:rPr>
          <w:i/>
        </w:rPr>
        <w:t>: § 61 Nr. 3 VwGO war mangels entsprechender Ermächtigung nicht anzuwenden.</w:t>
      </w:r>
    </w:p>
    <w:p w14:paraId="30EC8B87" w14:textId="77777777" w:rsidR="007D1377" w:rsidRPr="00250C2F" w:rsidRDefault="007D1377" w:rsidP="0077320D">
      <w:pPr>
        <w:pStyle w:val="berschrift5"/>
      </w:pPr>
      <w:bookmarkStart w:id="614" w:name="_Toc22133373"/>
      <w:r w:rsidRPr="00250C2F">
        <w:t>VI. Ordnungsgemäßer Antrag</w:t>
      </w:r>
      <w:bookmarkEnd w:id="614"/>
    </w:p>
    <w:p w14:paraId="3011E66C" w14:textId="77777777" w:rsidR="007D1377" w:rsidRDefault="007D1377" w:rsidP="007D1377">
      <w:pPr>
        <w:pStyle w:val="Randnummer"/>
        <w:framePr w:wrap="around"/>
      </w:pPr>
    </w:p>
    <w:p w14:paraId="7DB18A10" w14:textId="77777777" w:rsidR="007D1377" w:rsidRPr="007D1377" w:rsidRDefault="007D1377" w:rsidP="007D1377">
      <w:r w:rsidRPr="007D1377">
        <w:t>Hinsichtlich der Form gelten §§ 81, 82 VwGO entsprechend. Danach muss der Eilantrag schriftlich erfolgen. Das ist hier mangels entgegenstehender Angaben geschehen.</w:t>
      </w:r>
    </w:p>
    <w:p w14:paraId="1F0A87B8" w14:textId="77777777" w:rsidR="007D1377" w:rsidRPr="00250C2F" w:rsidRDefault="007D1377" w:rsidP="0077320D">
      <w:pPr>
        <w:pStyle w:val="berschrift5"/>
      </w:pPr>
      <w:bookmarkStart w:id="615" w:name="_Toc22133374"/>
      <w:r w:rsidRPr="00250C2F">
        <w:t>VII. Allgemeines Rechtsschutzbedürfnis</w:t>
      </w:r>
      <w:bookmarkEnd w:id="615"/>
    </w:p>
    <w:p w14:paraId="39C19D12" w14:textId="77777777" w:rsidR="007D1377" w:rsidRDefault="007D1377" w:rsidP="007D1377">
      <w:pPr>
        <w:pStyle w:val="Randnummer"/>
        <w:framePr w:wrap="around"/>
      </w:pPr>
    </w:p>
    <w:p w14:paraId="720553B7" w14:textId="77777777" w:rsidR="007D1377" w:rsidRPr="007D1377" w:rsidRDefault="007D1377" w:rsidP="007D1377">
      <w:r w:rsidRPr="007D1377">
        <w:t>K ist auch rechtsschutzbedürftig. Es ist kein Weg ersichtlich, mit dem sie ihr Begehren schneller und leichter durchsetzen kann. Insbesondere hat sich K – vertreten durch F – zuvor erfolglos an die zuständige Behörde gewandt. Gegen diese Entscheidung strengt sie, bislang ohne Ergebnis, das Widerspruchsverfahren an.</w:t>
      </w:r>
    </w:p>
    <w:p w14:paraId="51698452" w14:textId="784282A4" w:rsidR="007D1377" w:rsidRPr="007D1377" w:rsidRDefault="00A10E8C" w:rsidP="007D1377">
      <w:pPr>
        <w:rPr>
          <w:i/>
        </w:rPr>
      </w:pPr>
      <w:r>
        <w:rPr>
          <w:i/>
        </w:rPr>
        <w:t>Lösungshinweis</w:t>
      </w:r>
      <w:r w:rsidR="007D1377" w:rsidRPr="007D1377">
        <w:rPr>
          <w:i/>
        </w:rPr>
        <w:t>: Ob es überhaupt eines Vorverfahrens bedurfte, hängt davon ab, ob in der Hauptsache eine Verpflichtungsklage oder eine allgemeine Leistungsklage statthaft ist (s. A. II.). Eine Ermächtigung i.S.d. § 68 I 2 VwGO war im Sachverhalt nicht abgedruckt.</w:t>
      </w:r>
    </w:p>
    <w:p w14:paraId="58062CE8" w14:textId="77777777" w:rsidR="007D1377" w:rsidRPr="00250C2F" w:rsidRDefault="007D1377" w:rsidP="0077320D">
      <w:pPr>
        <w:pStyle w:val="berschrift5"/>
      </w:pPr>
      <w:bookmarkStart w:id="616" w:name="_Toc22133375"/>
      <w:r w:rsidRPr="00250C2F">
        <w:t>VIII. Zwischenergebnis</w:t>
      </w:r>
      <w:bookmarkEnd w:id="616"/>
    </w:p>
    <w:p w14:paraId="53B37B3A" w14:textId="77777777" w:rsidR="007D1377" w:rsidRDefault="007D1377" w:rsidP="007D1377">
      <w:pPr>
        <w:pStyle w:val="Randnummer"/>
        <w:framePr w:wrap="around"/>
      </w:pPr>
    </w:p>
    <w:p w14:paraId="7FF5A86E" w14:textId="77777777" w:rsidR="007D1377" w:rsidRDefault="007D1377" w:rsidP="007D1377">
      <w:r w:rsidRPr="007D1377">
        <w:t>Der Antrag der F für die K ist daher zulässig.</w:t>
      </w:r>
    </w:p>
    <w:p w14:paraId="76A238E9" w14:textId="77777777" w:rsidR="00250C2F" w:rsidRPr="007D1377" w:rsidRDefault="00250C2F" w:rsidP="007D1377"/>
    <w:p w14:paraId="019A7E80" w14:textId="77777777" w:rsidR="00250C2F" w:rsidRPr="00250C2F" w:rsidRDefault="007D1377" w:rsidP="0077320D">
      <w:pPr>
        <w:pStyle w:val="berschrift4"/>
      </w:pPr>
      <w:bookmarkStart w:id="617" w:name="_Toc22133376"/>
      <w:r w:rsidRPr="00250C2F">
        <w:t>B. Beiladung</w:t>
      </w:r>
      <w:bookmarkEnd w:id="617"/>
    </w:p>
    <w:p w14:paraId="278B490C" w14:textId="77777777" w:rsidR="007D1377" w:rsidRDefault="007D1377" w:rsidP="007D1377">
      <w:pPr>
        <w:pStyle w:val="Randnummer"/>
        <w:framePr w:wrap="around"/>
      </w:pPr>
    </w:p>
    <w:p w14:paraId="68644E58" w14:textId="506A3EB7" w:rsidR="00250C2F" w:rsidRPr="007D1377" w:rsidRDefault="007D1377" w:rsidP="007D1377">
      <w:r w:rsidRPr="007D1377">
        <w:t>Ein Fall des § 65 II VwGO liegt nicht vor. Wohl aber kommt eine einfache Beiladung i.S.d. § 65 I VwGO für die Kita „Räuberkiste“ sowie für</w:t>
      </w:r>
      <w:r w:rsidR="003518A6">
        <w:t xml:space="preserve"> </w:t>
      </w:r>
      <w:r w:rsidRPr="007D1377">
        <w:t>„Die Strolche“ in Betracht.</w:t>
      </w:r>
      <w:r w:rsidRPr="007D1377">
        <w:rPr>
          <w:vertAlign w:val="superscript"/>
        </w:rPr>
        <w:footnoteReference w:id="520"/>
      </w:r>
    </w:p>
    <w:p w14:paraId="27E12CCE" w14:textId="71CFCAFF" w:rsidR="007D1377" w:rsidRDefault="00A10E8C" w:rsidP="007D1377">
      <w:pPr>
        <w:rPr>
          <w:i/>
        </w:rPr>
      </w:pPr>
      <w:r>
        <w:rPr>
          <w:i/>
        </w:rPr>
        <w:t>Lösungshinweis</w:t>
      </w:r>
      <w:r w:rsidR="007D1377" w:rsidRPr="007D1377">
        <w:rPr>
          <w:i/>
        </w:rPr>
        <w:t>: Hierauf einzugehen, wird nicht unbedingt erwartet.</w:t>
      </w:r>
    </w:p>
    <w:p w14:paraId="0480B461" w14:textId="77777777" w:rsidR="007D1377" w:rsidRPr="00250C2F" w:rsidRDefault="007D1377" w:rsidP="0077320D">
      <w:pPr>
        <w:pStyle w:val="berschrift4"/>
      </w:pPr>
      <w:bookmarkStart w:id="618" w:name="_Toc22133377"/>
      <w:r w:rsidRPr="00250C2F">
        <w:t>C. Begründetheit</w:t>
      </w:r>
      <w:bookmarkEnd w:id="618"/>
    </w:p>
    <w:p w14:paraId="714C97BA" w14:textId="77777777" w:rsidR="007D1377" w:rsidRDefault="007D1377" w:rsidP="007D1377">
      <w:pPr>
        <w:pStyle w:val="Randnummer"/>
        <w:framePr w:wrap="around"/>
      </w:pPr>
    </w:p>
    <w:p w14:paraId="5894A309" w14:textId="2265AE1D" w:rsidR="007D1377" w:rsidRPr="007D1377" w:rsidRDefault="007D1377" w:rsidP="007D1377">
      <w:r w:rsidRPr="007D1377">
        <w:t>Der Antrag auf Erlass einer einstweiligen Anordnung ist begründet, soweit die Antragstellerin gem. § 123 I 2, III VwGO i.V.m. §§ 920 II, 294 I ZPO einen Anordnungsanspruch und Anordnungsgrund glaubhaft gemacht hat und keine unzulässige Vorwegnahme der Hauptsache vorliegt.</w:t>
      </w:r>
    </w:p>
    <w:p w14:paraId="593F7A24" w14:textId="77777777" w:rsidR="007D1377" w:rsidRPr="00250C2F" w:rsidRDefault="007D1377" w:rsidP="0077320D">
      <w:pPr>
        <w:pStyle w:val="berschrift5"/>
      </w:pPr>
      <w:bookmarkStart w:id="619" w:name="_Toc22133378"/>
      <w:r w:rsidRPr="00250C2F">
        <w:t>I. Anordnungsgrund</w:t>
      </w:r>
      <w:bookmarkEnd w:id="619"/>
    </w:p>
    <w:p w14:paraId="31D5459C" w14:textId="77777777" w:rsidR="007D1377" w:rsidRDefault="007D1377" w:rsidP="007D1377">
      <w:pPr>
        <w:pStyle w:val="Randnummer"/>
        <w:framePr w:wrap="around"/>
      </w:pPr>
    </w:p>
    <w:p w14:paraId="733DAA2A" w14:textId="77777777" w:rsidR="007D1377" w:rsidRPr="007D1377" w:rsidRDefault="007D1377" w:rsidP="007D1377">
      <w:r w:rsidRPr="007D1377">
        <w:t>Fraglich ist, ob die Sache dringlich und eilbedürftig ist. Bei Abwarten einer Entscheidung in der Hauptsache läuft der Anspruch aus § 24 II SGB VIII bis dahin leer. Eine „Nachholung“ ist nicht möglich. Wegen der damit verbundenen, überwiegend wahrscheinlichen</w:t>
      </w:r>
      <w:r w:rsidRPr="007D1377">
        <w:rPr>
          <w:vertAlign w:val="superscript"/>
        </w:rPr>
        <w:footnoteReference w:id="521"/>
      </w:r>
      <w:r w:rsidRPr="007D1377">
        <w:t>, wesentlichen Nachteile i.S.d. § 123 I 2 VwGO für die frühkindliche Entwicklung der K, kann sie einen Anordnungsgrund glaubhaft machen.</w:t>
      </w:r>
    </w:p>
    <w:p w14:paraId="1FB60D76" w14:textId="77777777" w:rsidR="007D1377" w:rsidRPr="00250C2F" w:rsidRDefault="007D1377" w:rsidP="0077320D">
      <w:pPr>
        <w:pStyle w:val="berschrift5"/>
      </w:pPr>
      <w:bookmarkStart w:id="620" w:name="_Toc22133379"/>
      <w:r w:rsidRPr="00250C2F">
        <w:t>II. Anordnungsanspruch</w:t>
      </w:r>
      <w:bookmarkEnd w:id="620"/>
    </w:p>
    <w:p w14:paraId="5DDC388D" w14:textId="77777777" w:rsidR="007D1377" w:rsidRDefault="007D1377" w:rsidP="007D1377">
      <w:pPr>
        <w:pStyle w:val="Randnummer"/>
        <w:framePr w:wrap="around"/>
      </w:pPr>
    </w:p>
    <w:p w14:paraId="262F399E" w14:textId="77777777" w:rsidR="007D1377" w:rsidRPr="007D1377" w:rsidRDefault="007D1377" w:rsidP="007D1377">
      <w:r w:rsidRPr="007D1377">
        <w:t>Weiter müsste der Anspruch, auf den sich die K beruft, voraussichtlich bestehen.</w:t>
      </w:r>
    </w:p>
    <w:p w14:paraId="7CC21C64" w14:textId="77777777" w:rsidR="007D1377" w:rsidRPr="00250C2F" w:rsidRDefault="007D1377" w:rsidP="0077320D">
      <w:pPr>
        <w:pStyle w:val="berschrift6"/>
      </w:pPr>
      <w:bookmarkStart w:id="621" w:name="_Toc22133380"/>
      <w:r w:rsidRPr="00250C2F">
        <w:t>1. Anspruchsgrundlage</w:t>
      </w:r>
      <w:bookmarkEnd w:id="621"/>
    </w:p>
    <w:p w14:paraId="647272FB" w14:textId="77777777" w:rsidR="007D1377" w:rsidRDefault="007D1377" w:rsidP="007D1377">
      <w:pPr>
        <w:pStyle w:val="Randnummer"/>
        <w:framePr w:wrap="around"/>
      </w:pPr>
    </w:p>
    <w:p w14:paraId="3DC818CC" w14:textId="77777777" w:rsidR="007D1377" w:rsidRPr="007D1377" w:rsidRDefault="007D1377" w:rsidP="007D1377">
      <w:r w:rsidRPr="007D1377">
        <w:t>Als Anspruchsgrundlage kommt allein § 24 II 1 SGB VIII in Betracht. § 3 LKitaG bietet ersichtlich keine Grundlage für den geltend gemachten Anspruch. So handelt es sich bei § 3 II 1 LKitaG bloß um eine objektiv-rechtliche Verpflichtung des örtlichen Trägers der öffentlichen Jugendhilfe.</w:t>
      </w:r>
    </w:p>
    <w:p w14:paraId="406C1650" w14:textId="51A21F0D" w:rsidR="007D1377" w:rsidRPr="007D1377" w:rsidRDefault="00A10E8C" w:rsidP="007D1377">
      <w:pPr>
        <w:rPr>
          <w:i/>
        </w:rPr>
      </w:pPr>
      <w:r>
        <w:rPr>
          <w:i/>
        </w:rPr>
        <w:t>Lösungshinweis</w:t>
      </w:r>
      <w:r w:rsidR="007D1377" w:rsidRPr="007D1377">
        <w:rPr>
          <w:i/>
        </w:rPr>
        <w:t>: Ein kommunalrechtlicher Anspruch auf Zugang zu einer öffentlichen Einrichtung war nach dem Bearbeitungsvermerk nicht zu prüfen.</w:t>
      </w:r>
      <w:r w:rsidR="007D1377" w:rsidRPr="007D1377" w:rsidDel="00473744">
        <w:t xml:space="preserve"> </w:t>
      </w:r>
      <w:r w:rsidR="007D1377" w:rsidRPr="007D1377">
        <w:t>A</w:t>
      </w:r>
      <w:r w:rsidR="007D1377" w:rsidRPr="007D1377">
        <w:rPr>
          <w:i/>
        </w:rPr>
        <w:t>uf die Verfassungsmäßigkeit von § 24 II SGB VIII, namentlich auf Kompetenzfragen – einschlägig sind Art. 74 I Nr. 7, 72 II GG –, war mangels entsprechender Hinweise im Sachverhalt nicht einzugehen.</w:t>
      </w:r>
      <w:r w:rsidR="007D1377" w:rsidRPr="007D1377">
        <w:rPr>
          <w:i/>
          <w:vertAlign w:val="superscript"/>
        </w:rPr>
        <w:footnoteReference w:id="522"/>
      </w:r>
    </w:p>
    <w:p w14:paraId="0DA0CA7D" w14:textId="77777777" w:rsidR="007D1377" w:rsidRPr="00250C2F" w:rsidRDefault="007D1377" w:rsidP="0077320D">
      <w:pPr>
        <w:pStyle w:val="berschrift6"/>
      </w:pPr>
      <w:bookmarkStart w:id="622" w:name="_Toc22133381"/>
      <w:r w:rsidRPr="00250C2F">
        <w:t>2. Formelle Anspruchsvoraussetzungen</w:t>
      </w:r>
      <w:bookmarkEnd w:id="622"/>
    </w:p>
    <w:p w14:paraId="15B1E765" w14:textId="77777777" w:rsidR="007D1377" w:rsidRDefault="007D1377" w:rsidP="007D1377">
      <w:pPr>
        <w:pStyle w:val="Randnummer"/>
        <w:framePr w:wrap="around"/>
      </w:pPr>
    </w:p>
    <w:p w14:paraId="6C84E590" w14:textId="77777777" w:rsidR="007D1377" w:rsidRPr="007D1377" w:rsidRDefault="007D1377" w:rsidP="007D1377">
      <w:r w:rsidRPr="007D1377">
        <w:t>Zunächst müssten die formellen Anspruchsvoraussetzungen vorliegen. F hat mit der Antragstellung für K im September 2017 die Sechsmonatsfrist des § 4 S. 2 LKitaG eingehalten. Ferner erfolgte die Anmeldung bei dem zuständigen Träger der öffentlichen Jugendhilfe. Somit hat sie die formellen Voraussetzungen erfüllt.</w:t>
      </w:r>
    </w:p>
    <w:p w14:paraId="4167C271" w14:textId="77777777" w:rsidR="007D1377" w:rsidRPr="00250C2F" w:rsidRDefault="007D1377" w:rsidP="0077320D">
      <w:pPr>
        <w:pStyle w:val="berschrift6"/>
      </w:pPr>
      <w:bookmarkStart w:id="623" w:name="_Toc22133382"/>
      <w:r w:rsidRPr="00250C2F">
        <w:t>3. Materielle Anspruchsvoraussetzungen</w:t>
      </w:r>
      <w:bookmarkEnd w:id="623"/>
    </w:p>
    <w:p w14:paraId="6506C9DB" w14:textId="77777777" w:rsidR="007D1377" w:rsidRDefault="007D1377" w:rsidP="007D1377">
      <w:pPr>
        <w:pStyle w:val="Randnummer"/>
        <w:framePr w:wrap="around"/>
      </w:pPr>
    </w:p>
    <w:p w14:paraId="449B5014" w14:textId="77777777" w:rsidR="007D1377" w:rsidRPr="007D1377" w:rsidRDefault="007D1377" w:rsidP="007D1377">
      <w:r w:rsidRPr="007D1377">
        <w:t>Fraglich ist, ob die materiellen Anspruchsvoraussetzungen vorliegen.</w:t>
      </w:r>
    </w:p>
    <w:p w14:paraId="155BDFBE" w14:textId="77777777" w:rsidR="007D1377" w:rsidRPr="00250C2F" w:rsidRDefault="007D1377" w:rsidP="0077320D">
      <w:pPr>
        <w:pStyle w:val="berschrift7"/>
      </w:pPr>
      <w:bookmarkStart w:id="624" w:name="_Toc22133383"/>
      <w:r w:rsidRPr="00250C2F">
        <w:t>a) Tatbestand</w:t>
      </w:r>
      <w:bookmarkEnd w:id="624"/>
    </w:p>
    <w:p w14:paraId="507AD14A" w14:textId="77777777" w:rsidR="007D1377" w:rsidRDefault="007D1377" w:rsidP="007D1377">
      <w:pPr>
        <w:pStyle w:val="Randnummer"/>
        <w:framePr w:wrap="around"/>
      </w:pPr>
    </w:p>
    <w:p w14:paraId="00A332A6" w14:textId="77777777" w:rsidR="007D1377" w:rsidRPr="007D1377" w:rsidRDefault="007D1377" w:rsidP="007D1377">
      <w:r w:rsidRPr="007D1377">
        <w:t xml:space="preserve">Der Anspruch setzt lediglich voraus, dass es sich um ein Kind in der vorgegebenen Altersstufe handelt. Ein besonderer Bedarf ist hierfür weder darzulegen noch nachzuweisen. K hat seit dem 05.04.2018 das erste Lebensjahr vollendet, das dritte Lebensjahr aber noch nicht (erst am 04.04.2020). Folglich ist K anspruchsberechtigt. </w:t>
      </w:r>
    </w:p>
    <w:p w14:paraId="0FDACDBE" w14:textId="77777777" w:rsidR="007D1377" w:rsidRPr="00250C2F" w:rsidRDefault="007D1377" w:rsidP="0077320D">
      <w:pPr>
        <w:pStyle w:val="berschrift7"/>
      </w:pPr>
      <w:bookmarkStart w:id="625" w:name="_Toc22133384"/>
      <w:r w:rsidRPr="00250C2F">
        <w:t>b) Rechtsfolge</w:t>
      </w:r>
      <w:bookmarkEnd w:id="625"/>
    </w:p>
    <w:p w14:paraId="4F3DF0F6" w14:textId="77777777" w:rsidR="007D1377" w:rsidRDefault="007D1377" w:rsidP="007D1377">
      <w:pPr>
        <w:pStyle w:val="Randnummer"/>
        <w:framePr w:wrap="around"/>
      </w:pPr>
    </w:p>
    <w:p w14:paraId="5813B7C8" w14:textId="12BBF1F5" w:rsidR="007D1377" w:rsidRPr="007D1377" w:rsidRDefault="007D1377" w:rsidP="007D1377">
      <w:r w:rsidRPr="007D1377">
        <w:t>K hat daher einen Anspruch auf frühkindliche Förderung in einer Tageseinrichtung oder in Kindertagespflege, § 24 II 1 SGB VIII. Fraglich ist aber, ob dieser mit der vorgenommenen Zuweisung der K bereits erfüllt wurde (dazu aa)). Falls das nicht der Fall ist, ist klärungsbedürftig, ob und inwieweit ein Wunsch- und Wahlrecht bezüglich der Einrichtung besteht (dazu bb)) und ob der Anspruch – soweit dies nicht greift – unter dem Vorbehalt bereits vorhandener Kapazität steht (dazu cc)).</w:t>
      </w:r>
    </w:p>
    <w:p w14:paraId="077E5D1F" w14:textId="77777777" w:rsidR="007D1377" w:rsidRPr="00250C2F" w:rsidRDefault="007D1377" w:rsidP="0077320D">
      <w:pPr>
        <w:pStyle w:val="berschrift8"/>
      </w:pPr>
      <w:bookmarkStart w:id="626" w:name="_Toc22133385"/>
      <w:r w:rsidRPr="00250C2F">
        <w:t>aa) Erfüllung (Zumutbarkeit des angebotenen Platzes)</w:t>
      </w:r>
      <w:bookmarkEnd w:id="626"/>
    </w:p>
    <w:p w14:paraId="1651E69C" w14:textId="77777777" w:rsidR="007D1377" w:rsidRDefault="007D1377" w:rsidP="007D1377">
      <w:pPr>
        <w:pStyle w:val="Randnummer"/>
        <w:framePr w:wrap="around"/>
      </w:pPr>
    </w:p>
    <w:p w14:paraId="15C727CF" w14:textId="618284FB" w:rsidR="007D1377" w:rsidRPr="007D1377" w:rsidRDefault="007D1377" w:rsidP="007D1377">
      <w:r w:rsidRPr="007D1377">
        <w:t>Der Betreuungsplatz in der Kindertageseinrichtung „Naseweis“ müsste mit Rücksicht auf die durch §§ 24 II, 22 II Nr. 3 SGB VIII beabsichtigte Verbesserung der Vereinbarkeit von Familie und Erwerbsleben für das Kind und seine Eltern in zumutbarer Zeit erreichbar sein. Teilweise werden hierfür Wegstreckenentfernungen von weniger als 5 km</w:t>
      </w:r>
      <w:r w:rsidRPr="007D1377">
        <w:rPr>
          <w:vertAlign w:val="superscript"/>
        </w:rPr>
        <w:footnoteReference w:id="523"/>
      </w:r>
      <w:r w:rsidR="00A566D1">
        <w:t xml:space="preserve"> </w:t>
      </w:r>
      <w:r w:rsidRPr="007D1377">
        <w:t>oder zeitliche Grenzen von maximal 30 Minuten</w:t>
      </w:r>
      <w:r w:rsidRPr="007D1377">
        <w:rPr>
          <w:vertAlign w:val="superscript"/>
        </w:rPr>
        <w:footnoteReference w:id="524"/>
      </w:r>
      <w:r w:rsidRPr="007D1377">
        <w:t xml:space="preserve"> je Wegstrecke aufgestellt. Andere nehmen eine individuelle statt einer abstrakt-generellen Betrachtungsweise vor.</w:t>
      </w:r>
      <w:r w:rsidRPr="007D1377">
        <w:rPr>
          <w:vertAlign w:val="superscript"/>
        </w:rPr>
        <w:footnoteReference w:id="525"/>
      </w:r>
      <w:r w:rsidRPr="007D1377">
        <w:t xml:space="preserve"> Hier kommt mangels eigenem PKW nur die Inanspruchnahme öffentlicher Verkehrsmittel in Betracht. Hiermit benötigen F, M und K zwischen Wohnung und Kindertageseinrichtung mehr als 45 Minuten. Dies ist nach jeder Betrachtungsweise unzumutbar. Dabei ist auch zu berücksichtigen, dass F und M auswärts arbeiten. Daher erweist sich der K zugewiesene Betreuungsplatz in der Kindertageseinrichtung „Naseweis“ als nicht anspruchserfüllend.</w:t>
      </w:r>
    </w:p>
    <w:p w14:paraId="144EF6DC" w14:textId="77777777" w:rsidR="007D1377" w:rsidRPr="00250C2F" w:rsidRDefault="007D1377" w:rsidP="0077320D">
      <w:pPr>
        <w:pStyle w:val="berschrift8"/>
      </w:pPr>
      <w:bookmarkStart w:id="627" w:name="_Toc22133386"/>
      <w:r w:rsidRPr="00250C2F">
        <w:t>bb) Zugriff auf Einrichtungen verschiedener Träger, Wunsch- und Wahlrecht</w:t>
      </w:r>
      <w:bookmarkEnd w:id="627"/>
    </w:p>
    <w:p w14:paraId="5F08AEF5" w14:textId="77777777" w:rsidR="007D1377" w:rsidRDefault="007D1377" w:rsidP="007D1377">
      <w:pPr>
        <w:pStyle w:val="Randnummer"/>
        <w:framePr w:wrap="around"/>
      </w:pPr>
    </w:p>
    <w:p w14:paraId="3461146A" w14:textId="77777777" w:rsidR="007D1377" w:rsidRPr="007D1377" w:rsidRDefault="007D1377" w:rsidP="007D1377">
      <w:pPr>
        <w:rPr>
          <w:i/>
        </w:rPr>
      </w:pPr>
      <w:r w:rsidRPr="007D1377">
        <w:t>Damit stellt sich die Frage, auf welche Einrichtungen stattdessen zurückgegriffen werden kann. Anspruchsgegner ist der zuständige Träger der öffentlichen Jugendhilfe, also die Großstadt S. Diese kann, da sie Trägerin von Kindertages- und Kindertagespflegeeinrichtungen ist, den Anspruch auch selbst erfüllen. In den Blick zu nehmen ist daher die Kindertagespflege „Die Strolche“, die in der Rechtsform einer privaten GmbH betrieben wird, sich aber trotzdem in städtischer Hand befindet (sog. Organisationsprivatisierung). Denn insoweit besteht eine Einwirkungsbefugnis und -pflicht der Stadt S. Die Stadt kann sich zur Erfüllung zwar auch Privater wie der Kita „Räuberkiste“ bedienen. Dies beruht allerdings auf Freiwilligkeit der nichtstaatlichen (freien) Träger (vgl. § 3 II 2 SGB VIII). Eine Einwirkungsmöglichkeit der Stadt in Gestalt eines Zuweisungsrechts besteht insoweit nicht, sodass K ihre Zulassung zu dieser Einrichtung nicht verlangen kann.</w:t>
      </w:r>
      <w:r w:rsidRPr="007D1377">
        <w:rPr>
          <w:vertAlign w:val="superscript"/>
        </w:rPr>
        <w:footnoteReference w:id="526"/>
      </w:r>
    </w:p>
    <w:p w14:paraId="0B58ECB8" w14:textId="0431533F" w:rsidR="007D1377" w:rsidRPr="007D1377" w:rsidRDefault="007D1377" w:rsidP="007D1377">
      <w:r w:rsidRPr="007D1377">
        <w:t>Im Übrigen aber besteht das Wunsch- und Wahlrecht des Kindes, vertreten durch seine Eltern, § 5 SGB VIII. Dieses ist, anders als es der Wortlaut nahelegt, nach seinem Sinn und Zweck nicht auf Einrichtungen verschiedener Träger beschränkt.</w:t>
      </w:r>
      <w:r w:rsidRPr="007D1377">
        <w:rPr>
          <w:vertAlign w:val="superscript"/>
        </w:rPr>
        <w:footnoteReference w:id="527"/>
      </w:r>
      <w:r w:rsidRPr="007D1377">
        <w:t xml:space="preserve"> K kann also grundsätzlich einen Anspruch auf einen Betreuungsplatz in der Kindertagespflege „Die Strolche“ geltend machen. Dieses Recht steht allerdings neben der Grenze des § 5 II 1 SGB VIII unter dem Vorbehalt der Verfügbarkeit,</w:t>
      </w:r>
      <w:r w:rsidRPr="007D1377">
        <w:rPr>
          <w:vertAlign w:val="superscript"/>
        </w:rPr>
        <w:footnoteReference w:id="528"/>
      </w:r>
      <w:r w:rsidRPr="007D1377">
        <w:t xml:space="preserve"> wie auch § 4 </w:t>
      </w:r>
      <w:r w:rsidR="00A10E8C">
        <w:t xml:space="preserve">S. </w:t>
      </w:r>
      <w:r w:rsidR="00E91AF0">
        <w:t>1</w:t>
      </w:r>
      <w:r w:rsidRPr="007D1377">
        <w:t xml:space="preserve"> LKitaG hervorhebt. Insofern ergibt sich aus § 24 II 1 SGB VIII, auch unter dem Vorzeichen eines möglichen Kapazitätserweiterungsanspruchs,</w:t>
      </w:r>
      <w:r w:rsidRPr="007D1377">
        <w:rPr>
          <w:vertAlign w:val="superscript"/>
        </w:rPr>
        <w:footnoteReference w:id="529"/>
      </w:r>
      <w:r w:rsidRPr="007D1377">
        <w:t xml:space="preserve"> nichts anderes. Folglich scheidet auch diese Einrichtung aus.</w:t>
      </w:r>
    </w:p>
    <w:p w14:paraId="6D7E09E3" w14:textId="68BE778E" w:rsidR="007D1377" w:rsidRPr="007D1377" w:rsidRDefault="00A10E8C" w:rsidP="007D1377">
      <w:pPr>
        <w:rPr>
          <w:i/>
        </w:rPr>
      </w:pPr>
      <w:r>
        <w:rPr>
          <w:i/>
        </w:rPr>
        <w:t>Lösungshinweis</w:t>
      </w:r>
      <w:r w:rsidR="007D1377" w:rsidRPr="007D1377">
        <w:rPr>
          <w:i/>
        </w:rPr>
        <w:t xml:space="preserve">: Darauf, ob ein Wahlrecht auch hinsichtlich der Betreuungsform (Tageseinrichtung oder </w:t>
      </w:r>
      <w:r w:rsidR="007D1377" w:rsidRPr="007D1377">
        <w:rPr>
          <w:i/>
        </w:rPr>
        <w:br/>
        <w:t>-pflege) besteht,</w:t>
      </w:r>
      <w:r w:rsidR="007D1377" w:rsidRPr="007D1377">
        <w:rPr>
          <w:i/>
          <w:vertAlign w:val="superscript"/>
        </w:rPr>
        <w:footnoteReference w:id="530"/>
      </w:r>
      <w:r w:rsidR="007D1377" w:rsidRPr="007D1377">
        <w:rPr>
          <w:i/>
        </w:rPr>
        <w:t xml:space="preserve"> kommt es hier nicht an.</w:t>
      </w:r>
    </w:p>
    <w:p w14:paraId="174E2867" w14:textId="77777777" w:rsidR="007D1377" w:rsidRPr="00250C2F" w:rsidRDefault="007D1377" w:rsidP="0077320D">
      <w:pPr>
        <w:pStyle w:val="berschrift8"/>
      </w:pPr>
      <w:bookmarkStart w:id="628" w:name="_Toc22133387"/>
      <w:r w:rsidRPr="00250C2F">
        <w:t>cc) Einwand der Unmöglichkeit, Anspruch auf Kapazitätserweiterung</w:t>
      </w:r>
      <w:bookmarkEnd w:id="628"/>
    </w:p>
    <w:p w14:paraId="6B2CE75C" w14:textId="77777777" w:rsidR="007D1377" w:rsidRDefault="007D1377" w:rsidP="007D1377">
      <w:pPr>
        <w:pStyle w:val="Randnummer"/>
        <w:framePr w:wrap="around"/>
      </w:pPr>
    </w:p>
    <w:p w14:paraId="2C70B04A" w14:textId="34B4A604" w:rsidR="007D1377" w:rsidRPr="007D1377" w:rsidRDefault="007D1377" w:rsidP="007D1377">
      <w:r w:rsidRPr="007D1377">
        <w:t>Ein anspruchserfüllender Betreuungsplatz steht gegenwärtig nicht zur Verfügung. Fraglich ist daher, ob § 24 II 1 SGB VIII auch einen Anspruch auf Kapazitätserweiterung gewährt.</w:t>
      </w:r>
    </w:p>
    <w:p w14:paraId="7A27DB8C" w14:textId="77777777" w:rsidR="007D1377" w:rsidRPr="007D1377" w:rsidRDefault="007D1377" w:rsidP="007D1377">
      <w:r w:rsidRPr="007D1377">
        <w:t>Die wohl h.M. lehnt einen solchen Anspruch ab. Zur Begründung wird etwa darauf verwiesen, dass ein Fall der Unmöglichkeit vorliege, der die Verpflichtung aus § 24 II SGB VIII entfallen lasse.</w:t>
      </w:r>
      <w:r w:rsidRPr="007D1377">
        <w:rPr>
          <w:vertAlign w:val="superscript"/>
        </w:rPr>
        <w:footnoteReference w:id="531"/>
      </w:r>
      <w:r w:rsidRPr="007D1377">
        <w:t xml:space="preserve"> Daher kämen nur noch Ersatzansprüche in Betracht.</w:t>
      </w:r>
      <w:r w:rsidRPr="007D1377">
        <w:rPr>
          <w:vertAlign w:val="superscript"/>
        </w:rPr>
        <w:footnoteReference w:id="532"/>
      </w:r>
      <w:r w:rsidRPr="007D1377">
        <w:t xml:space="preserve"> Die Gegenansicht</w:t>
      </w:r>
      <w:r w:rsidRPr="007D1377">
        <w:rPr>
          <w:vertAlign w:val="superscript"/>
        </w:rPr>
        <w:footnoteReference w:id="533"/>
      </w:r>
      <w:r w:rsidRPr="007D1377">
        <w:t xml:space="preserve"> bestreitet dies, zumal sich die örtlichen Träger der Jugendhilfe ansonsten gewissermaßen „freikaufen“ könnten.</w:t>
      </w:r>
      <w:r w:rsidRPr="007D1377">
        <w:rPr>
          <w:vertAlign w:val="superscript"/>
        </w:rPr>
        <w:footnoteReference w:id="534"/>
      </w:r>
    </w:p>
    <w:p w14:paraId="661E93CD" w14:textId="77777777" w:rsidR="007D1377" w:rsidRPr="007D1377" w:rsidRDefault="007D1377" w:rsidP="007D1377">
      <w:r w:rsidRPr="007D1377">
        <w:t>Bei öffentlich-rechtlichen Schuldverhältnissen muss von Fall zu Fall festgestellt werden, ob nach dem Sinn und Zweck der entsprechenden Gesetze die Vorschrift des § 275 BGB anwendbar sein soll. Die vollständige Belegung der vorhandenen Plätze zur frühkindlichen Förderung ist angesichts dessen nicht mit einer zivilrechtlichen zur Unmöglichkeit und teilweisen Leistungsbefreiung führenden Fallkonstellation vergleichbar, bei der sich der Schuldner zur Leistung aus einem begrenzten Vorrat mehreren Gläubigern gegenüber verpflichtet hat und der Vorrat nicht für die Belieferung aller Gläubiger ausreicht.</w:t>
      </w:r>
      <w:r w:rsidRPr="007D1377">
        <w:rPr>
          <w:vertAlign w:val="superscript"/>
        </w:rPr>
        <w:footnoteReference w:id="535"/>
      </w:r>
      <w:r w:rsidRPr="007D1377">
        <w:t xml:space="preserve"> Der Leistungsanspruch aus § 24 II SGB VIII unterliegt keinem Kapazitätsvorbehalt und schöpft daher nicht aus einem begrenzten Vorrat.</w:t>
      </w:r>
      <w:r w:rsidRPr="007D1377">
        <w:rPr>
          <w:vertAlign w:val="superscript"/>
        </w:rPr>
        <w:footnoteReference w:id="536"/>
      </w:r>
      <w:r w:rsidRPr="007D1377">
        <w:t xml:space="preserve"> Der Rechtsanspruch auf frühkindliche Förderung führt vielmehr zu einer unbedingten Gewährleistungspflicht des zuständigen Trägers der Jugendhilfe (vgl. § 79 II SGB VIII).</w:t>
      </w:r>
    </w:p>
    <w:p w14:paraId="3E1908BF" w14:textId="77777777" w:rsidR="007D1377" w:rsidRPr="007D1377" w:rsidRDefault="007D1377" w:rsidP="007D1377">
      <w:r w:rsidRPr="007D1377">
        <w:t>Weiter zu beachten ist der Sinn der Regelung in § 24 II SGB VIII. So soll ein tatsächliches Betreuungsangebot für alle Kinder unter drei Jahren geschaffen werden, um die Rahmenbedingungen für das Aufwachsen von Kindern und die Vereinbarkeit von Familie und Erwerbsleben zu verbessern, was auch im Sinne von Art. 6 I GG ist</w:t>
      </w:r>
      <w:r w:rsidRPr="007D1377">
        <w:rPr>
          <w:vertAlign w:val="superscript"/>
        </w:rPr>
        <w:footnoteReference w:id="537"/>
      </w:r>
      <w:r w:rsidRPr="007D1377">
        <w:t>. Durch den Verweis auf Sekundäransprüche kann dem nicht in gleichem Maße Rechnung getragen werden. Ein echtes Druckmittel verschafft erst die Einklagbarkeit dieses Anspruchs mit nachfolgendem Vollstreckungsverfahren, in dem ein Zwangsgeld festgesetzt werden kann (§ 172 VwGO) oder eine Selbstvornahme i.S.d. § 173 VwGO i.V.m. § 887 ZPO in Betracht kommt.</w:t>
      </w:r>
    </w:p>
    <w:p w14:paraId="61716917" w14:textId="77777777" w:rsidR="007D1377" w:rsidRPr="007D1377" w:rsidRDefault="007D1377" w:rsidP="007D1377">
      <w:r w:rsidRPr="007D1377">
        <w:t>Daher ist der Gegenansicht zu folgen.</w:t>
      </w:r>
    </w:p>
    <w:p w14:paraId="56D99229" w14:textId="5CD10555" w:rsidR="007D1377" w:rsidRPr="007D1377" w:rsidRDefault="00A10E8C" w:rsidP="007D1377">
      <w:r>
        <w:rPr>
          <w:i/>
        </w:rPr>
        <w:t>Lösungshinweis</w:t>
      </w:r>
      <w:r w:rsidR="007D1377" w:rsidRPr="007D1377">
        <w:rPr>
          <w:i/>
        </w:rPr>
        <w:t>: Eine andere Auffassung ist selbstverständlich – bei entsprechender Argumentation – gut vertretbar.</w:t>
      </w:r>
    </w:p>
    <w:p w14:paraId="73C923EE" w14:textId="77777777" w:rsidR="007D1377" w:rsidRPr="00250C2F" w:rsidRDefault="007D1377" w:rsidP="0077320D">
      <w:pPr>
        <w:pStyle w:val="berschrift8"/>
      </w:pPr>
      <w:bookmarkStart w:id="629" w:name="_Toc22133388"/>
      <w:r w:rsidRPr="00250C2F">
        <w:t>dd) Zwischenergebnis</w:t>
      </w:r>
      <w:bookmarkEnd w:id="629"/>
    </w:p>
    <w:p w14:paraId="1151A905" w14:textId="77777777" w:rsidR="007D1377" w:rsidRDefault="007D1377" w:rsidP="007D1377">
      <w:pPr>
        <w:pStyle w:val="Randnummer"/>
        <w:framePr w:wrap="around"/>
      </w:pPr>
    </w:p>
    <w:p w14:paraId="06745707" w14:textId="77777777" w:rsidR="007D1377" w:rsidRPr="007D1377" w:rsidRDefault="007D1377" w:rsidP="007D1377">
      <w:r w:rsidRPr="007D1377">
        <w:t>Somit hat K gegen die Stadt S einen Anspruch auf Kapazitätserweiterung, d.h. auf Schaffung und Zurverfügungstellung eines Platzes in einer Kindertageseinrichtung oder Kindertagespflege, der sich – insbesondere – in zumutbarer Entfernung befindet, § 24 II 1 SGB VIII.</w:t>
      </w:r>
    </w:p>
    <w:p w14:paraId="383B5ADF" w14:textId="77777777" w:rsidR="007D1377" w:rsidRPr="00250C2F" w:rsidRDefault="007D1377" w:rsidP="0077320D">
      <w:pPr>
        <w:pStyle w:val="berschrift7"/>
      </w:pPr>
      <w:bookmarkStart w:id="630" w:name="_Toc22133389"/>
      <w:r w:rsidRPr="00250C2F">
        <w:t>c) Zwischenergebnis</w:t>
      </w:r>
      <w:bookmarkEnd w:id="630"/>
    </w:p>
    <w:p w14:paraId="04CDD5D3" w14:textId="77777777" w:rsidR="007D1377" w:rsidRDefault="007D1377" w:rsidP="007D1377">
      <w:pPr>
        <w:pStyle w:val="Randnummer"/>
        <w:framePr w:wrap="around"/>
      </w:pPr>
    </w:p>
    <w:p w14:paraId="5819E0BF" w14:textId="77777777" w:rsidR="007D1377" w:rsidRPr="007D1377" w:rsidRDefault="007D1377" w:rsidP="007D1377">
      <w:r w:rsidRPr="007D1377">
        <w:t>K hat damit einen Anordnungsanspruch glaubhaft gemacht.</w:t>
      </w:r>
    </w:p>
    <w:p w14:paraId="73CFE104" w14:textId="77777777" w:rsidR="007D1377" w:rsidRPr="00250C2F" w:rsidRDefault="007D1377" w:rsidP="0077320D">
      <w:pPr>
        <w:pStyle w:val="berschrift5"/>
      </w:pPr>
      <w:bookmarkStart w:id="631" w:name="_Toc22133390"/>
      <w:r w:rsidRPr="00250C2F">
        <w:t>III. Keine Vorwegnahme der Hauptsache</w:t>
      </w:r>
      <w:bookmarkEnd w:id="631"/>
    </w:p>
    <w:p w14:paraId="6790AB2F" w14:textId="77777777" w:rsidR="007D1377" w:rsidRDefault="007D1377" w:rsidP="007D1377">
      <w:pPr>
        <w:pStyle w:val="Randnummer"/>
        <w:framePr w:wrap="around"/>
      </w:pPr>
    </w:p>
    <w:p w14:paraId="08F84A4C" w14:textId="77777777" w:rsidR="007D1377" w:rsidRDefault="007D1377" w:rsidP="007D1377">
      <w:r w:rsidRPr="007D1377">
        <w:t>Bei § 123 VwGO gilt das Verbot der Vorwegnahme der Hauptsache. Es darf also nicht etwas zugesprochen werden, was als Vorgriff auf den im Hauptsacheverfahren geltend zu machenden Anspruch anzusehen ist.</w:t>
      </w:r>
      <w:r w:rsidRPr="007D1377">
        <w:rPr>
          <w:vertAlign w:val="superscript"/>
        </w:rPr>
        <w:footnoteReference w:id="538"/>
      </w:r>
      <w:r w:rsidRPr="007D1377">
        <w:t xml:space="preserve"> Wird K – bis zur Entscheidung in der Hauptsache – ein Anspruch auf die Schaffung/Einräumung eines Betreuungsplatzes eingeräumt, liegt darin eine teilweise Vorwegnahme der Hauptsache. Von dem Verbot der Vorwegnahme der Hauptsache sind aber aufgrund des Gebots des effektiven Rechtsschutzes nach Art. 19 IV 1 GG Ausnahmen anerkannt. Zu verhindern ist, dass zu Lasten des Antragstellers eine erhebliche, über Randbereiche hinausgehende Verletzung in seinen Rechten eintritt, die durch die Entscheidung in der Hauptsache nicht mehr beseitigt werden kann. Hier würde die Unterlassung der einstweiligen Anordnung dazu führen, dass für den gegenständlichen Zeitraum der Anspruch der K aus § 24 II SGB VIII irreversibel erledigt wäre. Dieser drohende irreparable Nachteil ist für K unzumutbar, zumal in der Hauptsache eine hohe Wahrscheinlichkeit besteht, dass sie obsiegt. Somit steht das Vorwegnahmeverbot der Regelungsanordnung nicht entgegen.</w:t>
      </w:r>
      <w:r w:rsidRPr="007D1377">
        <w:rPr>
          <w:vertAlign w:val="superscript"/>
        </w:rPr>
        <w:footnoteReference w:id="539"/>
      </w:r>
    </w:p>
    <w:p w14:paraId="0697A83A" w14:textId="77777777" w:rsidR="0077320D" w:rsidRPr="007D1377" w:rsidRDefault="0077320D" w:rsidP="007D1377"/>
    <w:p w14:paraId="3846F231" w14:textId="77777777" w:rsidR="007D1377" w:rsidRPr="00250C2F" w:rsidRDefault="007D1377" w:rsidP="0077320D">
      <w:pPr>
        <w:pStyle w:val="berschrift4"/>
      </w:pPr>
      <w:bookmarkStart w:id="632" w:name="_Toc22133391"/>
      <w:r w:rsidRPr="00250C2F">
        <w:t>D. Ergebnis</w:t>
      </w:r>
      <w:bookmarkEnd w:id="632"/>
    </w:p>
    <w:p w14:paraId="3404185F" w14:textId="77777777" w:rsidR="007D1377" w:rsidRDefault="007D1377" w:rsidP="007D1377">
      <w:pPr>
        <w:pStyle w:val="Randnummer"/>
        <w:framePr w:wrap="around"/>
      </w:pPr>
    </w:p>
    <w:p w14:paraId="52B680BB" w14:textId="3E757893" w:rsidR="007E71EB" w:rsidRDefault="007D1377" w:rsidP="007E71EB">
      <w:r w:rsidRPr="007D1377">
        <w:t>Der Antrag der K ist zulässig und begründet und hat daher Aussicht auf Erfolg.</w:t>
      </w:r>
      <w:bookmarkEnd w:id="584"/>
      <w:bookmarkEnd w:id="605"/>
    </w:p>
    <w:p w14:paraId="3B9F75CC" w14:textId="77777777" w:rsidR="007E71EB" w:rsidRDefault="007E71EB" w:rsidP="007E71EB"/>
    <w:p w14:paraId="00FC4C7D" w14:textId="77777777" w:rsidR="007E71EB" w:rsidRDefault="007E71EB" w:rsidP="007E71EB">
      <w:pPr>
        <w:sectPr w:rsidR="007E71EB" w:rsidSect="000C4535">
          <w:footnotePr>
            <w:numRestart w:val="eachSect"/>
          </w:footnotePr>
          <w:pgSz w:w="9639" w:h="13608"/>
          <w:pgMar w:top="1418" w:right="1134" w:bottom="1134" w:left="1134" w:header="709" w:footer="709" w:gutter="0"/>
          <w:cols w:space="708"/>
          <w:docGrid w:linePitch="360"/>
        </w:sectPr>
      </w:pPr>
    </w:p>
    <w:p w14:paraId="1F44D6AA" w14:textId="16F4D790" w:rsidR="0087092B" w:rsidRDefault="008779DD" w:rsidP="0087092B">
      <w:pPr>
        <w:pStyle w:val="berschrift1"/>
      </w:pPr>
      <w:bookmarkStart w:id="633" w:name="_Toc10464388"/>
      <w:bookmarkStart w:id="634" w:name="_Toc3891118"/>
      <w:bookmarkStart w:id="635" w:name="_Toc22132796"/>
      <w:r>
        <w:t xml:space="preserve">§ </w:t>
      </w:r>
      <w:r w:rsidR="00601E96">
        <w:t>10</w:t>
      </w:r>
      <w:r>
        <w:t xml:space="preserve"> Übung</w:t>
      </w:r>
      <w:r w:rsidR="003518A6">
        <w:t>s</w:t>
      </w:r>
      <w:r>
        <w:t>fall zum Recht der ö</w:t>
      </w:r>
      <w:r w:rsidR="0087092B" w:rsidRPr="0087092B">
        <w:t>ffentliche</w:t>
      </w:r>
      <w:r>
        <w:t>n</w:t>
      </w:r>
      <w:r w:rsidR="0087092B" w:rsidRPr="0087092B">
        <w:t xml:space="preserve"> Ersatzleistungen</w:t>
      </w:r>
      <w:bookmarkEnd w:id="633"/>
      <w:bookmarkEnd w:id="634"/>
      <w:bookmarkEnd w:id="635"/>
    </w:p>
    <w:p w14:paraId="78A1B01B" w14:textId="22AD007D" w:rsidR="0087092B" w:rsidRDefault="008779DD" w:rsidP="00A64FD5">
      <w:pPr>
        <w:pStyle w:val="berschrift2"/>
      </w:pPr>
      <w:bookmarkStart w:id="636" w:name="_Toc10464461"/>
      <w:bookmarkStart w:id="637" w:name="_Toc13828854"/>
      <w:bookmarkStart w:id="638" w:name="_Toc22132797"/>
      <w:bookmarkStart w:id="639" w:name="Ersatzleistungen"/>
      <w:r>
        <w:t>F</w:t>
      </w:r>
      <w:r w:rsidR="00A64FD5">
        <w:t>all</w:t>
      </w:r>
      <w:r w:rsidR="00F1012B">
        <w:t xml:space="preserve"> 16</w:t>
      </w:r>
      <w:r w:rsidR="000B7A1C">
        <w:t xml:space="preserve">: </w:t>
      </w:r>
      <w:r w:rsidR="00D02C88">
        <w:t>Staatshaftung für unzureichende Badeaufsicht</w:t>
      </w:r>
      <w:r w:rsidR="000B7A1C">
        <w:t xml:space="preserve"> </w:t>
      </w:r>
      <w:r w:rsidR="00980E70">
        <w:t>(Jana Himstedt)</w:t>
      </w:r>
      <w:bookmarkEnd w:id="636"/>
      <w:bookmarkEnd w:id="637"/>
      <w:bookmarkEnd w:id="638"/>
    </w:p>
    <w:p w14:paraId="25805D7B" w14:textId="5BEB7E17" w:rsidR="00261442" w:rsidRPr="00261442" w:rsidRDefault="00261442" w:rsidP="00261442">
      <w:pPr>
        <w:pStyle w:val="Autorin"/>
      </w:pPr>
      <w:r>
        <w:t>Jana Himstedt</w:t>
      </w:r>
    </w:p>
    <w:p w14:paraId="50A66099" w14:textId="77777777" w:rsidR="00653B1A" w:rsidRDefault="00653B1A" w:rsidP="005A16FB">
      <w:pPr>
        <w:pStyle w:val="Randnummer"/>
        <w:framePr w:wrap="around"/>
        <w:numPr>
          <w:ilvl w:val="0"/>
          <w:numId w:val="14"/>
        </w:numPr>
      </w:pPr>
    </w:p>
    <w:p w14:paraId="45C383EB" w14:textId="703F7A0F" w:rsidR="00A64FD5" w:rsidRDefault="00A64FD5" w:rsidP="00A64FD5">
      <w:r w:rsidRPr="00A64FD5">
        <w:t xml:space="preserve">Der Übungsfall ist angelehnt an: </w:t>
      </w:r>
      <w:hyperlink r:id="rId57" w:history="1">
        <w:r w:rsidR="00D02C88">
          <w:rPr>
            <w:rStyle w:val="Hyperlink"/>
          </w:rPr>
          <w:t>BGH, U</w:t>
        </w:r>
        <w:r w:rsidR="00D02C88" w:rsidRPr="00AF6ACE">
          <w:rPr>
            <w:rStyle w:val="Hyperlink"/>
          </w:rPr>
          <w:t>rt. v. 23.11.2017, Az.: III ZR 60/16</w:t>
        </w:r>
      </w:hyperlink>
      <w:r w:rsidRPr="00A64FD5">
        <w:t xml:space="preserve"> = NJW 2018, 301</w:t>
      </w:r>
    </w:p>
    <w:p w14:paraId="1492E5F7" w14:textId="77777777" w:rsidR="00A512B6" w:rsidRPr="00A64FD5" w:rsidRDefault="00A512B6" w:rsidP="00A512B6">
      <w:pPr>
        <w:pStyle w:val="Randnummer"/>
        <w:framePr w:wrap="around"/>
      </w:pPr>
    </w:p>
    <w:p w14:paraId="78A8B146" w14:textId="5C766F46" w:rsidR="00A64FD5" w:rsidRDefault="00A64FD5" w:rsidP="00A64FD5">
      <w:r w:rsidRPr="00113AB2">
        <w:t>Schwerpunkte</w:t>
      </w:r>
      <w:r w:rsidR="00113AB2" w:rsidRPr="00113AB2">
        <w:t>/Lernziele</w:t>
      </w:r>
      <w:r w:rsidRPr="00113AB2">
        <w:t xml:space="preserve">: </w:t>
      </w:r>
      <w:r w:rsidRPr="00A64FD5">
        <w:t>Amtshaftungsanspruch (§ 839 BGB i. V. m. Art. 34 GG), Verwaltungsschuldverhältnis, Allgemeiner Aufopferungsanspruch</w:t>
      </w:r>
    </w:p>
    <w:p w14:paraId="53A5BC33" w14:textId="77777777" w:rsidR="00250C2F" w:rsidRPr="00A64FD5" w:rsidRDefault="00250C2F" w:rsidP="00A64FD5"/>
    <w:p w14:paraId="44028A1E" w14:textId="77777777" w:rsidR="00A64FD5" w:rsidRPr="00250C2F" w:rsidRDefault="00A64FD5" w:rsidP="0001383E">
      <w:pPr>
        <w:pStyle w:val="berschrift3"/>
      </w:pPr>
      <w:r w:rsidRPr="00250C2F">
        <w:t>Sachverhalt</w:t>
      </w:r>
    </w:p>
    <w:p w14:paraId="3E9F5304" w14:textId="77777777" w:rsidR="00653B1A" w:rsidRDefault="00653B1A" w:rsidP="00653B1A">
      <w:pPr>
        <w:pStyle w:val="Randnummer"/>
        <w:framePr w:wrap="around"/>
      </w:pPr>
    </w:p>
    <w:p w14:paraId="30797D23" w14:textId="2D385513" w:rsidR="00A64FD5" w:rsidRPr="00A64FD5" w:rsidRDefault="00A64FD5" w:rsidP="00A64FD5">
      <w:r w:rsidRPr="00A64FD5">
        <w:t xml:space="preserve">Die im Land L gelegene Gemeinde G betreibt einen künstlich angelegten, aber naturnah gestalteten Badesee. Die Anlage ist gegen Zahlung einer „Nutzungsgebühr“ öffentlich zugänglich. Die am Eingang gut sichtbar ausgehängte satzungsförmige „Betriebs- und Badeordnung“ bestimmt </w:t>
      </w:r>
      <w:r w:rsidR="00051075">
        <w:t>u.a.</w:t>
      </w:r>
      <w:r w:rsidRPr="00A64FD5">
        <w:t>:</w:t>
      </w:r>
    </w:p>
    <w:p w14:paraId="3FC27232" w14:textId="77777777" w:rsidR="00A64FD5" w:rsidRPr="00A64FD5" w:rsidRDefault="00A64FD5" w:rsidP="00A64FD5">
      <w:pPr>
        <w:rPr>
          <w:b/>
          <w:i/>
        </w:rPr>
      </w:pPr>
      <w:r w:rsidRPr="00A64FD5">
        <w:rPr>
          <w:i/>
        </w:rPr>
        <w:t>„</w:t>
      </w:r>
      <w:r w:rsidRPr="00A64FD5">
        <w:rPr>
          <w:b/>
          <w:i/>
        </w:rPr>
        <w:t>§ 1 Anstaltszweck</w:t>
      </w:r>
    </w:p>
    <w:p w14:paraId="21A3B0C6" w14:textId="77777777" w:rsidR="00A64FD5" w:rsidRPr="00A64FD5" w:rsidRDefault="00A64FD5" w:rsidP="00A64FD5">
      <w:pPr>
        <w:rPr>
          <w:i/>
        </w:rPr>
      </w:pPr>
      <w:r w:rsidRPr="00A64FD5">
        <w:rPr>
          <w:i/>
        </w:rPr>
        <w:t>Das Freibad ist eine nichtrechtsfähige Anstalt des öffentlichen Rechts der Stadt G. Diese unterhält das Freibad als öffentliche Einrichtung zur Förderung der sportlichen Betätigung, der Gesundheit und der Erholung der Bevölkerung.</w:t>
      </w:r>
    </w:p>
    <w:p w14:paraId="1FC14FC8" w14:textId="77777777" w:rsidR="00A64FD5" w:rsidRPr="00A64FD5" w:rsidRDefault="00A64FD5" w:rsidP="00A64FD5">
      <w:pPr>
        <w:rPr>
          <w:b/>
          <w:i/>
        </w:rPr>
      </w:pPr>
      <w:r w:rsidRPr="00A64FD5">
        <w:rPr>
          <w:b/>
          <w:i/>
        </w:rPr>
        <w:t>§ 2 Zulassung</w:t>
      </w:r>
    </w:p>
    <w:p w14:paraId="561E79CE" w14:textId="77777777" w:rsidR="00A64FD5" w:rsidRPr="00A64FD5" w:rsidRDefault="00A64FD5" w:rsidP="00A64FD5">
      <w:pPr>
        <w:rPr>
          <w:i/>
        </w:rPr>
      </w:pPr>
      <w:r w:rsidRPr="00A64FD5">
        <w:rPr>
          <w:i/>
        </w:rPr>
        <w:t>Zur Benutzung des Bades und seiner Einrichtungen ist nach Entrichtung der entsprechenden Gebühr grundsätzlich jedermann zugelassen. Kinder und Jugendliche unter 16 Jahren werden für den Badebetrieb nur in Begleitung einer aufsichtführenden Person, die das 18. Lebensjahr vollendet hat, und mit Einwilligung der gesetzlichen Vertretung zugelassen. […]</w:t>
      </w:r>
    </w:p>
    <w:p w14:paraId="6A33BEFB" w14:textId="77777777" w:rsidR="00A64FD5" w:rsidRPr="00A64FD5" w:rsidRDefault="00A64FD5" w:rsidP="00A64FD5">
      <w:pPr>
        <w:rPr>
          <w:b/>
          <w:i/>
        </w:rPr>
      </w:pPr>
      <w:r w:rsidRPr="00A64FD5">
        <w:rPr>
          <w:b/>
          <w:i/>
        </w:rPr>
        <w:t>§ 10 Betriebshaftung</w:t>
      </w:r>
    </w:p>
    <w:p w14:paraId="5E3299A5" w14:textId="77777777" w:rsidR="00A64FD5" w:rsidRPr="00A64FD5" w:rsidRDefault="00A64FD5" w:rsidP="00A64FD5">
      <w:pPr>
        <w:rPr>
          <w:i/>
        </w:rPr>
      </w:pPr>
      <w:r w:rsidRPr="00A64FD5">
        <w:rPr>
          <w:i/>
        </w:rPr>
        <w:t>Die Benutzung der Anlage erfolgt auf eigene Gefahr und Verantwortung. Für Unfälle haftet die Betreiberin nur, soweit dem Badepersonal vorsätzliches oder grob fahrlässiges Verschulden nachgewiesen werden kann.“</w:t>
      </w:r>
    </w:p>
    <w:p w14:paraId="563D2F73" w14:textId="77777777" w:rsidR="00A64FD5" w:rsidRPr="00A64FD5" w:rsidRDefault="00A64FD5" w:rsidP="00A64FD5">
      <w:r w:rsidRPr="00A64FD5">
        <w:t xml:space="preserve">Das Schwimmbad bietet einen etwa neun Meter breiten und zwölf Meter langen Badebereich, in welchem die Wassertiefe mehrere Meter beträgt. An dessen westlicher Seite befindet sich ein Sprungfelsen samt eines ihn umgebenden Sprungbereichs. Letzterer ist vom übrigen Schwimmareal mittels leuchtend orangefarbener Bojen abgegrenzt, deren Durchmesser etwa 30 cm beträgt und die in einem Abstand von 2,5 m jeweils einzeln mithilfe einer am Boden befindlichen Verankerung durch starke Seile befestigt sind. </w:t>
      </w:r>
    </w:p>
    <w:p w14:paraId="045226D2" w14:textId="74510F46" w:rsidR="00A64FD5" w:rsidRPr="00A64FD5" w:rsidRDefault="00A64FD5" w:rsidP="00A64FD5">
      <w:r w:rsidRPr="00A64FD5">
        <w:t>Am 10. Juli 2018 besucht die 16-jährige K das Schwimmbad. Wegen wechselhafter Witterungsverhältnisse ist der Badebetrieb an diesem Tag insgesamt wenig rege. Aus Umständen, die im Nachhinein nicht mehr aufgeklärt werden können, verfängt sie sich beim Baden mit einem Arm im Befestigungsseil einer der Bojen, welche hierdurch mindestens teilweise unter die Wasseroberfläche gezogen wird. Der bei der G angestellte Schwimmmeister S befindet sich zu diesem Zeitpunkt auf einem Steg im Bereich des Sprungfelsens, von welchem er den gesamten Badebereich gut einsehen kann. Dennoch bemerkt er die Absenkung der Boje erst nach etwa fünf Minuten. Auf diese Auffälligkeit spricht er zunächst zwei in der Nähe befindliche Mädchen an. Denn in der Vergangenheit ist es wiederholt vorgekommen, dass Kinder und Jugendliche einzelne Bojen an den Befestigungsseilen unter Wasser gezogen oder miteinander verknotet haben. Als die Mädchen erklären, nicht an der Boje gespielt zu haben, bittet der S einen ihm bekannten Jugendlichen, nach der Boje zu schauen. Dieser unternimmt daraufhin einige kurze Tauchgänge und berichtet S sodann, hierbei „etwas Glitschiges“ bemerkt zu haben. S, dem die Situation nun nach wie vor klärungsbedürftig erscheint, holt sich daraufhin eine Schwimmbrille aus dem Gerätehaus und begibt sich ins Wasser, um die Boje selbst zu überprüfen. Dabei findet er die mittlerweile leblose K vor, die er unmittelbar an Land verbringt und zu reanimieren beginnt. Die Reanimation verläuft erfolgreich; dennoch muss K im Anschluss über Monate hinweg stationär und ambulant behandelt werden. Vor allem aber bleiben infolge des langen Sauerstoffentzugs – insgesamt 11 Minuten – schwerwiegende und dauerhafte Hirnschäden bei ihr zurück, infolge welcher K lebenslange Pflege benötigen wird.</w:t>
      </w:r>
    </w:p>
    <w:p w14:paraId="5EA80A2C" w14:textId="77777777" w:rsidR="00A64FD5" w:rsidRPr="00A64FD5" w:rsidRDefault="00A64FD5" w:rsidP="00A64FD5">
      <w:r w:rsidRPr="00A64FD5">
        <w:t>In der Folgezeit erheben die Eltern der K in deren Namen Klage und verlangen Erstattung der angefallenen wie fortlaufenden Behandlungs- und Pflegekosten wie auch Schmerzensgeld von der G. Im Prozess tragen sie vor, durch ein rechtzeitiges Einschreiten des S hätten die Gesundheitsschäden – jedenfalls im vorliegenden Schweregrad – verhindert werden können. Das Absinken der Boje und die Bewegungen unter der Wasserfläche hätten jenem viel früher, spätestens aber nach zwei Minuten, auffallen müssen. Eine sachgerechte Rettung hätte dann innerhalb einer Minute erfolgen können. Stattdessen sei S nicht nur unaufmerksam gewesen, sondern habe überdies zunächst völlig ungeeignete Maßnahmen ergriffen. Die G hingegen trägt vor, ihrer Haftung stehe schon der fehlende Nachweis der Kausalität zwischen einer etwaigen Pflichtverletzung des S und den eingetretenen Schäden entgegen.</w:t>
      </w:r>
    </w:p>
    <w:p w14:paraId="6F9B298D" w14:textId="77777777" w:rsidR="00A64FD5" w:rsidRPr="00A64FD5" w:rsidRDefault="00A64FD5" w:rsidP="00A64FD5">
      <w:r w:rsidRPr="00A64FD5">
        <w:t>Nach den im Prozess herangezogenen Sachverständigengutachten – deren Richtigkeit zu unterstellen ist – treten solche Hirnschäden, wie sie K erlitten hat, ab einer Verweildauer von zweieinhalb bis fünf Minuten unter Wasser ein. Wann exakt der Sauerstoffmangel allerdings bei K zu den bleibenden Schäden geführt hat, ist im Nachhinein nicht mehr feststellbar. Auch wird gutachterlich bestätigt, dass die von G gewählte Art der Bojenbefestigung keine gegenüber anderen Befestigungssystemen erhöhten Risiken berge; alle erhältlichen Befestigungsmittel würden jeweils spezifische Gefahren verursachen und an einschlägigen fachlichen Regelwerken für Badebetriebe fehle es insoweit. Die technische Umsetzung der Befestigungen sei ebenfalls sachgemäß erfolgt. Ein Unfall mit den Seilen ist bis dahin noch nie vorgekommen.</w:t>
      </w:r>
    </w:p>
    <w:p w14:paraId="496AD8D5" w14:textId="77777777" w:rsidR="00A64FD5" w:rsidRPr="00A64FD5" w:rsidRDefault="00A64FD5" w:rsidP="00A64FD5">
      <w:pPr>
        <w:rPr>
          <w:b/>
        </w:rPr>
      </w:pPr>
      <w:r w:rsidRPr="00A64FD5">
        <w:rPr>
          <w:b/>
        </w:rPr>
        <w:t>Frage 1: Auf welchem Rechtsweg und bei welchem Gericht wäre eine entsprechende Klage anhängig zu machen?</w:t>
      </w:r>
    </w:p>
    <w:p w14:paraId="50FD5BF8" w14:textId="77777777" w:rsidR="00A64FD5" w:rsidRDefault="00A64FD5" w:rsidP="00A64FD5">
      <w:pPr>
        <w:rPr>
          <w:b/>
        </w:rPr>
      </w:pPr>
      <w:r w:rsidRPr="00A64FD5">
        <w:rPr>
          <w:b/>
        </w:rPr>
        <w:t>Frage 2: Stehen K die geltend gemachten Ansprüche gegen die G zu?</w:t>
      </w:r>
    </w:p>
    <w:p w14:paraId="441065CF" w14:textId="77777777" w:rsidR="00095F85" w:rsidRPr="00A64FD5" w:rsidRDefault="00095F85" w:rsidP="00A64FD5">
      <w:pPr>
        <w:rPr>
          <w:b/>
        </w:rPr>
      </w:pPr>
    </w:p>
    <w:p w14:paraId="703414A4" w14:textId="77777777" w:rsidR="00A64FD5" w:rsidRPr="00113AB2" w:rsidRDefault="00A64FD5" w:rsidP="00A64FD5">
      <w:pPr>
        <w:rPr>
          <w:i/>
        </w:rPr>
      </w:pPr>
      <w:r w:rsidRPr="00113AB2">
        <w:rPr>
          <w:b/>
          <w:i/>
        </w:rPr>
        <w:t>Bearbeitungshinweise:</w:t>
      </w:r>
      <w:r w:rsidRPr="00113AB2">
        <w:rPr>
          <w:i/>
        </w:rPr>
        <w:t xml:space="preserve"> </w:t>
      </w:r>
    </w:p>
    <w:p w14:paraId="1908CE6B" w14:textId="77777777" w:rsidR="00A64FD5" w:rsidRPr="00A64FD5" w:rsidRDefault="00A64FD5" w:rsidP="005A16FB">
      <w:pPr>
        <w:numPr>
          <w:ilvl w:val="0"/>
          <w:numId w:val="4"/>
        </w:numPr>
      </w:pPr>
      <w:r w:rsidRPr="00A64FD5">
        <w:t>Allgemeine Verkehrssicherungspflichten der G sind nicht zu prüfen.</w:t>
      </w:r>
    </w:p>
    <w:p w14:paraId="01E395A6" w14:textId="77777777" w:rsidR="00A64FD5" w:rsidRPr="00A64FD5" w:rsidRDefault="00A64FD5" w:rsidP="005A16FB">
      <w:pPr>
        <w:numPr>
          <w:ilvl w:val="0"/>
          <w:numId w:val="4"/>
        </w:numPr>
      </w:pPr>
      <w:r w:rsidRPr="00A64FD5">
        <w:t>Das VwVfG des Landes L (VwVfG-L) entspricht demjenigen des Bundes.</w:t>
      </w:r>
    </w:p>
    <w:p w14:paraId="29EB9D3F" w14:textId="523B141E" w:rsidR="00113AB2" w:rsidRDefault="00A64FD5" w:rsidP="005A16FB">
      <w:pPr>
        <w:numPr>
          <w:ilvl w:val="0"/>
          <w:numId w:val="4"/>
        </w:numPr>
      </w:pPr>
      <w:r w:rsidRPr="00A64FD5">
        <w:t>Es ist davon auszugehen, dass die „Betriebs- und Badeordnung“ der G von deren kommunaler Satzungsbefugnis nach der Gemeindeordnung des Landes L gedeckt ist und dass Aufsichtspflichtverletzungen durch die Eltern der K nicht vorliegen.</w:t>
      </w:r>
    </w:p>
    <w:p w14:paraId="2BAAF79A" w14:textId="77777777" w:rsidR="0001383E" w:rsidRDefault="0001383E">
      <w:pPr>
        <w:jc w:val="left"/>
        <w:rPr>
          <w:rFonts w:ascii="Calibri" w:eastAsiaTheme="majorEastAsia" w:hAnsi="Calibri" w:cstheme="majorBidi"/>
          <w:sz w:val="26"/>
          <w:szCs w:val="26"/>
        </w:rPr>
      </w:pPr>
      <w:r>
        <w:br w:type="page"/>
      </w:r>
    </w:p>
    <w:p w14:paraId="29B93A42" w14:textId="3FE768C4" w:rsidR="00250C2F" w:rsidRPr="00250C2F" w:rsidRDefault="00250C2F" w:rsidP="0001383E">
      <w:pPr>
        <w:pStyle w:val="berschrift3"/>
      </w:pPr>
      <w:r w:rsidRPr="00250C2F">
        <w:t>Lösungsgliederung</w:t>
      </w:r>
    </w:p>
    <w:p w14:paraId="221109BE" w14:textId="77777777" w:rsidR="00250C2F" w:rsidRDefault="00250C2F" w:rsidP="00250C2F">
      <w:pPr>
        <w:pStyle w:val="Randnummer"/>
        <w:framePr w:wrap="around"/>
      </w:pPr>
    </w:p>
    <w:p w14:paraId="6EFF3CE5" w14:textId="4682374A" w:rsidR="007537A8" w:rsidRDefault="000434BF">
      <w:pPr>
        <w:pStyle w:val="Verzeichnis3"/>
        <w:tabs>
          <w:tab w:val="right" w:leader="dot" w:pos="7361"/>
        </w:tabs>
        <w:rPr>
          <w:rFonts w:eastAsiaTheme="minorEastAsia"/>
          <w:noProof/>
          <w:sz w:val="22"/>
          <w:szCs w:val="22"/>
          <w:lang w:eastAsia="de-DE"/>
        </w:rPr>
      </w:pPr>
      <w:r>
        <w:rPr>
          <w:rFonts w:eastAsiaTheme="majorEastAsia"/>
        </w:rPr>
        <w:fldChar w:fldCharType="begin"/>
      </w:r>
      <w:r>
        <w:rPr>
          <w:rFonts w:eastAsiaTheme="majorEastAsia"/>
        </w:rPr>
        <w:instrText xml:space="preserve"> TOC \o "1-9" \h \z \u \b "Fall16" </w:instrText>
      </w:r>
      <w:r>
        <w:rPr>
          <w:rFonts w:eastAsiaTheme="majorEastAsia"/>
        </w:rPr>
        <w:fldChar w:fldCharType="separate"/>
      </w:r>
      <w:hyperlink w:anchor="_Toc22133392" w:history="1">
        <w:r w:rsidR="007537A8" w:rsidRPr="003D724A">
          <w:rPr>
            <w:rStyle w:val="Hyperlink"/>
            <w:noProof/>
          </w:rPr>
          <w:t>Lösungsvorschlag</w:t>
        </w:r>
        <w:r w:rsidR="007537A8">
          <w:rPr>
            <w:noProof/>
            <w:webHidden/>
          </w:rPr>
          <w:tab/>
        </w:r>
        <w:r w:rsidR="007537A8">
          <w:rPr>
            <w:noProof/>
            <w:webHidden/>
          </w:rPr>
          <w:fldChar w:fldCharType="begin"/>
        </w:r>
        <w:r w:rsidR="007537A8">
          <w:rPr>
            <w:noProof/>
            <w:webHidden/>
          </w:rPr>
          <w:instrText xml:space="preserve"> PAGEREF _Toc22133392 \h </w:instrText>
        </w:r>
        <w:r w:rsidR="007537A8">
          <w:rPr>
            <w:noProof/>
            <w:webHidden/>
          </w:rPr>
        </w:r>
        <w:r w:rsidR="007537A8">
          <w:rPr>
            <w:noProof/>
            <w:webHidden/>
          </w:rPr>
          <w:fldChar w:fldCharType="separate"/>
        </w:r>
        <w:r w:rsidR="007537A8">
          <w:rPr>
            <w:noProof/>
            <w:webHidden/>
          </w:rPr>
          <w:t>251</w:t>
        </w:r>
        <w:r w:rsidR="007537A8">
          <w:rPr>
            <w:noProof/>
            <w:webHidden/>
          </w:rPr>
          <w:fldChar w:fldCharType="end"/>
        </w:r>
      </w:hyperlink>
    </w:p>
    <w:p w14:paraId="50D00604" w14:textId="61D97507" w:rsidR="007537A8" w:rsidRDefault="00091FED">
      <w:pPr>
        <w:pStyle w:val="Verzeichnis4"/>
        <w:tabs>
          <w:tab w:val="right" w:leader="dot" w:pos="7361"/>
        </w:tabs>
        <w:rPr>
          <w:rFonts w:eastAsiaTheme="minorEastAsia"/>
          <w:noProof/>
          <w:sz w:val="22"/>
          <w:szCs w:val="22"/>
          <w:lang w:eastAsia="de-DE"/>
        </w:rPr>
      </w:pPr>
      <w:hyperlink w:anchor="_Toc22133393" w:history="1">
        <w:r w:rsidR="007537A8" w:rsidRPr="003D724A">
          <w:rPr>
            <w:rStyle w:val="Hyperlink"/>
            <w:noProof/>
          </w:rPr>
          <w:t>Frage 1</w:t>
        </w:r>
        <w:r w:rsidR="007537A8">
          <w:rPr>
            <w:noProof/>
            <w:webHidden/>
          </w:rPr>
          <w:tab/>
        </w:r>
        <w:r w:rsidR="007537A8">
          <w:rPr>
            <w:noProof/>
            <w:webHidden/>
          </w:rPr>
          <w:fldChar w:fldCharType="begin"/>
        </w:r>
        <w:r w:rsidR="007537A8">
          <w:rPr>
            <w:noProof/>
            <w:webHidden/>
          </w:rPr>
          <w:instrText xml:space="preserve"> PAGEREF _Toc22133393 \h </w:instrText>
        </w:r>
        <w:r w:rsidR="007537A8">
          <w:rPr>
            <w:noProof/>
            <w:webHidden/>
          </w:rPr>
        </w:r>
        <w:r w:rsidR="007537A8">
          <w:rPr>
            <w:noProof/>
            <w:webHidden/>
          </w:rPr>
          <w:fldChar w:fldCharType="separate"/>
        </w:r>
        <w:r w:rsidR="007537A8">
          <w:rPr>
            <w:noProof/>
            <w:webHidden/>
          </w:rPr>
          <w:t>251</w:t>
        </w:r>
        <w:r w:rsidR="007537A8">
          <w:rPr>
            <w:noProof/>
            <w:webHidden/>
          </w:rPr>
          <w:fldChar w:fldCharType="end"/>
        </w:r>
      </w:hyperlink>
    </w:p>
    <w:p w14:paraId="5783A5C9" w14:textId="15463429" w:rsidR="007537A8" w:rsidRDefault="00091FED">
      <w:pPr>
        <w:pStyle w:val="Verzeichnis4"/>
        <w:tabs>
          <w:tab w:val="right" w:leader="dot" w:pos="7361"/>
        </w:tabs>
        <w:rPr>
          <w:rFonts w:eastAsiaTheme="minorEastAsia"/>
          <w:noProof/>
          <w:sz w:val="22"/>
          <w:szCs w:val="22"/>
          <w:lang w:eastAsia="de-DE"/>
        </w:rPr>
      </w:pPr>
      <w:hyperlink w:anchor="_Toc22133394" w:history="1">
        <w:r w:rsidR="007537A8" w:rsidRPr="003D724A">
          <w:rPr>
            <w:rStyle w:val="Hyperlink"/>
            <w:noProof/>
          </w:rPr>
          <w:t>Frage 2</w:t>
        </w:r>
        <w:r w:rsidR="007537A8">
          <w:rPr>
            <w:noProof/>
            <w:webHidden/>
          </w:rPr>
          <w:tab/>
        </w:r>
        <w:r w:rsidR="007537A8">
          <w:rPr>
            <w:noProof/>
            <w:webHidden/>
          </w:rPr>
          <w:fldChar w:fldCharType="begin"/>
        </w:r>
        <w:r w:rsidR="007537A8">
          <w:rPr>
            <w:noProof/>
            <w:webHidden/>
          </w:rPr>
          <w:instrText xml:space="preserve"> PAGEREF _Toc22133394 \h </w:instrText>
        </w:r>
        <w:r w:rsidR="007537A8">
          <w:rPr>
            <w:noProof/>
            <w:webHidden/>
          </w:rPr>
        </w:r>
        <w:r w:rsidR="007537A8">
          <w:rPr>
            <w:noProof/>
            <w:webHidden/>
          </w:rPr>
          <w:fldChar w:fldCharType="separate"/>
        </w:r>
        <w:r w:rsidR="007537A8">
          <w:rPr>
            <w:noProof/>
            <w:webHidden/>
          </w:rPr>
          <w:t>252</w:t>
        </w:r>
        <w:r w:rsidR="007537A8">
          <w:rPr>
            <w:noProof/>
            <w:webHidden/>
          </w:rPr>
          <w:fldChar w:fldCharType="end"/>
        </w:r>
      </w:hyperlink>
    </w:p>
    <w:p w14:paraId="707C0428" w14:textId="2B95EF4D" w:rsidR="007537A8" w:rsidRDefault="00091FED">
      <w:pPr>
        <w:pStyle w:val="Verzeichnis5"/>
        <w:tabs>
          <w:tab w:val="right" w:leader="dot" w:pos="7361"/>
        </w:tabs>
        <w:rPr>
          <w:rFonts w:eastAsiaTheme="minorEastAsia"/>
          <w:noProof/>
          <w:sz w:val="22"/>
          <w:szCs w:val="22"/>
          <w:lang w:eastAsia="de-DE"/>
        </w:rPr>
      </w:pPr>
      <w:hyperlink w:anchor="_Toc22133395" w:history="1">
        <w:r w:rsidR="007537A8" w:rsidRPr="003D724A">
          <w:rPr>
            <w:rStyle w:val="Hyperlink"/>
            <w:noProof/>
          </w:rPr>
          <w:t>A. Schadensersatzanspruch aus öffentlich-rechtlichem Benutzungsverhältnis (§§ 280 I, 241 II BGB analog)</w:t>
        </w:r>
        <w:r w:rsidR="007537A8">
          <w:rPr>
            <w:noProof/>
            <w:webHidden/>
          </w:rPr>
          <w:tab/>
        </w:r>
        <w:r w:rsidR="007537A8">
          <w:rPr>
            <w:noProof/>
            <w:webHidden/>
          </w:rPr>
          <w:fldChar w:fldCharType="begin"/>
        </w:r>
        <w:r w:rsidR="007537A8">
          <w:rPr>
            <w:noProof/>
            <w:webHidden/>
          </w:rPr>
          <w:instrText xml:space="preserve"> PAGEREF _Toc22133395 \h </w:instrText>
        </w:r>
        <w:r w:rsidR="007537A8">
          <w:rPr>
            <w:noProof/>
            <w:webHidden/>
          </w:rPr>
        </w:r>
        <w:r w:rsidR="007537A8">
          <w:rPr>
            <w:noProof/>
            <w:webHidden/>
          </w:rPr>
          <w:fldChar w:fldCharType="separate"/>
        </w:r>
        <w:r w:rsidR="007537A8">
          <w:rPr>
            <w:noProof/>
            <w:webHidden/>
          </w:rPr>
          <w:t>252</w:t>
        </w:r>
        <w:r w:rsidR="007537A8">
          <w:rPr>
            <w:noProof/>
            <w:webHidden/>
          </w:rPr>
          <w:fldChar w:fldCharType="end"/>
        </w:r>
      </w:hyperlink>
    </w:p>
    <w:p w14:paraId="60B86133" w14:textId="01F90E4C" w:rsidR="007537A8" w:rsidRDefault="00091FED">
      <w:pPr>
        <w:pStyle w:val="Verzeichnis6"/>
        <w:tabs>
          <w:tab w:val="right" w:leader="dot" w:pos="7361"/>
        </w:tabs>
        <w:rPr>
          <w:noProof/>
          <w:sz w:val="22"/>
          <w:szCs w:val="22"/>
          <w:lang w:eastAsia="de-DE"/>
        </w:rPr>
      </w:pPr>
      <w:hyperlink w:anchor="_Toc22133396" w:history="1">
        <w:r w:rsidR="007537A8" w:rsidRPr="003D724A">
          <w:rPr>
            <w:rStyle w:val="Hyperlink"/>
            <w:noProof/>
          </w:rPr>
          <w:t>I. Begründung des öffentlich-rechtlichen Benutzungsverhältnisses</w:t>
        </w:r>
        <w:r w:rsidR="007537A8">
          <w:rPr>
            <w:noProof/>
            <w:webHidden/>
          </w:rPr>
          <w:tab/>
        </w:r>
        <w:r w:rsidR="007537A8">
          <w:rPr>
            <w:noProof/>
            <w:webHidden/>
          </w:rPr>
          <w:fldChar w:fldCharType="begin"/>
        </w:r>
        <w:r w:rsidR="007537A8">
          <w:rPr>
            <w:noProof/>
            <w:webHidden/>
          </w:rPr>
          <w:instrText xml:space="preserve"> PAGEREF _Toc22133396 \h </w:instrText>
        </w:r>
        <w:r w:rsidR="007537A8">
          <w:rPr>
            <w:noProof/>
            <w:webHidden/>
          </w:rPr>
        </w:r>
        <w:r w:rsidR="007537A8">
          <w:rPr>
            <w:noProof/>
            <w:webHidden/>
          </w:rPr>
          <w:fldChar w:fldCharType="separate"/>
        </w:r>
        <w:r w:rsidR="007537A8">
          <w:rPr>
            <w:noProof/>
            <w:webHidden/>
          </w:rPr>
          <w:t>252</w:t>
        </w:r>
        <w:r w:rsidR="007537A8">
          <w:rPr>
            <w:noProof/>
            <w:webHidden/>
          </w:rPr>
          <w:fldChar w:fldCharType="end"/>
        </w:r>
      </w:hyperlink>
    </w:p>
    <w:p w14:paraId="1C75C64F" w14:textId="78C41003" w:rsidR="007537A8" w:rsidRDefault="00091FED">
      <w:pPr>
        <w:pStyle w:val="Verzeichnis6"/>
        <w:tabs>
          <w:tab w:val="right" w:leader="dot" w:pos="7361"/>
        </w:tabs>
        <w:rPr>
          <w:noProof/>
          <w:sz w:val="22"/>
          <w:szCs w:val="22"/>
          <w:lang w:eastAsia="de-DE"/>
        </w:rPr>
      </w:pPr>
      <w:hyperlink w:anchor="_Toc22133397" w:history="1">
        <w:r w:rsidR="007537A8" w:rsidRPr="003D724A">
          <w:rPr>
            <w:rStyle w:val="Hyperlink"/>
            <w:noProof/>
          </w:rPr>
          <w:t>II. Pflichtverletzung</w:t>
        </w:r>
        <w:r w:rsidR="007537A8">
          <w:rPr>
            <w:noProof/>
            <w:webHidden/>
          </w:rPr>
          <w:tab/>
        </w:r>
        <w:r w:rsidR="007537A8">
          <w:rPr>
            <w:noProof/>
            <w:webHidden/>
          </w:rPr>
          <w:fldChar w:fldCharType="begin"/>
        </w:r>
        <w:r w:rsidR="007537A8">
          <w:rPr>
            <w:noProof/>
            <w:webHidden/>
          </w:rPr>
          <w:instrText xml:space="preserve"> PAGEREF _Toc22133397 \h </w:instrText>
        </w:r>
        <w:r w:rsidR="007537A8">
          <w:rPr>
            <w:noProof/>
            <w:webHidden/>
          </w:rPr>
        </w:r>
        <w:r w:rsidR="007537A8">
          <w:rPr>
            <w:noProof/>
            <w:webHidden/>
          </w:rPr>
          <w:fldChar w:fldCharType="separate"/>
        </w:r>
        <w:r w:rsidR="007537A8">
          <w:rPr>
            <w:noProof/>
            <w:webHidden/>
          </w:rPr>
          <w:t>253</w:t>
        </w:r>
        <w:r w:rsidR="007537A8">
          <w:rPr>
            <w:noProof/>
            <w:webHidden/>
          </w:rPr>
          <w:fldChar w:fldCharType="end"/>
        </w:r>
      </w:hyperlink>
    </w:p>
    <w:p w14:paraId="6D4583F0" w14:textId="551A4C52" w:rsidR="007537A8" w:rsidRDefault="00091FED">
      <w:pPr>
        <w:pStyle w:val="Verzeichnis7"/>
        <w:tabs>
          <w:tab w:val="right" w:leader="dot" w:pos="7361"/>
        </w:tabs>
        <w:rPr>
          <w:noProof/>
          <w:sz w:val="22"/>
          <w:szCs w:val="22"/>
          <w:lang w:eastAsia="de-DE"/>
        </w:rPr>
      </w:pPr>
      <w:hyperlink w:anchor="_Toc22133398" w:history="1">
        <w:r w:rsidR="007537A8" w:rsidRPr="003D724A">
          <w:rPr>
            <w:rStyle w:val="Hyperlink"/>
            <w:noProof/>
          </w:rPr>
          <w:t>1. Schutzpflichten der G bei der Befestigung der Bojen</w:t>
        </w:r>
        <w:r w:rsidR="007537A8">
          <w:rPr>
            <w:noProof/>
            <w:webHidden/>
          </w:rPr>
          <w:tab/>
        </w:r>
        <w:r w:rsidR="007537A8">
          <w:rPr>
            <w:noProof/>
            <w:webHidden/>
          </w:rPr>
          <w:fldChar w:fldCharType="begin"/>
        </w:r>
        <w:r w:rsidR="007537A8">
          <w:rPr>
            <w:noProof/>
            <w:webHidden/>
          </w:rPr>
          <w:instrText xml:space="preserve"> PAGEREF _Toc22133398 \h </w:instrText>
        </w:r>
        <w:r w:rsidR="007537A8">
          <w:rPr>
            <w:noProof/>
            <w:webHidden/>
          </w:rPr>
        </w:r>
        <w:r w:rsidR="007537A8">
          <w:rPr>
            <w:noProof/>
            <w:webHidden/>
          </w:rPr>
          <w:fldChar w:fldCharType="separate"/>
        </w:r>
        <w:r w:rsidR="007537A8">
          <w:rPr>
            <w:noProof/>
            <w:webHidden/>
          </w:rPr>
          <w:t>253</w:t>
        </w:r>
        <w:r w:rsidR="007537A8">
          <w:rPr>
            <w:noProof/>
            <w:webHidden/>
          </w:rPr>
          <w:fldChar w:fldCharType="end"/>
        </w:r>
      </w:hyperlink>
    </w:p>
    <w:p w14:paraId="1EE373B8" w14:textId="4825C632" w:rsidR="007537A8" w:rsidRDefault="00091FED">
      <w:pPr>
        <w:pStyle w:val="Verzeichnis7"/>
        <w:tabs>
          <w:tab w:val="right" w:leader="dot" w:pos="7361"/>
        </w:tabs>
        <w:rPr>
          <w:noProof/>
          <w:sz w:val="22"/>
          <w:szCs w:val="22"/>
          <w:lang w:eastAsia="de-DE"/>
        </w:rPr>
      </w:pPr>
      <w:hyperlink w:anchor="_Toc22133399" w:history="1">
        <w:r w:rsidR="007537A8" w:rsidRPr="003D724A">
          <w:rPr>
            <w:rStyle w:val="Hyperlink"/>
            <w:noProof/>
          </w:rPr>
          <w:t>2. Aufsichtspflichtverletzung des S</w:t>
        </w:r>
        <w:r w:rsidR="007537A8">
          <w:rPr>
            <w:noProof/>
            <w:webHidden/>
          </w:rPr>
          <w:tab/>
        </w:r>
        <w:r w:rsidR="007537A8">
          <w:rPr>
            <w:noProof/>
            <w:webHidden/>
          </w:rPr>
          <w:fldChar w:fldCharType="begin"/>
        </w:r>
        <w:r w:rsidR="007537A8">
          <w:rPr>
            <w:noProof/>
            <w:webHidden/>
          </w:rPr>
          <w:instrText xml:space="preserve"> PAGEREF _Toc22133399 \h </w:instrText>
        </w:r>
        <w:r w:rsidR="007537A8">
          <w:rPr>
            <w:noProof/>
            <w:webHidden/>
          </w:rPr>
        </w:r>
        <w:r w:rsidR="007537A8">
          <w:rPr>
            <w:noProof/>
            <w:webHidden/>
          </w:rPr>
          <w:fldChar w:fldCharType="separate"/>
        </w:r>
        <w:r w:rsidR="007537A8">
          <w:rPr>
            <w:noProof/>
            <w:webHidden/>
          </w:rPr>
          <w:t>253</w:t>
        </w:r>
        <w:r w:rsidR="007537A8">
          <w:rPr>
            <w:noProof/>
            <w:webHidden/>
          </w:rPr>
          <w:fldChar w:fldCharType="end"/>
        </w:r>
      </w:hyperlink>
    </w:p>
    <w:p w14:paraId="16DB121E" w14:textId="5C8A263E" w:rsidR="007537A8" w:rsidRDefault="00091FED">
      <w:pPr>
        <w:pStyle w:val="Verzeichnis6"/>
        <w:tabs>
          <w:tab w:val="right" w:leader="dot" w:pos="7361"/>
        </w:tabs>
        <w:rPr>
          <w:noProof/>
          <w:sz w:val="22"/>
          <w:szCs w:val="22"/>
          <w:lang w:eastAsia="de-DE"/>
        </w:rPr>
      </w:pPr>
      <w:hyperlink w:anchor="_Toc22133400" w:history="1">
        <w:r w:rsidR="007537A8" w:rsidRPr="003D724A">
          <w:rPr>
            <w:rStyle w:val="Hyperlink"/>
            <w:noProof/>
          </w:rPr>
          <w:t>III. Verschulden</w:t>
        </w:r>
        <w:r w:rsidR="007537A8">
          <w:rPr>
            <w:noProof/>
            <w:webHidden/>
          </w:rPr>
          <w:tab/>
        </w:r>
        <w:r w:rsidR="007537A8">
          <w:rPr>
            <w:noProof/>
            <w:webHidden/>
          </w:rPr>
          <w:fldChar w:fldCharType="begin"/>
        </w:r>
        <w:r w:rsidR="007537A8">
          <w:rPr>
            <w:noProof/>
            <w:webHidden/>
          </w:rPr>
          <w:instrText xml:space="preserve"> PAGEREF _Toc22133400 \h </w:instrText>
        </w:r>
        <w:r w:rsidR="007537A8">
          <w:rPr>
            <w:noProof/>
            <w:webHidden/>
          </w:rPr>
        </w:r>
        <w:r w:rsidR="007537A8">
          <w:rPr>
            <w:noProof/>
            <w:webHidden/>
          </w:rPr>
          <w:fldChar w:fldCharType="separate"/>
        </w:r>
        <w:r w:rsidR="007537A8">
          <w:rPr>
            <w:noProof/>
            <w:webHidden/>
          </w:rPr>
          <w:t>255</w:t>
        </w:r>
        <w:r w:rsidR="007537A8">
          <w:rPr>
            <w:noProof/>
            <w:webHidden/>
          </w:rPr>
          <w:fldChar w:fldCharType="end"/>
        </w:r>
      </w:hyperlink>
    </w:p>
    <w:p w14:paraId="6D52CC2E" w14:textId="4202DE79" w:rsidR="007537A8" w:rsidRDefault="00091FED">
      <w:pPr>
        <w:pStyle w:val="Verzeichnis7"/>
        <w:tabs>
          <w:tab w:val="right" w:leader="dot" w:pos="7361"/>
        </w:tabs>
        <w:rPr>
          <w:noProof/>
          <w:sz w:val="22"/>
          <w:szCs w:val="22"/>
          <w:lang w:eastAsia="de-DE"/>
        </w:rPr>
      </w:pPr>
      <w:hyperlink w:anchor="_Toc22133401" w:history="1">
        <w:r w:rsidR="007537A8" w:rsidRPr="003D724A">
          <w:rPr>
            <w:rStyle w:val="Hyperlink"/>
            <w:noProof/>
          </w:rPr>
          <w:t>1. Problem: Wirksamkeit der satzungsförmigen Haftungsbeschränkung?</w:t>
        </w:r>
        <w:r w:rsidR="007537A8">
          <w:rPr>
            <w:noProof/>
            <w:webHidden/>
          </w:rPr>
          <w:tab/>
        </w:r>
        <w:r w:rsidR="007537A8">
          <w:rPr>
            <w:noProof/>
            <w:webHidden/>
          </w:rPr>
          <w:fldChar w:fldCharType="begin"/>
        </w:r>
        <w:r w:rsidR="007537A8">
          <w:rPr>
            <w:noProof/>
            <w:webHidden/>
          </w:rPr>
          <w:instrText xml:space="preserve"> PAGEREF _Toc22133401 \h </w:instrText>
        </w:r>
        <w:r w:rsidR="007537A8">
          <w:rPr>
            <w:noProof/>
            <w:webHidden/>
          </w:rPr>
        </w:r>
        <w:r w:rsidR="007537A8">
          <w:rPr>
            <w:noProof/>
            <w:webHidden/>
          </w:rPr>
          <w:fldChar w:fldCharType="separate"/>
        </w:r>
        <w:r w:rsidR="007537A8">
          <w:rPr>
            <w:noProof/>
            <w:webHidden/>
          </w:rPr>
          <w:t>255</w:t>
        </w:r>
        <w:r w:rsidR="007537A8">
          <w:rPr>
            <w:noProof/>
            <w:webHidden/>
          </w:rPr>
          <w:fldChar w:fldCharType="end"/>
        </w:r>
      </w:hyperlink>
    </w:p>
    <w:p w14:paraId="1C700543" w14:textId="383E5083" w:rsidR="007537A8" w:rsidRDefault="00091FED">
      <w:pPr>
        <w:pStyle w:val="Verzeichnis7"/>
        <w:tabs>
          <w:tab w:val="right" w:leader="dot" w:pos="7361"/>
        </w:tabs>
        <w:rPr>
          <w:noProof/>
          <w:sz w:val="22"/>
          <w:szCs w:val="22"/>
          <w:lang w:eastAsia="de-DE"/>
        </w:rPr>
      </w:pPr>
      <w:hyperlink w:anchor="_Toc22133402" w:history="1">
        <w:r w:rsidR="007537A8" w:rsidRPr="003D724A">
          <w:rPr>
            <w:rStyle w:val="Hyperlink"/>
            <w:noProof/>
          </w:rPr>
          <w:t>2. Erste Ansicht (insbesondere Rechtsprechung)</w:t>
        </w:r>
        <w:r w:rsidR="007537A8">
          <w:rPr>
            <w:noProof/>
            <w:webHidden/>
          </w:rPr>
          <w:tab/>
        </w:r>
        <w:r w:rsidR="007537A8">
          <w:rPr>
            <w:noProof/>
            <w:webHidden/>
          </w:rPr>
          <w:fldChar w:fldCharType="begin"/>
        </w:r>
        <w:r w:rsidR="007537A8">
          <w:rPr>
            <w:noProof/>
            <w:webHidden/>
          </w:rPr>
          <w:instrText xml:space="preserve"> PAGEREF _Toc22133402 \h </w:instrText>
        </w:r>
        <w:r w:rsidR="007537A8">
          <w:rPr>
            <w:noProof/>
            <w:webHidden/>
          </w:rPr>
        </w:r>
        <w:r w:rsidR="007537A8">
          <w:rPr>
            <w:noProof/>
            <w:webHidden/>
          </w:rPr>
          <w:fldChar w:fldCharType="separate"/>
        </w:r>
        <w:r w:rsidR="007537A8">
          <w:rPr>
            <w:noProof/>
            <w:webHidden/>
          </w:rPr>
          <w:t>256</w:t>
        </w:r>
        <w:r w:rsidR="007537A8">
          <w:rPr>
            <w:noProof/>
            <w:webHidden/>
          </w:rPr>
          <w:fldChar w:fldCharType="end"/>
        </w:r>
      </w:hyperlink>
    </w:p>
    <w:p w14:paraId="10869B42" w14:textId="53EBBA82" w:rsidR="007537A8" w:rsidRDefault="00091FED">
      <w:pPr>
        <w:pStyle w:val="Verzeichnis7"/>
        <w:tabs>
          <w:tab w:val="right" w:leader="dot" w:pos="7361"/>
        </w:tabs>
        <w:rPr>
          <w:noProof/>
          <w:sz w:val="22"/>
          <w:szCs w:val="22"/>
          <w:lang w:eastAsia="de-DE"/>
        </w:rPr>
      </w:pPr>
      <w:hyperlink w:anchor="_Toc22133403" w:history="1">
        <w:r w:rsidR="007537A8" w:rsidRPr="003D724A">
          <w:rPr>
            <w:rStyle w:val="Hyperlink"/>
            <w:noProof/>
          </w:rPr>
          <w:t>3. Zweite Ansicht (Teile der Lehre)</w:t>
        </w:r>
        <w:r w:rsidR="007537A8">
          <w:rPr>
            <w:noProof/>
            <w:webHidden/>
          </w:rPr>
          <w:tab/>
        </w:r>
        <w:r w:rsidR="007537A8">
          <w:rPr>
            <w:noProof/>
            <w:webHidden/>
          </w:rPr>
          <w:fldChar w:fldCharType="begin"/>
        </w:r>
        <w:r w:rsidR="007537A8">
          <w:rPr>
            <w:noProof/>
            <w:webHidden/>
          </w:rPr>
          <w:instrText xml:space="preserve"> PAGEREF _Toc22133403 \h </w:instrText>
        </w:r>
        <w:r w:rsidR="007537A8">
          <w:rPr>
            <w:noProof/>
            <w:webHidden/>
          </w:rPr>
        </w:r>
        <w:r w:rsidR="007537A8">
          <w:rPr>
            <w:noProof/>
            <w:webHidden/>
          </w:rPr>
          <w:fldChar w:fldCharType="separate"/>
        </w:r>
        <w:r w:rsidR="007537A8">
          <w:rPr>
            <w:noProof/>
            <w:webHidden/>
          </w:rPr>
          <w:t>256</w:t>
        </w:r>
        <w:r w:rsidR="007537A8">
          <w:rPr>
            <w:noProof/>
            <w:webHidden/>
          </w:rPr>
          <w:fldChar w:fldCharType="end"/>
        </w:r>
      </w:hyperlink>
    </w:p>
    <w:p w14:paraId="16FEE422" w14:textId="07DDA175" w:rsidR="007537A8" w:rsidRDefault="00091FED">
      <w:pPr>
        <w:pStyle w:val="Verzeichnis7"/>
        <w:tabs>
          <w:tab w:val="right" w:leader="dot" w:pos="7361"/>
        </w:tabs>
        <w:rPr>
          <w:noProof/>
          <w:sz w:val="22"/>
          <w:szCs w:val="22"/>
          <w:lang w:eastAsia="de-DE"/>
        </w:rPr>
      </w:pPr>
      <w:hyperlink w:anchor="_Toc22133404" w:history="1">
        <w:r w:rsidR="007537A8" w:rsidRPr="003D724A">
          <w:rPr>
            <w:rStyle w:val="Hyperlink"/>
            <w:noProof/>
          </w:rPr>
          <w:t>4. Streitentscheid</w:t>
        </w:r>
        <w:r w:rsidR="007537A8">
          <w:rPr>
            <w:noProof/>
            <w:webHidden/>
          </w:rPr>
          <w:tab/>
        </w:r>
        <w:r w:rsidR="007537A8">
          <w:rPr>
            <w:noProof/>
            <w:webHidden/>
          </w:rPr>
          <w:fldChar w:fldCharType="begin"/>
        </w:r>
        <w:r w:rsidR="007537A8">
          <w:rPr>
            <w:noProof/>
            <w:webHidden/>
          </w:rPr>
          <w:instrText xml:space="preserve"> PAGEREF _Toc22133404 \h </w:instrText>
        </w:r>
        <w:r w:rsidR="007537A8">
          <w:rPr>
            <w:noProof/>
            <w:webHidden/>
          </w:rPr>
        </w:r>
        <w:r w:rsidR="007537A8">
          <w:rPr>
            <w:noProof/>
            <w:webHidden/>
          </w:rPr>
          <w:fldChar w:fldCharType="separate"/>
        </w:r>
        <w:r w:rsidR="007537A8">
          <w:rPr>
            <w:noProof/>
            <w:webHidden/>
          </w:rPr>
          <w:t>257</w:t>
        </w:r>
        <w:r w:rsidR="007537A8">
          <w:rPr>
            <w:noProof/>
            <w:webHidden/>
          </w:rPr>
          <w:fldChar w:fldCharType="end"/>
        </w:r>
      </w:hyperlink>
    </w:p>
    <w:p w14:paraId="4B82A5D2" w14:textId="77CF68B2" w:rsidR="007537A8" w:rsidRDefault="00091FED">
      <w:pPr>
        <w:pStyle w:val="Verzeichnis6"/>
        <w:tabs>
          <w:tab w:val="right" w:leader="dot" w:pos="7361"/>
        </w:tabs>
        <w:rPr>
          <w:noProof/>
          <w:sz w:val="22"/>
          <w:szCs w:val="22"/>
          <w:lang w:eastAsia="de-DE"/>
        </w:rPr>
      </w:pPr>
      <w:hyperlink w:anchor="_Toc22133405" w:history="1">
        <w:r w:rsidR="007537A8" w:rsidRPr="003D724A">
          <w:rPr>
            <w:rStyle w:val="Hyperlink"/>
            <w:noProof/>
          </w:rPr>
          <w:t>IV. Kausaler Schaden</w:t>
        </w:r>
        <w:r w:rsidR="007537A8">
          <w:rPr>
            <w:noProof/>
            <w:webHidden/>
          </w:rPr>
          <w:tab/>
        </w:r>
        <w:r w:rsidR="007537A8">
          <w:rPr>
            <w:noProof/>
            <w:webHidden/>
          </w:rPr>
          <w:fldChar w:fldCharType="begin"/>
        </w:r>
        <w:r w:rsidR="007537A8">
          <w:rPr>
            <w:noProof/>
            <w:webHidden/>
          </w:rPr>
          <w:instrText xml:space="preserve"> PAGEREF _Toc22133405 \h </w:instrText>
        </w:r>
        <w:r w:rsidR="007537A8">
          <w:rPr>
            <w:noProof/>
            <w:webHidden/>
          </w:rPr>
        </w:r>
        <w:r w:rsidR="007537A8">
          <w:rPr>
            <w:noProof/>
            <w:webHidden/>
          </w:rPr>
          <w:fldChar w:fldCharType="separate"/>
        </w:r>
        <w:r w:rsidR="007537A8">
          <w:rPr>
            <w:noProof/>
            <w:webHidden/>
          </w:rPr>
          <w:t>257</w:t>
        </w:r>
        <w:r w:rsidR="007537A8">
          <w:rPr>
            <w:noProof/>
            <w:webHidden/>
          </w:rPr>
          <w:fldChar w:fldCharType="end"/>
        </w:r>
      </w:hyperlink>
    </w:p>
    <w:p w14:paraId="6E204F57" w14:textId="1560B851" w:rsidR="007537A8" w:rsidRDefault="00091FED">
      <w:pPr>
        <w:pStyle w:val="Verzeichnis7"/>
        <w:tabs>
          <w:tab w:val="right" w:leader="dot" w:pos="7361"/>
        </w:tabs>
        <w:rPr>
          <w:noProof/>
          <w:sz w:val="22"/>
          <w:szCs w:val="22"/>
          <w:lang w:eastAsia="de-DE"/>
        </w:rPr>
      </w:pPr>
      <w:hyperlink w:anchor="_Toc22133406" w:history="1">
        <w:r w:rsidR="007537A8" w:rsidRPr="003D724A">
          <w:rPr>
            <w:rStyle w:val="Hyperlink"/>
            <w:noProof/>
          </w:rPr>
          <w:t>1. Problem: Beweislast</w:t>
        </w:r>
        <w:r w:rsidR="007537A8">
          <w:rPr>
            <w:noProof/>
            <w:webHidden/>
          </w:rPr>
          <w:tab/>
        </w:r>
        <w:r w:rsidR="007537A8">
          <w:rPr>
            <w:noProof/>
            <w:webHidden/>
          </w:rPr>
          <w:fldChar w:fldCharType="begin"/>
        </w:r>
        <w:r w:rsidR="007537A8">
          <w:rPr>
            <w:noProof/>
            <w:webHidden/>
          </w:rPr>
          <w:instrText xml:space="preserve"> PAGEREF _Toc22133406 \h </w:instrText>
        </w:r>
        <w:r w:rsidR="007537A8">
          <w:rPr>
            <w:noProof/>
            <w:webHidden/>
          </w:rPr>
        </w:r>
        <w:r w:rsidR="007537A8">
          <w:rPr>
            <w:noProof/>
            <w:webHidden/>
          </w:rPr>
          <w:fldChar w:fldCharType="separate"/>
        </w:r>
        <w:r w:rsidR="007537A8">
          <w:rPr>
            <w:noProof/>
            <w:webHidden/>
          </w:rPr>
          <w:t>258</w:t>
        </w:r>
        <w:r w:rsidR="007537A8">
          <w:rPr>
            <w:noProof/>
            <w:webHidden/>
          </w:rPr>
          <w:fldChar w:fldCharType="end"/>
        </w:r>
      </w:hyperlink>
    </w:p>
    <w:p w14:paraId="6890A594" w14:textId="7E0A7836" w:rsidR="007537A8" w:rsidRDefault="00091FED">
      <w:pPr>
        <w:pStyle w:val="Verzeichnis8"/>
        <w:tabs>
          <w:tab w:val="right" w:leader="dot" w:pos="7361"/>
        </w:tabs>
        <w:rPr>
          <w:noProof/>
          <w:sz w:val="22"/>
          <w:szCs w:val="22"/>
          <w:lang w:eastAsia="de-DE"/>
        </w:rPr>
      </w:pPr>
      <w:hyperlink w:anchor="_Toc22133407" w:history="1">
        <w:r w:rsidR="007537A8" w:rsidRPr="003D724A">
          <w:rPr>
            <w:rStyle w:val="Hyperlink"/>
            <w:noProof/>
          </w:rPr>
          <w:t>a) Beweislastumkehr wegen Verletzung besonderer Berufs- und Organisationspflichten?</w:t>
        </w:r>
        <w:r w:rsidR="007537A8">
          <w:rPr>
            <w:noProof/>
            <w:webHidden/>
          </w:rPr>
          <w:tab/>
        </w:r>
        <w:r w:rsidR="007537A8">
          <w:rPr>
            <w:noProof/>
            <w:webHidden/>
          </w:rPr>
          <w:fldChar w:fldCharType="begin"/>
        </w:r>
        <w:r w:rsidR="007537A8">
          <w:rPr>
            <w:noProof/>
            <w:webHidden/>
          </w:rPr>
          <w:instrText xml:space="preserve"> PAGEREF _Toc22133407 \h </w:instrText>
        </w:r>
        <w:r w:rsidR="007537A8">
          <w:rPr>
            <w:noProof/>
            <w:webHidden/>
          </w:rPr>
        </w:r>
        <w:r w:rsidR="007537A8">
          <w:rPr>
            <w:noProof/>
            <w:webHidden/>
          </w:rPr>
          <w:fldChar w:fldCharType="separate"/>
        </w:r>
        <w:r w:rsidR="007537A8">
          <w:rPr>
            <w:noProof/>
            <w:webHidden/>
          </w:rPr>
          <w:t>258</w:t>
        </w:r>
        <w:r w:rsidR="007537A8">
          <w:rPr>
            <w:noProof/>
            <w:webHidden/>
          </w:rPr>
          <w:fldChar w:fldCharType="end"/>
        </w:r>
      </w:hyperlink>
    </w:p>
    <w:p w14:paraId="102D0B0A" w14:textId="52FC6F08" w:rsidR="007537A8" w:rsidRDefault="00091FED">
      <w:pPr>
        <w:pStyle w:val="Verzeichnis8"/>
        <w:tabs>
          <w:tab w:val="right" w:leader="dot" w:pos="7361"/>
        </w:tabs>
        <w:rPr>
          <w:noProof/>
          <w:sz w:val="22"/>
          <w:szCs w:val="22"/>
          <w:lang w:eastAsia="de-DE"/>
        </w:rPr>
      </w:pPr>
      <w:hyperlink w:anchor="_Toc22133408" w:history="1">
        <w:r w:rsidR="007537A8" w:rsidRPr="003D724A">
          <w:rPr>
            <w:rStyle w:val="Hyperlink"/>
            <w:noProof/>
          </w:rPr>
          <w:t>b) Anscheinsbeweis zugunsten der K?</w:t>
        </w:r>
        <w:r w:rsidR="007537A8">
          <w:rPr>
            <w:noProof/>
            <w:webHidden/>
          </w:rPr>
          <w:tab/>
        </w:r>
        <w:r w:rsidR="007537A8">
          <w:rPr>
            <w:noProof/>
            <w:webHidden/>
          </w:rPr>
          <w:fldChar w:fldCharType="begin"/>
        </w:r>
        <w:r w:rsidR="007537A8">
          <w:rPr>
            <w:noProof/>
            <w:webHidden/>
          </w:rPr>
          <w:instrText xml:space="preserve"> PAGEREF _Toc22133408 \h </w:instrText>
        </w:r>
        <w:r w:rsidR="007537A8">
          <w:rPr>
            <w:noProof/>
            <w:webHidden/>
          </w:rPr>
        </w:r>
        <w:r w:rsidR="007537A8">
          <w:rPr>
            <w:noProof/>
            <w:webHidden/>
          </w:rPr>
          <w:fldChar w:fldCharType="separate"/>
        </w:r>
        <w:r w:rsidR="007537A8">
          <w:rPr>
            <w:noProof/>
            <w:webHidden/>
          </w:rPr>
          <w:t>258</w:t>
        </w:r>
        <w:r w:rsidR="007537A8">
          <w:rPr>
            <w:noProof/>
            <w:webHidden/>
          </w:rPr>
          <w:fldChar w:fldCharType="end"/>
        </w:r>
      </w:hyperlink>
    </w:p>
    <w:p w14:paraId="2B0D442B" w14:textId="0ECA2E3D" w:rsidR="007537A8" w:rsidRDefault="00091FED">
      <w:pPr>
        <w:pStyle w:val="Verzeichnis7"/>
        <w:tabs>
          <w:tab w:val="right" w:leader="dot" w:pos="7361"/>
        </w:tabs>
        <w:rPr>
          <w:noProof/>
          <w:sz w:val="22"/>
          <w:szCs w:val="22"/>
          <w:lang w:eastAsia="de-DE"/>
        </w:rPr>
      </w:pPr>
      <w:hyperlink w:anchor="_Toc22133409" w:history="1">
        <w:r w:rsidR="007537A8" w:rsidRPr="003D724A">
          <w:rPr>
            <w:rStyle w:val="Hyperlink"/>
            <w:noProof/>
          </w:rPr>
          <w:t>2. Zwischenergebnis</w:t>
        </w:r>
        <w:r w:rsidR="007537A8">
          <w:rPr>
            <w:noProof/>
            <w:webHidden/>
          </w:rPr>
          <w:tab/>
        </w:r>
        <w:r w:rsidR="007537A8">
          <w:rPr>
            <w:noProof/>
            <w:webHidden/>
          </w:rPr>
          <w:fldChar w:fldCharType="begin"/>
        </w:r>
        <w:r w:rsidR="007537A8">
          <w:rPr>
            <w:noProof/>
            <w:webHidden/>
          </w:rPr>
          <w:instrText xml:space="preserve"> PAGEREF _Toc22133409 \h </w:instrText>
        </w:r>
        <w:r w:rsidR="007537A8">
          <w:rPr>
            <w:noProof/>
            <w:webHidden/>
          </w:rPr>
        </w:r>
        <w:r w:rsidR="007537A8">
          <w:rPr>
            <w:noProof/>
            <w:webHidden/>
          </w:rPr>
          <w:fldChar w:fldCharType="separate"/>
        </w:r>
        <w:r w:rsidR="007537A8">
          <w:rPr>
            <w:noProof/>
            <w:webHidden/>
          </w:rPr>
          <w:t>259</w:t>
        </w:r>
        <w:r w:rsidR="007537A8">
          <w:rPr>
            <w:noProof/>
            <w:webHidden/>
          </w:rPr>
          <w:fldChar w:fldCharType="end"/>
        </w:r>
      </w:hyperlink>
    </w:p>
    <w:p w14:paraId="36FCEEAD" w14:textId="1717421D" w:rsidR="007537A8" w:rsidRDefault="00091FED">
      <w:pPr>
        <w:pStyle w:val="Verzeichnis6"/>
        <w:tabs>
          <w:tab w:val="right" w:leader="dot" w:pos="7361"/>
        </w:tabs>
        <w:rPr>
          <w:noProof/>
          <w:sz w:val="22"/>
          <w:szCs w:val="22"/>
          <w:lang w:eastAsia="de-DE"/>
        </w:rPr>
      </w:pPr>
      <w:hyperlink w:anchor="_Toc22133410" w:history="1">
        <w:r w:rsidR="007537A8" w:rsidRPr="003D724A">
          <w:rPr>
            <w:rStyle w:val="Hyperlink"/>
            <w:noProof/>
          </w:rPr>
          <w:t>VI. Rechtsfolge</w:t>
        </w:r>
        <w:r w:rsidR="007537A8">
          <w:rPr>
            <w:noProof/>
            <w:webHidden/>
          </w:rPr>
          <w:tab/>
        </w:r>
        <w:r w:rsidR="007537A8">
          <w:rPr>
            <w:noProof/>
            <w:webHidden/>
          </w:rPr>
          <w:fldChar w:fldCharType="begin"/>
        </w:r>
        <w:r w:rsidR="007537A8">
          <w:rPr>
            <w:noProof/>
            <w:webHidden/>
          </w:rPr>
          <w:instrText xml:space="preserve"> PAGEREF _Toc22133410 \h </w:instrText>
        </w:r>
        <w:r w:rsidR="007537A8">
          <w:rPr>
            <w:noProof/>
            <w:webHidden/>
          </w:rPr>
        </w:r>
        <w:r w:rsidR="007537A8">
          <w:rPr>
            <w:noProof/>
            <w:webHidden/>
          </w:rPr>
          <w:fldChar w:fldCharType="separate"/>
        </w:r>
        <w:r w:rsidR="007537A8">
          <w:rPr>
            <w:noProof/>
            <w:webHidden/>
          </w:rPr>
          <w:t>259</w:t>
        </w:r>
        <w:r w:rsidR="007537A8">
          <w:rPr>
            <w:noProof/>
            <w:webHidden/>
          </w:rPr>
          <w:fldChar w:fldCharType="end"/>
        </w:r>
      </w:hyperlink>
    </w:p>
    <w:p w14:paraId="205D4083" w14:textId="161EBB1B" w:rsidR="007537A8" w:rsidRDefault="00091FED">
      <w:pPr>
        <w:pStyle w:val="Verzeichnis5"/>
        <w:tabs>
          <w:tab w:val="right" w:leader="dot" w:pos="7361"/>
        </w:tabs>
        <w:rPr>
          <w:rFonts w:eastAsiaTheme="minorEastAsia"/>
          <w:noProof/>
          <w:sz w:val="22"/>
          <w:szCs w:val="22"/>
          <w:lang w:eastAsia="de-DE"/>
        </w:rPr>
      </w:pPr>
      <w:hyperlink w:anchor="_Toc22133411" w:history="1">
        <w:r w:rsidR="007537A8" w:rsidRPr="003D724A">
          <w:rPr>
            <w:rStyle w:val="Hyperlink"/>
            <w:noProof/>
          </w:rPr>
          <w:t>B. Amtshaftungsanspruch (§ 839 BGB i. V. m. Art. 34 GG)</w:t>
        </w:r>
        <w:r w:rsidR="007537A8">
          <w:rPr>
            <w:noProof/>
            <w:webHidden/>
          </w:rPr>
          <w:tab/>
        </w:r>
        <w:r w:rsidR="007537A8">
          <w:rPr>
            <w:noProof/>
            <w:webHidden/>
          </w:rPr>
          <w:fldChar w:fldCharType="begin"/>
        </w:r>
        <w:r w:rsidR="007537A8">
          <w:rPr>
            <w:noProof/>
            <w:webHidden/>
          </w:rPr>
          <w:instrText xml:space="preserve"> PAGEREF _Toc22133411 \h </w:instrText>
        </w:r>
        <w:r w:rsidR="007537A8">
          <w:rPr>
            <w:noProof/>
            <w:webHidden/>
          </w:rPr>
        </w:r>
        <w:r w:rsidR="007537A8">
          <w:rPr>
            <w:noProof/>
            <w:webHidden/>
          </w:rPr>
          <w:fldChar w:fldCharType="separate"/>
        </w:r>
        <w:r w:rsidR="007537A8">
          <w:rPr>
            <w:noProof/>
            <w:webHidden/>
          </w:rPr>
          <w:t>259</w:t>
        </w:r>
        <w:r w:rsidR="007537A8">
          <w:rPr>
            <w:noProof/>
            <w:webHidden/>
          </w:rPr>
          <w:fldChar w:fldCharType="end"/>
        </w:r>
      </w:hyperlink>
    </w:p>
    <w:p w14:paraId="34809704" w14:textId="2AC7FBD7" w:rsidR="007537A8" w:rsidRDefault="00091FED">
      <w:pPr>
        <w:pStyle w:val="Verzeichnis6"/>
        <w:tabs>
          <w:tab w:val="right" w:leader="dot" w:pos="7361"/>
        </w:tabs>
        <w:rPr>
          <w:noProof/>
          <w:sz w:val="22"/>
          <w:szCs w:val="22"/>
          <w:lang w:eastAsia="de-DE"/>
        </w:rPr>
      </w:pPr>
      <w:hyperlink w:anchor="_Toc22133412" w:history="1">
        <w:r w:rsidR="007537A8" w:rsidRPr="003D724A">
          <w:rPr>
            <w:rStyle w:val="Hyperlink"/>
            <w:noProof/>
          </w:rPr>
          <w:t>I. Handlung in Ausübung eines öffentlichen Amtes</w:t>
        </w:r>
        <w:r w:rsidR="007537A8">
          <w:rPr>
            <w:noProof/>
            <w:webHidden/>
          </w:rPr>
          <w:tab/>
        </w:r>
        <w:r w:rsidR="007537A8">
          <w:rPr>
            <w:noProof/>
            <w:webHidden/>
          </w:rPr>
          <w:fldChar w:fldCharType="begin"/>
        </w:r>
        <w:r w:rsidR="007537A8">
          <w:rPr>
            <w:noProof/>
            <w:webHidden/>
          </w:rPr>
          <w:instrText xml:space="preserve"> PAGEREF _Toc22133412 \h </w:instrText>
        </w:r>
        <w:r w:rsidR="007537A8">
          <w:rPr>
            <w:noProof/>
            <w:webHidden/>
          </w:rPr>
        </w:r>
        <w:r w:rsidR="007537A8">
          <w:rPr>
            <w:noProof/>
            <w:webHidden/>
          </w:rPr>
          <w:fldChar w:fldCharType="separate"/>
        </w:r>
        <w:r w:rsidR="007537A8">
          <w:rPr>
            <w:noProof/>
            <w:webHidden/>
          </w:rPr>
          <w:t>259</w:t>
        </w:r>
        <w:r w:rsidR="007537A8">
          <w:rPr>
            <w:noProof/>
            <w:webHidden/>
          </w:rPr>
          <w:fldChar w:fldCharType="end"/>
        </w:r>
      </w:hyperlink>
    </w:p>
    <w:p w14:paraId="442E3B7C" w14:textId="111190E1" w:rsidR="007537A8" w:rsidRDefault="00091FED">
      <w:pPr>
        <w:pStyle w:val="Verzeichnis6"/>
        <w:tabs>
          <w:tab w:val="right" w:leader="dot" w:pos="7361"/>
        </w:tabs>
        <w:rPr>
          <w:noProof/>
          <w:sz w:val="22"/>
          <w:szCs w:val="22"/>
          <w:lang w:eastAsia="de-DE"/>
        </w:rPr>
      </w:pPr>
      <w:hyperlink w:anchor="_Toc22133413" w:history="1">
        <w:r w:rsidR="007537A8" w:rsidRPr="003D724A">
          <w:rPr>
            <w:rStyle w:val="Hyperlink"/>
            <w:noProof/>
          </w:rPr>
          <w:t>II. Verletzung einer drittbezogenen Amtspflicht</w:t>
        </w:r>
        <w:r w:rsidR="007537A8">
          <w:rPr>
            <w:noProof/>
            <w:webHidden/>
          </w:rPr>
          <w:tab/>
        </w:r>
        <w:r w:rsidR="007537A8">
          <w:rPr>
            <w:noProof/>
            <w:webHidden/>
          </w:rPr>
          <w:fldChar w:fldCharType="begin"/>
        </w:r>
        <w:r w:rsidR="007537A8">
          <w:rPr>
            <w:noProof/>
            <w:webHidden/>
          </w:rPr>
          <w:instrText xml:space="preserve"> PAGEREF _Toc22133413 \h </w:instrText>
        </w:r>
        <w:r w:rsidR="007537A8">
          <w:rPr>
            <w:noProof/>
            <w:webHidden/>
          </w:rPr>
        </w:r>
        <w:r w:rsidR="007537A8">
          <w:rPr>
            <w:noProof/>
            <w:webHidden/>
          </w:rPr>
          <w:fldChar w:fldCharType="separate"/>
        </w:r>
        <w:r w:rsidR="007537A8">
          <w:rPr>
            <w:noProof/>
            <w:webHidden/>
          </w:rPr>
          <w:t>260</w:t>
        </w:r>
        <w:r w:rsidR="007537A8">
          <w:rPr>
            <w:noProof/>
            <w:webHidden/>
          </w:rPr>
          <w:fldChar w:fldCharType="end"/>
        </w:r>
      </w:hyperlink>
    </w:p>
    <w:p w14:paraId="3CACE561" w14:textId="11EA3766" w:rsidR="007537A8" w:rsidRDefault="00091FED">
      <w:pPr>
        <w:pStyle w:val="Verzeichnis7"/>
        <w:tabs>
          <w:tab w:val="right" w:leader="dot" w:pos="7361"/>
        </w:tabs>
        <w:rPr>
          <w:noProof/>
          <w:sz w:val="22"/>
          <w:szCs w:val="22"/>
          <w:lang w:eastAsia="de-DE"/>
        </w:rPr>
      </w:pPr>
      <w:hyperlink w:anchor="_Toc22133414" w:history="1">
        <w:r w:rsidR="007537A8" w:rsidRPr="003D724A">
          <w:rPr>
            <w:rStyle w:val="Hyperlink"/>
            <w:noProof/>
          </w:rPr>
          <w:t>1. Schutzpflichten der G bei der Befestigung der Bojen</w:t>
        </w:r>
        <w:r w:rsidR="007537A8">
          <w:rPr>
            <w:noProof/>
            <w:webHidden/>
          </w:rPr>
          <w:tab/>
        </w:r>
        <w:r w:rsidR="007537A8">
          <w:rPr>
            <w:noProof/>
            <w:webHidden/>
          </w:rPr>
          <w:fldChar w:fldCharType="begin"/>
        </w:r>
        <w:r w:rsidR="007537A8">
          <w:rPr>
            <w:noProof/>
            <w:webHidden/>
          </w:rPr>
          <w:instrText xml:space="preserve"> PAGEREF _Toc22133414 \h </w:instrText>
        </w:r>
        <w:r w:rsidR="007537A8">
          <w:rPr>
            <w:noProof/>
            <w:webHidden/>
          </w:rPr>
        </w:r>
        <w:r w:rsidR="007537A8">
          <w:rPr>
            <w:noProof/>
            <w:webHidden/>
          </w:rPr>
          <w:fldChar w:fldCharType="separate"/>
        </w:r>
        <w:r w:rsidR="007537A8">
          <w:rPr>
            <w:noProof/>
            <w:webHidden/>
          </w:rPr>
          <w:t>260</w:t>
        </w:r>
        <w:r w:rsidR="007537A8">
          <w:rPr>
            <w:noProof/>
            <w:webHidden/>
          </w:rPr>
          <w:fldChar w:fldCharType="end"/>
        </w:r>
      </w:hyperlink>
    </w:p>
    <w:p w14:paraId="4FE89234" w14:textId="451BC8B6" w:rsidR="007537A8" w:rsidRDefault="00091FED">
      <w:pPr>
        <w:pStyle w:val="Verzeichnis7"/>
        <w:tabs>
          <w:tab w:val="right" w:leader="dot" w:pos="7361"/>
        </w:tabs>
        <w:rPr>
          <w:noProof/>
          <w:sz w:val="22"/>
          <w:szCs w:val="22"/>
          <w:lang w:eastAsia="de-DE"/>
        </w:rPr>
      </w:pPr>
      <w:hyperlink w:anchor="_Toc22133415" w:history="1">
        <w:r w:rsidR="007537A8" w:rsidRPr="003D724A">
          <w:rPr>
            <w:rStyle w:val="Hyperlink"/>
            <w:noProof/>
          </w:rPr>
          <w:t>2. Aufsichtspflichten des S</w:t>
        </w:r>
        <w:r w:rsidR="007537A8">
          <w:rPr>
            <w:noProof/>
            <w:webHidden/>
          </w:rPr>
          <w:tab/>
        </w:r>
        <w:r w:rsidR="007537A8">
          <w:rPr>
            <w:noProof/>
            <w:webHidden/>
          </w:rPr>
          <w:fldChar w:fldCharType="begin"/>
        </w:r>
        <w:r w:rsidR="007537A8">
          <w:rPr>
            <w:noProof/>
            <w:webHidden/>
          </w:rPr>
          <w:instrText xml:space="preserve"> PAGEREF _Toc22133415 \h </w:instrText>
        </w:r>
        <w:r w:rsidR="007537A8">
          <w:rPr>
            <w:noProof/>
            <w:webHidden/>
          </w:rPr>
        </w:r>
        <w:r w:rsidR="007537A8">
          <w:rPr>
            <w:noProof/>
            <w:webHidden/>
          </w:rPr>
          <w:fldChar w:fldCharType="separate"/>
        </w:r>
        <w:r w:rsidR="007537A8">
          <w:rPr>
            <w:noProof/>
            <w:webHidden/>
          </w:rPr>
          <w:t>260</w:t>
        </w:r>
        <w:r w:rsidR="007537A8">
          <w:rPr>
            <w:noProof/>
            <w:webHidden/>
          </w:rPr>
          <w:fldChar w:fldCharType="end"/>
        </w:r>
      </w:hyperlink>
    </w:p>
    <w:p w14:paraId="283DB82C" w14:textId="745351D1" w:rsidR="007537A8" w:rsidRDefault="00091FED">
      <w:pPr>
        <w:pStyle w:val="Verzeichnis6"/>
        <w:tabs>
          <w:tab w:val="right" w:leader="dot" w:pos="7361"/>
        </w:tabs>
        <w:rPr>
          <w:noProof/>
          <w:sz w:val="22"/>
          <w:szCs w:val="22"/>
          <w:lang w:eastAsia="de-DE"/>
        </w:rPr>
      </w:pPr>
      <w:hyperlink w:anchor="_Toc22133416" w:history="1">
        <w:r w:rsidR="007537A8" w:rsidRPr="003D724A">
          <w:rPr>
            <w:rStyle w:val="Hyperlink"/>
            <w:noProof/>
          </w:rPr>
          <w:t>III. Verschulden</w:t>
        </w:r>
        <w:r w:rsidR="007537A8">
          <w:rPr>
            <w:noProof/>
            <w:webHidden/>
          </w:rPr>
          <w:tab/>
        </w:r>
        <w:r w:rsidR="007537A8">
          <w:rPr>
            <w:noProof/>
            <w:webHidden/>
          </w:rPr>
          <w:fldChar w:fldCharType="begin"/>
        </w:r>
        <w:r w:rsidR="007537A8">
          <w:rPr>
            <w:noProof/>
            <w:webHidden/>
          </w:rPr>
          <w:instrText xml:space="preserve"> PAGEREF _Toc22133416 \h </w:instrText>
        </w:r>
        <w:r w:rsidR="007537A8">
          <w:rPr>
            <w:noProof/>
            <w:webHidden/>
          </w:rPr>
        </w:r>
        <w:r w:rsidR="007537A8">
          <w:rPr>
            <w:noProof/>
            <w:webHidden/>
          </w:rPr>
          <w:fldChar w:fldCharType="separate"/>
        </w:r>
        <w:r w:rsidR="007537A8">
          <w:rPr>
            <w:noProof/>
            <w:webHidden/>
          </w:rPr>
          <w:t>260</w:t>
        </w:r>
        <w:r w:rsidR="007537A8">
          <w:rPr>
            <w:noProof/>
            <w:webHidden/>
          </w:rPr>
          <w:fldChar w:fldCharType="end"/>
        </w:r>
      </w:hyperlink>
    </w:p>
    <w:p w14:paraId="62CF3D4F" w14:textId="52323CDE" w:rsidR="007537A8" w:rsidRDefault="00091FED">
      <w:pPr>
        <w:pStyle w:val="Verzeichnis6"/>
        <w:tabs>
          <w:tab w:val="right" w:leader="dot" w:pos="7361"/>
        </w:tabs>
        <w:rPr>
          <w:noProof/>
          <w:sz w:val="22"/>
          <w:szCs w:val="22"/>
          <w:lang w:eastAsia="de-DE"/>
        </w:rPr>
      </w:pPr>
      <w:hyperlink w:anchor="_Toc22133417" w:history="1">
        <w:r w:rsidR="007537A8" w:rsidRPr="003D724A">
          <w:rPr>
            <w:rStyle w:val="Hyperlink"/>
            <w:noProof/>
          </w:rPr>
          <w:t>IV. Kausaler Schaden</w:t>
        </w:r>
        <w:r w:rsidR="007537A8">
          <w:rPr>
            <w:noProof/>
            <w:webHidden/>
          </w:rPr>
          <w:tab/>
        </w:r>
        <w:r w:rsidR="007537A8">
          <w:rPr>
            <w:noProof/>
            <w:webHidden/>
          </w:rPr>
          <w:fldChar w:fldCharType="begin"/>
        </w:r>
        <w:r w:rsidR="007537A8">
          <w:rPr>
            <w:noProof/>
            <w:webHidden/>
          </w:rPr>
          <w:instrText xml:space="preserve"> PAGEREF _Toc22133417 \h </w:instrText>
        </w:r>
        <w:r w:rsidR="007537A8">
          <w:rPr>
            <w:noProof/>
            <w:webHidden/>
          </w:rPr>
        </w:r>
        <w:r w:rsidR="007537A8">
          <w:rPr>
            <w:noProof/>
            <w:webHidden/>
          </w:rPr>
          <w:fldChar w:fldCharType="separate"/>
        </w:r>
        <w:r w:rsidR="007537A8">
          <w:rPr>
            <w:noProof/>
            <w:webHidden/>
          </w:rPr>
          <w:t>261</w:t>
        </w:r>
        <w:r w:rsidR="007537A8">
          <w:rPr>
            <w:noProof/>
            <w:webHidden/>
          </w:rPr>
          <w:fldChar w:fldCharType="end"/>
        </w:r>
      </w:hyperlink>
    </w:p>
    <w:p w14:paraId="436FEAEC" w14:textId="479E67B8" w:rsidR="007537A8" w:rsidRDefault="00091FED">
      <w:pPr>
        <w:pStyle w:val="Verzeichnis6"/>
        <w:tabs>
          <w:tab w:val="right" w:leader="dot" w:pos="7361"/>
        </w:tabs>
        <w:rPr>
          <w:noProof/>
          <w:sz w:val="22"/>
          <w:szCs w:val="22"/>
          <w:lang w:eastAsia="de-DE"/>
        </w:rPr>
      </w:pPr>
      <w:hyperlink w:anchor="_Toc22133418" w:history="1">
        <w:r w:rsidR="007537A8" w:rsidRPr="003D724A">
          <w:rPr>
            <w:rStyle w:val="Hyperlink"/>
            <w:noProof/>
          </w:rPr>
          <w:t>V. Kein tatbestandlicher Ausschluss</w:t>
        </w:r>
        <w:r w:rsidR="007537A8">
          <w:rPr>
            <w:noProof/>
            <w:webHidden/>
          </w:rPr>
          <w:tab/>
        </w:r>
        <w:r w:rsidR="007537A8">
          <w:rPr>
            <w:noProof/>
            <w:webHidden/>
          </w:rPr>
          <w:fldChar w:fldCharType="begin"/>
        </w:r>
        <w:r w:rsidR="007537A8">
          <w:rPr>
            <w:noProof/>
            <w:webHidden/>
          </w:rPr>
          <w:instrText xml:space="preserve"> PAGEREF _Toc22133418 \h </w:instrText>
        </w:r>
        <w:r w:rsidR="007537A8">
          <w:rPr>
            <w:noProof/>
            <w:webHidden/>
          </w:rPr>
        </w:r>
        <w:r w:rsidR="007537A8">
          <w:rPr>
            <w:noProof/>
            <w:webHidden/>
          </w:rPr>
          <w:fldChar w:fldCharType="separate"/>
        </w:r>
        <w:r w:rsidR="007537A8">
          <w:rPr>
            <w:noProof/>
            <w:webHidden/>
          </w:rPr>
          <w:t>261</w:t>
        </w:r>
        <w:r w:rsidR="007537A8">
          <w:rPr>
            <w:noProof/>
            <w:webHidden/>
          </w:rPr>
          <w:fldChar w:fldCharType="end"/>
        </w:r>
      </w:hyperlink>
    </w:p>
    <w:p w14:paraId="379436CD" w14:textId="130EA142" w:rsidR="007537A8" w:rsidRDefault="00091FED">
      <w:pPr>
        <w:pStyle w:val="Verzeichnis6"/>
        <w:tabs>
          <w:tab w:val="right" w:leader="dot" w:pos="7361"/>
        </w:tabs>
        <w:rPr>
          <w:noProof/>
          <w:sz w:val="22"/>
          <w:szCs w:val="22"/>
          <w:lang w:eastAsia="de-DE"/>
        </w:rPr>
      </w:pPr>
      <w:hyperlink w:anchor="_Toc22133419" w:history="1">
        <w:r w:rsidR="007537A8" w:rsidRPr="003D724A">
          <w:rPr>
            <w:rStyle w:val="Hyperlink"/>
            <w:noProof/>
          </w:rPr>
          <w:t>VI. Rechtsfolge</w:t>
        </w:r>
        <w:r w:rsidR="007537A8">
          <w:rPr>
            <w:noProof/>
            <w:webHidden/>
          </w:rPr>
          <w:tab/>
        </w:r>
        <w:r w:rsidR="007537A8">
          <w:rPr>
            <w:noProof/>
            <w:webHidden/>
          </w:rPr>
          <w:fldChar w:fldCharType="begin"/>
        </w:r>
        <w:r w:rsidR="007537A8">
          <w:rPr>
            <w:noProof/>
            <w:webHidden/>
          </w:rPr>
          <w:instrText xml:space="preserve"> PAGEREF _Toc22133419 \h </w:instrText>
        </w:r>
        <w:r w:rsidR="007537A8">
          <w:rPr>
            <w:noProof/>
            <w:webHidden/>
          </w:rPr>
        </w:r>
        <w:r w:rsidR="007537A8">
          <w:rPr>
            <w:noProof/>
            <w:webHidden/>
          </w:rPr>
          <w:fldChar w:fldCharType="separate"/>
        </w:r>
        <w:r w:rsidR="007537A8">
          <w:rPr>
            <w:noProof/>
            <w:webHidden/>
          </w:rPr>
          <w:t>261</w:t>
        </w:r>
        <w:r w:rsidR="007537A8">
          <w:rPr>
            <w:noProof/>
            <w:webHidden/>
          </w:rPr>
          <w:fldChar w:fldCharType="end"/>
        </w:r>
      </w:hyperlink>
    </w:p>
    <w:p w14:paraId="4C0732DC" w14:textId="227E2C46" w:rsidR="007537A8" w:rsidRDefault="00091FED">
      <w:pPr>
        <w:pStyle w:val="Verzeichnis5"/>
        <w:tabs>
          <w:tab w:val="right" w:leader="dot" w:pos="7361"/>
        </w:tabs>
        <w:rPr>
          <w:rFonts w:eastAsiaTheme="minorEastAsia"/>
          <w:noProof/>
          <w:sz w:val="22"/>
          <w:szCs w:val="22"/>
          <w:lang w:eastAsia="de-DE"/>
        </w:rPr>
      </w:pPr>
      <w:hyperlink w:anchor="_Toc22133420" w:history="1">
        <w:r w:rsidR="007537A8" w:rsidRPr="003D724A">
          <w:rPr>
            <w:rStyle w:val="Hyperlink"/>
            <w:noProof/>
          </w:rPr>
          <w:t>C. Allgemeiner öffentlich-rechtlicher Aufopferungsanspruch</w:t>
        </w:r>
        <w:r w:rsidR="007537A8">
          <w:rPr>
            <w:noProof/>
            <w:webHidden/>
          </w:rPr>
          <w:tab/>
        </w:r>
        <w:r w:rsidR="007537A8">
          <w:rPr>
            <w:noProof/>
            <w:webHidden/>
          </w:rPr>
          <w:fldChar w:fldCharType="begin"/>
        </w:r>
        <w:r w:rsidR="007537A8">
          <w:rPr>
            <w:noProof/>
            <w:webHidden/>
          </w:rPr>
          <w:instrText xml:space="preserve"> PAGEREF _Toc22133420 \h </w:instrText>
        </w:r>
        <w:r w:rsidR="007537A8">
          <w:rPr>
            <w:noProof/>
            <w:webHidden/>
          </w:rPr>
        </w:r>
        <w:r w:rsidR="007537A8">
          <w:rPr>
            <w:noProof/>
            <w:webHidden/>
          </w:rPr>
          <w:fldChar w:fldCharType="separate"/>
        </w:r>
        <w:r w:rsidR="007537A8">
          <w:rPr>
            <w:noProof/>
            <w:webHidden/>
          </w:rPr>
          <w:t>261</w:t>
        </w:r>
        <w:r w:rsidR="007537A8">
          <w:rPr>
            <w:noProof/>
            <w:webHidden/>
          </w:rPr>
          <w:fldChar w:fldCharType="end"/>
        </w:r>
      </w:hyperlink>
    </w:p>
    <w:p w14:paraId="4B36FA56" w14:textId="4261A667" w:rsidR="007537A8" w:rsidRDefault="00091FED">
      <w:pPr>
        <w:pStyle w:val="Verzeichnis6"/>
        <w:tabs>
          <w:tab w:val="right" w:leader="dot" w:pos="7361"/>
        </w:tabs>
        <w:rPr>
          <w:noProof/>
          <w:sz w:val="22"/>
          <w:szCs w:val="22"/>
          <w:lang w:eastAsia="de-DE"/>
        </w:rPr>
      </w:pPr>
      <w:hyperlink w:anchor="_Toc22133421" w:history="1">
        <w:r w:rsidR="007537A8" w:rsidRPr="003D724A">
          <w:rPr>
            <w:rStyle w:val="Hyperlink"/>
            <w:noProof/>
          </w:rPr>
          <w:t>I. Hoheitlicher Eingriff in ein immaterielles Rechtsgut</w:t>
        </w:r>
        <w:r w:rsidR="007537A8">
          <w:rPr>
            <w:noProof/>
            <w:webHidden/>
          </w:rPr>
          <w:tab/>
        </w:r>
        <w:r w:rsidR="007537A8">
          <w:rPr>
            <w:noProof/>
            <w:webHidden/>
          </w:rPr>
          <w:fldChar w:fldCharType="begin"/>
        </w:r>
        <w:r w:rsidR="007537A8">
          <w:rPr>
            <w:noProof/>
            <w:webHidden/>
          </w:rPr>
          <w:instrText xml:space="preserve"> PAGEREF _Toc22133421 \h </w:instrText>
        </w:r>
        <w:r w:rsidR="007537A8">
          <w:rPr>
            <w:noProof/>
            <w:webHidden/>
          </w:rPr>
        </w:r>
        <w:r w:rsidR="007537A8">
          <w:rPr>
            <w:noProof/>
            <w:webHidden/>
          </w:rPr>
          <w:fldChar w:fldCharType="separate"/>
        </w:r>
        <w:r w:rsidR="007537A8">
          <w:rPr>
            <w:noProof/>
            <w:webHidden/>
          </w:rPr>
          <w:t>262</w:t>
        </w:r>
        <w:r w:rsidR="007537A8">
          <w:rPr>
            <w:noProof/>
            <w:webHidden/>
          </w:rPr>
          <w:fldChar w:fldCharType="end"/>
        </w:r>
      </w:hyperlink>
    </w:p>
    <w:p w14:paraId="172E9BF9" w14:textId="09A1D777" w:rsidR="007537A8" w:rsidRDefault="00091FED">
      <w:pPr>
        <w:pStyle w:val="Verzeichnis6"/>
        <w:tabs>
          <w:tab w:val="right" w:leader="dot" w:pos="7361"/>
        </w:tabs>
        <w:rPr>
          <w:noProof/>
          <w:sz w:val="22"/>
          <w:szCs w:val="22"/>
          <w:lang w:eastAsia="de-DE"/>
        </w:rPr>
      </w:pPr>
      <w:hyperlink w:anchor="_Toc22133422" w:history="1">
        <w:r w:rsidR="007537A8" w:rsidRPr="003D724A">
          <w:rPr>
            <w:rStyle w:val="Hyperlink"/>
            <w:noProof/>
          </w:rPr>
          <w:t>II. Gemeinwohlbezug</w:t>
        </w:r>
        <w:r w:rsidR="007537A8">
          <w:rPr>
            <w:noProof/>
            <w:webHidden/>
          </w:rPr>
          <w:tab/>
        </w:r>
        <w:r w:rsidR="007537A8">
          <w:rPr>
            <w:noProof/>
            <w:webHidden/>
          </w:rPr>
          <w:fldChar w:fldCharType="begin"/>
        </w:r>
        <w:r w:rsidR="007537A8">
          <w:rPr>
            <w:noProof/>
            <w:webHidden/>
          </w:rPr>
          <w:instrText xml:space="preserve"> PAGEREF _Toc22133422 \h </w:instrText>
        </w:r>
        <w:r w:rsidR="007537A8">
          <w:rPr>
            <w:noProof/>
            <w:webHidden/>
          </w:rPr>
        </w:r>
        <w:r w:rsidR="007537A8">
          <w:rPr>
            <w:noProof/>
            <w:webHidden/>
          </w:rPr>
          <w:fldChar w:fldCharType="separate"/>
        </w:r>
        <w:r w:rsidR="007537A8">
          <w:rPr>
            <w:noProof/>
            <w:webHidden/>
          </w:rPr>
          <w:t>262</w:t>
        </w:r>
        <w:r w:rsidR="007537A8">
          <w:rPr>
            <w:noProof/>
            <w:webHidden/>
          </w:rPr>
          <w:fldChar w:fldCharType="end"/>
        </w:r>
      </w:hyperlink>
    </w:p>
    <w:p w14:paraId="7222540E" w14:textId="65848D2F" w:rsidR="007537A8" w:rsidRDefault="00091FED">
      <w:pPr>
        <w:pStyle w:val="Verzeichnis6"/>
        <w:tabs>
          <w:tab w:val="right" w:leader="dot" w:pos="7361"/>
        </w:tabs>
        <w:rPr>
          <w:noProof/>
          <w:sz w:val="22"/>
          <w:szCs w:val="22"/>
          <w:lang w:eastAsia="de-DE"/>
        </w:rPr>
      </w:pPr>
      <w:hyperlink w:anchor="_Toc22133423" w:history="1">
        <w:r w:rsidR="007537A8" w:rsidRPr="003D724A">
          <w:rPr>
            <w:rStyle w:val="Hyperlink"/>
            <w:noProof/>
          </w:rPr>
          <w:t>III. Unmittelbarkeit der Eingriffsfolgen</w:t>
        </w:r>
        <w:r w:rsidR="007537A8">
          <w:rPr>
            <w:noProof/>
            <w:webHidden/>
          </w:rPr>
          <w:tab/>
        </w:r>
        <w:r w:rsidR="007537A8">
          <w:rPr>
            <w:noProof/>
            <w:webHidden/>
          </w:rPr>
          <w:fldChar w:fldCharType="begin"/>
        </w:r>
        <w:r w:rsidR="007537A8">
          <w:rPr>
            <w:noProof/>
            <w:webHidden/>
          </w:rPr>
          <w:instrText xml:space="preserve"> PAGEREF _Toc22133423 \h </w:instrText>
        </w:r>
        <w:r w:rsidR="007537A8">
          <w:rPr>
            <w:noProof/>
            <w:webHidden/>
          </w:rPr>
        </w:r>
        <w:r w:rsidR="007537A8">
          <w:rPr>
            <w:noProof/>
            <w:webHidden/>
          </w:rPr>
          <w:fldChar w:fldCharType="separate"/>
        </w:r>
        <w:r w:rsidR="007537A8">
          <w:rPr>
            <w:noProof/>
            <w:webHidden/>
          </w:rPr>
          <w:t>262</w:t>
        </w:r>
        <w:r w:rsidR="007537A8">
          <w:rPr>
            <w:noProof/>
            <w:webHidden/>
          </w:rPr>
          <w:fldChar w:fldCharType="end"/>
        </w:r>
      </w:hyperlink>
    </w:p>
    <w:p w14:paraId="29FF8A8F" w14:textId="15665723" w:rsidR="007537A8" w:rsidRDefault="00091FED">
      <w:pPr>
        <w:pStyle w:val="Verzeichnis6"/>
        <w:tabs>
          <w:tab w:val="right" w:leader="dot" w:pos="7361"/>
        </w:tabs>
        <w:rPr>
          <w:noProof/>
          <w:sz w:val="22"/>
          <w:szCs w:val="22"/>
          <w:lang w:eastAsia="de-DE"/>
        </w:rPr>
      </w:pPr>
      <w:hyperlink w:anchor="_Toc22133424" w:history="1">
        <w:r w:rsidR="007537A8" w:rsidRPr="003D724A">
          <w:rPr>
            <w:rStyle w:val="Hyperlink"/>
            <w:noProof/>
          </w:rPr>
          <w:t>IV. Sonderopfer</w:t>
        </w:r>
        <w:r w:rsidR="007537A8">
          <w:rPr>
            <w:noProof/>
            <w:webHidden/>
          </w:rPr>
          <w:tab/>
        </w:r>
        <w:r w:rsidR="007537A8">
          <w:rPr>
            <w:noProof/>
            <w:webHidden/>
          </w:rPr>
          <w:fldChar w:fldCharType="begin"/>
        </w:r>
        <w:r w:rsidR="007537A8">
          <w:rPr>
            <w:noProof/>
            <w:webHidden/>
          </w:rPr>
          <w:instrText xml:space="preserve"> PAGEREF _Toc22133424 \h </w:instrText>
        </w:r>
        <w:r w:rsidR="007537A8">
          <w:rPr>
            <w:noProof/>
            <w:webHidden/>
          </w:rPr>
        </w:r>
        <w:r w:rsidR="007537A8">
          <w:rPr>
            <w:noProof/>
            <w:webHidden/>
          </w:rPr>
          <w:fldChar w:fldCharType="separate"/>
        </w:r>
        <w:r w:rsidR="007537A8">
          <w:rPr>
            <w:noProof/>
            <w:webHidden/>
          </w:rPr>
          <w:t>262</w:t>
        </w:r>
        <w:r w:rsidR="007537A8">
          <w:rPr>
            <w:noProof/>
            <w:webHidden/>
          </w:rPr>
          <w:fldChar w:fldCharType="end"/>
        </w:r>
      </w:hyperlink>
    </w:p>
    <w:p w14:paraId="4B7351F6" w14:textId="676E4B84" w:rsidR="007537A8" w:rsidRDefault="00091FED">
      <w:pPr>
        <w:pStyle w:val="Verzeichnis6"/>
        <w:tabs>
          <w:tab w:val="right" w:leader="dot" w:pos="7361"/>
        </w:tabs>
        <w:rPr>
          <w:noProof/>
          <w:sz w:val="22"/>
          <w:szCs w:val="22"/>
          <w:lang w:eastAsia="de-DE"/>
        </w:rPr>
      </w:pPr>
      <w:hyperlink w:anchor="_Toc22133425" w:history="1">
        <w:r w:rsidR="007537A8" w:rsidRPr="003D724A">
          <w:rPr>
            <w:rStyle w:val="Hyperlink"/>
            <w:noProof/>
          </w:rPr>
          <w:t>V. Rechtsfolge</w:t>
        </w:r>
        <w:r w:rsidR="007537A8">
          <w:rPr>
            <w:noProof/>
            <w:webHidden/>
          </w:rPr>
          <w:tab/>
        </w:r>
        <w:r w:rsidR="007537A8">
          <w:rPr>
            <w:noProof/>
            <w:webHidden/>
          </w:rPr>
          <w:fldChar w:fldCharType="begin"/>
        </w:r>
        <w:r w:rsidR="007537A8">
          <w:rPr>
            <w:noProof/>
            <w:webHidden/>
          </w:rPr>
          <w:instrText xml:space="preserve"> PAGEREF _Toc22133425 \h </w:instrText>
        </w:r>
        <w:r w:rsidR="007537A8">
          <w:rPr>
            <w:noProof/>
            <w:webHidden/>
          </w:rPr>
        </w:r>
        <w:r w:rsidR="007537A8">
          <w:rPr>
            <w:noProof/>
            <w:webHidden/>
          </w:rPr>
          <w:fldChar w:fldCharType="separate"/>
        </w:r>
        <w:r w:rsidR="007537A8">
          <w:rPr>
            <w:noProof/>
            <w:webHidden/>
          </w:rPr>
          <w:t>263</w:t>
        </w:r>
        <w:r w:rsidR="007537A8">
          <w:rPr>
            <w:noProof/>
            <w:webHidden/>
          </w:rPr>
          <w:fldChar w:fldCharType="end"/>
        </w:r>
      </w:hyperlink>
    </w:p>
    <w:p w14:paraId="221C252F" w14:textId="58C4965C" w:rsidR="007537A8" w:rsidRDefault="00091FED">
      <w:pPr>
        <w:pStyle w:val="Verzeichnis5"/>
        <w:tabs>
          <w:tab w:val="right" w:leader="dot" w:pos="7361"/>
        </w:tabs>
        <w:rPr>
          <w:rFonts w:eastAsiaTheme="minorEastAsia"/>
          <w:noProof/>
          <w:sz w:val="22"/>
          <w:szCs w:val="22"/>
          <w:lang w:eastAsia="de-DE"/>
        </w:rPr>
      </w:pPr>
      <w:hyperlink w:anchor="_Toc22133426" w:history="1">
        <w:r w:rsidR="007537A8" w:rsidRPr="003D724A">
          <w:rPr>
            <w:rStyle w:val="Hyperlink"/>
            <w:noProof/>
          </w:rPr>
          <w:t>D. Ergebnis</w:t>
        </w:r>
        <w:r w:rsidR="007537A8">
          <w:rPr>
            <w:noProof/>
            <w:webHidden/>
          </w:rPr>
          <w:tab/>
        </w:r>
        <w:r w:rsidR="007537A8">
          <w:rPr>
            <w:noProof/>
            <w:webHidden/>
          </w:rPr>
          <w:fldChar w:fldCharType="begin"/>
        </w:r>
        <w:r w:rsidR="007537A8">
          <w:rPr>
            <w:noProof/>
            <w:webHidden/>
          </w:rPr>
          <w:instrText xml:space="preserve"> PAGEREF _Toc22133426 \h </w:instrText>
        </w:r>
        <w:r w:rsidR="007537A8">
          <w:rPr>
            <w:noProof/>
            <w:webHidden/>
          </w:rPr>
        </w:r>
        <w:r w:rsidR="007537A8">
          <w:rPr>
            <w:noProof/>
            <w:webHidden/>
          </w:rPr>
          <w:fldChar w:fldCharType="separate"/>
        </w:r>
        <w:r w:rsidR="007537A8">
          <w:rPr>
            <w:noProof/>
            <w:webHidden/>
          </w:rPr>
          <w:t>263</w:t>
        </w:r>
        <w:r w:rsidR="007537A8">
          <w:rPr>
            <w:noProof/>
            <w:webHidden/>
          </w:rPr>
          <w:fldChar w:fldCharType="end"/>
        </w:r>
      </w:hyperlink>
    </w:p>
    <w:p w14:paraId="121161F3" w14:textId="2CCB353F" w:rsidR="0001383E" w:rsidRDefault="000434BF" w:rsidP="00261442">
      <w:pPr>
        <w:rPr>
          <w:rFonts w:ascii="Calibri" w:eastAsiaTheme="majorEastAsia" w:hAnsi="Calibri" w:cstheme="majorBidi"/>
          <w:sz w:val="26"/>
          <w:szCs w:val="26"/>
        </w:rPr>
      </w:pPr>
      <w:r>
        <w:rPr>
          <w:rFonts w:eastAsiaTheme="majorEastAsia"/>
        </w:rPr>
        <w:fldChar w:fldCharType="end"/>
      </w:r>
      <w:r w:rsidR="0001383E">
        <w:br w:type="page"/>
      </w:r>
    </w:p>
    <w:p w14:paraId="31B814E4" w14:textId="5A0F2528" w:rsidR="00A64FD5" w:rsidRPr="00250C2F" w:rsidRDefault="00A64FD5" w:rsidP="0001383E">
      <w:pPr>
        <w:pStyle w:val="berschrift3"/>
      </w:pPr>
      <w:bookmarkStart w:id="640" w:name="_Toc22133392"/>
      <w:bookmarkStart w:id="641" w:name="Fall16"/>
      <w:r w:rsidRPr="00250C2F">
        <w:t>Lösungsvorschlag</w:t>
      </w:r>
      <w:bookmarkEnd w:id="640"/>
    </w:p>
    <w:p w14:paraId="174F3387" w14:textId="54788913" w:rsidR="00653B1A" w:rsidRPr="00250C2F" w:rsidRDefault="00A64FD5" w:rsidP="0077320D">
      <w:pPr>
        <w:pStyle w:val="berschrift4"/>
      </w:pPr>
      <w:bookmarkStart w:id="642" w:name="_Toc22133393"/>
      <w:r w:rsidRPr="00250C2F">
        <w:t>Frage 1</w:t>
      </w:r>
      <w:bookmarkEnd w:id="642"/>
    </w:p>
    <w:p w14:paraId="099ACAC2" w14:textId="77777777" w:rsidR="00653B1A" w:rsidRDefault="00653B1A" w:rsidP="00653B1A">
      <w:pPr>
        <w:pStyle w:val="Randnummer"/>
        <w:framePr w:wrap="around"/>
      </w:pPr>
    </w:p>
    <w:p w14:paraId="5246D7FB" w14:textId="2F7093ED" w:rsidR="00A64FD5" w:rsidRPr="00A64FD5" w:rsidRDefault="00A64FD5" w:rsidP="00A64FD5">
      <w:r w:rsidRPr="00A64FD5">
        <w:t>Fraglich ist zunächst der einschlägige Rechtsweg, wobei insbesondere die ordentliche (§ 13 GVG) wie auch die Verwaltungsgerichtsbarkeit (</w:t>
      </w:r>
      <w:r w:rsidR="00A10E8C">
        <w:t>v</w:t>
      </w:r>
      <w:r w:rsidRPr="00A64FD5">
        <w:t>gl. §§ 1, 40 VwGO) in Betracht kommen. Der Verwaltungsrechtsweg ist für öffentlich-rechtliche Streitigkeiten nichtverfassungsrechtlicher Art eröffnet, soweit keine abdrängende Sonderzuweisung eingreift (§ 40 I 1 VwGO).</w:t>
      </w:r>
      <w:r w:rsidR="00A566D1">
        <w:t xml:space="preserve"> </w:t>
      </w:r>
      <w:r w:rsidRPr="00A64FD5">
        <w:t>Eine Streitigkeit ist öffentlich-rechtlich, wenn die unmittelbar streitentscheidenden Normen dem öffentlichen Recht zuzuordnen sind. Daher müsste das Verhältnis zwischen K und G hinsichtlich der Schwimmbadnutzung zunächst öffentlich-rechtlich und nicht etwa privatrechtlich ausgestaltet sein. Ein Hoheitsträger hat grundsätzlich die Wahl, ob er Leistungs- und Benutzungsverhältnisse der Daseinsvorsorge öffentlich-rechtlich oder zivilrechtlich gestaltet (Regimewahlfreiheit)</w:t>
      </w:r>
      <w:r w:rsidRPr="00A64FD5">
        <w:rPr>
          <w:vertAlign w:val="superscript"/>
        </w:rPr>
        <w:footnoteReference w:id="540"/>
      </w:r>
      <w:r w:rsidRPr="00A64FD5">
        <w:t>, sodass es diesbezüglich auf dessen Willen nach dem objektiven Empfängerhorizont ankommt. Indizien für eine öffentlich-rechtliche Ausgestaltung des Rechtsverhältnisses sind insbesondere die Erhebung von „Gebühren“ anstelle eines Entgelts sowie eine satzungsmäßige Festlegung der Nutzungsbedingungen</w:t>
      </w:r>
      <w:r w:rsidR="00943F09">
        <w:t>.</w:t>
      </w:r>
      <w:r w:rsidR="00943F09">
        <w:rPr>
          <w:rStyle w:val="Funotenzeichen"/>
        </w:rPr>
        <w:footnoteReference w:id="541"/>
      </w:r>
      <w:r w:rsidRPr="00A64FD5">
        <w:t xml:space="preserve"> Der Eintritt zur Schwimmanlage erfolgte insoweit ausdrücklich gegen „Benutzungsgebühr“ und durch hoheitlichen Zulassungsakt (vgl. § 2 der Badeordnung). Die Badeordnung liegt ebenfalls in Satzungsform und nicht etwa derjenigen allgemeiner Geschäftsbedingungen i. S. d. § 305 I BGB vor. Damit bestehen eindeutige Anhaltspunkte für eine öffentlich-rechtliche Ausgestaltung des Benutzungsverhältnisses. Jedenfalls insoweit waren die durch S möglicherweise verletzten Aufsichtspflichten also öffentlich-rechtlicher Natur. Dasselbe gilt, soweit K ihren Anspruch möglicherweise auf die Amtshaftung gem. § 839 BGB i. V. m. Art. 34 GG und einen allgemeinen öffentlich-rechtlichen Aufopferungsanspruch stützen kann, da diese Haftungsinstitute ausschließlich Träger hoheitlicher Gewalt als solche verpflichten (modifizierte Subjektstheorie). Das Vorliegen einer verfassungsrechtlichen Streitigkeit und der dazu erforderlichen „doppelten Verfassungsunmittelbarkeit“ kommt nicht in Betracht.</w:t>
      </w:r>
    </w:p>
    <w:p w14:paraId="02D8A49C" w14:textId="66FC9E83" w:rsidR="00A64FD5" w:rsidRPr="00A64FD5" w:rsidRDefault="00A64FD5" w:rsidP="00A64FD5">
      <w:r w:rsidRPr="00A64FD5">
        <w:t>Die Streitigkeit könnte indes im Wege der Spezialregelung des § 40 II 1 VwGO der ordentlichen Gerichtsbarkeit zugewiesen sein. Jene erfasst insbesondere „Schadensersatzansprüche aus der Verletzung öffentlich-rechtlicher Pflichten“ (Var. 3), wozu auch solche aus öffentlich-rechtlichen Benutzungsverhältnissen (Verwaltungsschuldverhältnisse) und der Amtshaftung gem. § 839 BGB i. V. m. Art. 34 GG zählen. Auch die Entscheidung über einen Aufopferungsanspruch läge gem. § 40 II 1 Var. 1 VwGO bei den ordentlichen Gerichten. Folglich ist gem. § 40 II 1 VwGO der ordentliche Rechtsweg eröffnet.</w:t>
      </w:r>
    </w:p>
    <w:p w14:paraId="4C30F8C3" w14:textId="77777777" w:rsidR="00653B1A" w:rsidRDefault="00653B1A" w:rsidP="00653B1A">
      <w:pPr>
        <w:pStyle w:val="Randnummer"/>
        <w:framePr w:wrap="around"/>
      </w:pPr>
    </w:p>
    <w:p w14:paraId="4C2FA1C7" w14:textId="2F2F7F3C" w:rsidR="00A64FD5" w:rsidRPr="00A64FD5" w:rsidRDefault="00A64FD5" w:rsidP="00A64FD5">
      <w:r w:rsidRPr="00A64FD5">
        <w:t>Zuständig sind gem. § 71 II Nr. 2 GVG die Zivilkammern der Landgerichte.</w:t>
      </w:r>
    </w:p>
    <w:p w14:paraId="3B105697" w14:textId="77777777" w:rsidR="00653B1A" w:rsidRDefault="00653B1A" w:rsidP="00653B1A">
      <w:pPr>
        <w:pStyle w:val="Randnummer"/>
        <w:framePr w:wrap="around"/>
      </w:pPr>
    </w:p>
    <w:p w14:paraId="5A5E3678" w14:textId="3F32D180" w:rsidR="00A64FD5" w:rsidRDefault="00A10E8C" w:rsidP="00653B1A">
      <w:pPr>
        <w:pStyle w:val="Hausarbeitswissen"/>
      </w:pPr>
      <w:r>
        <w:t>Lösungshinweis</w:t>
      </w:r>
      <w:r w:rsidR="00A64FD5" w:rsidRPr="0077320D">
        <w:t>:</w:t>
      </w:r>
      <w:r w:rsidR="00A64FD5" w:rsidRPr="00A64FD5">
        <w:t xml:space="preserve"> Im vorliegenden Fall könnte man zudem das Bestehen allgemeiner Verkehrssicherungspflichten der G annehmen</w:t>
      </w:r>
      <w:r w:rsidR="001B5368">
        <w:t>,</w:t>
      </w:r>
      <w:r w:rsidR="00943F09">
        <w:rPr>
          <w:rStyle w:val="Funotenzeichen"/>
        </w:rPr>
        <w:footnoteReference w:id="542"/>
      </w:r>
      <w:r w:rsidR="00A64FD5" w:rsidRPr="00A64FD5">
        <w:t xml:space="preserve"> da diese mit der Anlegung des Sees als Badestelle und der Bojenbefestigung durch Seile eine Gefahrenquelle geschaffen und in ihrem Einflussbereich aufrechterhalten hat. Der BGH hat im vorliegenden Fall offengelassen, ob es sich um eine Haftung aus § 839 BGB oder allgemeinem Deliktsrecht infolge der Verletzung von Verkehrspflichten der Gemeinde handelt</w:t>
      </w:r>
      <w:r w:rsidR="00A64FD5" w:rsidRPr="00A64FD5">
        <w:rPr>
          <w:vertAlign w:val="superscript"/>
        </w:rPr>
        <w:footnoteReference w:id="543"/>
      </w:r>
      <w:r w:rsidR="00A64FD5" w:rsidRPr="00A64FD5">
        <w:t xml:space="preserve">; tatsächlich sind im Ergebnis keine Auswirkungen auf die gerichtliche Zuständigkeit oder die materielle Haftung der G ersichtlich. </w:t>
      </w:r>
    </w:p>
    <w:p w14:paraId="2BD1FA7B" w14:textId="77777777" w:rsidR="00653B1A" w:rsidRPr="00A64FD5" w:rsidRDefault="00653B1A" w:rsidP="00653B1A">
      <w:pPr>
        <w:pStyle w:val="Hausarbeitswissen"/>
      </w:pPr>
    </w:p>
    <w:p w14:paraId="6B5C8F01" w14:textId="77777777" w:rsidR="00A64FD5" w:rsidRPr="00250C2F" w:rsidRDefault="00A64FD5" w:rsidP="0077320D">
      <w:pPr>
        <w:pStyle w:val="berschrift4"/>
      </w:pPr>
      <w:bookmarkStart w:id="643" w:name="_Toc22133394"/>
      <w:r w:rsidRPr="00250C2F">
        <w:t>Frage 2</w:t>
      </w:r>
      <w:bookmarkEnd w:id="643"/>
    </w:p>
    <w:p w14:paraId="58E70B67" w14:textId="77777777" w:rsidR="00A64FD5" w:rsidRPr="00A64FD5" w:rsidRDefault="00A64FD5" w:rsidP="00A64FD5">
      <w:r w:rsidRPr="00A64FD5">
        <w:t>Zu prüfen sind Ansprüche der K gegen die G auf Ersatz der Heilbehandlungs- und Pflegekosten wie auch Schmerzensgeld.</w:t>
      </w:r>
    </w:p>
    <w:p w14:paraId="32AD59F1" w14:textId="08E082C6" w:rsidR="00A64FD5" w:rsidRPr="00250C2F" w:rsidRDefault="00A64FD5" w:rsidP="0077320D">
      <w:pPr>
        <w:pStyle w:val="berschrift5"/>
      </w:pPr>
      <w:bookmarkStart w:id="644" w:name="_Toc22133395"/>
      <w:r w:rsidRPr="00250C2F">
        <w:t>A. Schadensersatzanspruch aus öffentlich-rechtlichem Benutzungsverhältnis (§</w:t>
      </w:r>
      <w:r w:rsidR="001B5368">
        <w:t>§</w:t>
      </w:r>
      <w:r w:rsidRPr="00250C2F">
        <w:t xml:space="preserve"> 280 I, 241 II BGB analog)</w:t>
      </w:r>
      <w:bookmarkEnd w:id="644"/>
    </w:p>
    <w:p w14:paraId="31831C79" w14:textId="77777777" w:rsidR="00653B1A" w:rsidRDefault="00653B1A" w:rsidP="00653B1A">
      <w:pPr>
        <w:pStyle w:val="Randnummer"/>
        <w:framePr w:wrap="around"/>
      </w:pPr>
    </w:p>
    <w:p w14:paraId="3F603F21" w14:textId="77777777" w:rsidR="00A64FD5" w:rsidRPr="00A64FD5" w:rsidRDefault="00A64FD5" w:rsidP="00A64FD5">
      <w:r w:rsidRPr="00A64FD5">
        <w:t>Ein entsprec</w:t>
      </w:r>
      <w:r w:rsidRPr="0077320D">
        <w:t>hender Schadensersatzanspruch könnte sich zunächst in analoger Anwendung der §§ 280 I, 241 II BGB aus einem öffentlich-rechtlichen Benutzungsverhältnis zwischen K und G ergeben.</w:t>
      </w:r>
    </w:p>
    <w:p w14:paraId="6A62A0E3" w14:textId="77777777" w:rsidR="00A64FD5" w:rsidRPr="00250C2F" w:rsidRDefault="00A64FD5" w:rsidP="0077320D">
      <w:pPr>
        <w:pStyle w:val="berschrift6"/>
      </w:pPr>
      <w:bookmarkStart w:id="645" w:name="_Toc22133396"/>
      <w:r w:rsidRPr="00250C2F">
        <w:t>I. Begründung des öffentlich-rechtlichen Benutzungsverhältnisses</w:t>
      </w:r>
      <w:bookmarkEnd w:id="645"/>
    </w:p>
    <w:p w14:paraId="1C1EBFB1" w14:textId="77777777" w:rsidR="00653B1A" w:rsidRDefault="00653B1A" w:rsidP="00653B1A">
      <w:pPr>
        <w:pStyle w:val="Randnummer"/>
        <w:framePr w:wrap="around"/>
      </w:pPr>
    </w:p>
    <w:p w14:paraId="64C324BD" w14:textId="34A7957E" w:rsidR="00A64FD5" w:rsidRPr="00A64FD5" w:rsidRDefault="00A64FD5" w:rsidP="00A64FD5">
      <w:r w:rsidRPr="00A64FD5">
        <w:t>Dazu mü</w:t>
      </w:r>
      <w:r w:rsidRPr="0077320D">
        <w:t>sste zwischen diesen zunächst ein verwaltungsrechtliches Schuldverhältnis zustande gekommen sein. Hierbei handelt es sich um eine öffentlich-rechtliche Sonderverbindung mit besonders intensiver Pflichtenstellung zwischen Verwaltung und Bürger, die derjenigen in einem privatrechtlichen Schuldverhältnis vergleichbar ist. In der Folge finden die wesentlichen Normen des Schuldrechts nach dem BGB auf solche entsprechende Anwendung.</w:t>
      </w:r>
      <w:r w:rsidRPr="0077320D">
        <w:rPr>
          <w:vertAlign w:val="superscript"/>
        </w:rPr>
        <w:footnoteReference w:id="544"/>
      </w:r>
      <w:r w:rsidRPr="0077320D">
        <w:t xml:space="preserve"> </w:t>
      </w:r>
    </w:p>
    <w:p w14:paraId="2D6565AA" w14:textId="25E09651" w:rsidR="00A64FD5" w:rsidRPr="00A64FD5" w:rsidRDefault="00A64FD5" w:rsidP="00A64FD5">
      <w:r w:rsidRPr="00A64FD5">
        <w:t>Dass das mögliche Rechtsverhältnis zwischen K und G öffentlich-rechtlich ausgestaltet ist (satzungsförmige Badeordnung, Nutzungsgebühr, Anstaltszweck) und inhaltlich die Nutzung einer öffentlichen Einrichtung betrifft (öffentlich-rechtliches Benutzungsverhältnis), wurde bereits festgest</w:t>
      </w:r>
      <w:r w:rsidR="00943F09">
        <w:t>ellt (Rn. </w:t>
      </w:r>
      <w:r w:rsidR="001B5368">
        <w:t>5</w:t>
      </w:r>
      <w:r w:rsidRPr="00A64FD5">
        <w:t>).</w:t>
      </w:r>
    </w:p>
    <w:p w14:paraId="7A093917" w14:textId="77777777" w:rsidR="00653B1A" w:rsidRDefault="00653B1A" w:rsidP="00653B1A">
      <w:pPr>
        <w:pStyle w:val="Randnummer"/>
        <w:framePr w:wrap="around"/>
      </w:pPr>
    </w:p>
    <w:p w14:paraId="25FA0007" w14:textId="77777777" w:rsidR="00A64FD5" w:rsidRPr="00A64FD5" w:rsidRDefault="00A64FD5" w:rsidP="00A64FD5">
      <w:pPr>
        <w:rPr>
          <w:i/>
          <w:iCs/>
        </w:rPr>
      </w:pPr>
      <w:r w:rsidRPr="00A64FD5">
        <w:rPr>
          <w:i/>
          <w:iCs/>
        </w:rPr>
        <w:t>Problem: Zustandekommen verwaltungsrechtlicher Schuldverhältnisse mit Minderjährigen</w:t>
      </w:r>
    </w:p>
    <w:p w14:paraId="02DFDB26" w14:textId="36E2479E" w:rsidR="00A64FD5" w:rsidRPr="00A64FD5" w:rsidRDefault="00A64FD5" w:rsidP="00A64FD5">
      <w:r w:rsidRPr="00A64FD5">
        <w:t>In Frage steht jedoch zunächst, inwiefern derartige Benutzungsverhältnisse mit beschränkt Geschäftsfähigen wie der 16-jährigen K (vgl. § 106 BGB) begründet werden können. Die Zulassung zum Benutzungsverhältnis erfolgte hier durch Verwaltungsakt (vgl. § 2 der Badeordnung). Da dem folglich ein Verwaltungsverfahren i. S. d. § 9 VwVfG-L vorausgeht, müsste K insbesondere handlungsfähig (§ 12 VwVfG-L) gewesen sein. Die verwaltungsrechtliche Handlungsfähigkeit setzt jedoch grundsätzlich Geschäftsfähigkeit voraus (§ 12 I Nr. 1 VwVfG-L).</w:t>
      </w:r>
      <w:r w:rsidR="00A566D1">
        <w:t xml:space="preserve"> </w:t>
      </w:r>
      <w:r w:rsidRPr="00A64FD5">
        <w:t>Beschränkt Geschäftsfähige sind hingegen nur insoweit handlungsfähig, als ihre Geschäftsfähigkeit ausnahmsweise zivilrechtlich (vgl. §§ 112, 113 BGB) oder ihre Handlungsfähigkeit durch öffentlich-rechtliche Vorschriften</w:t>
      </w:r>
      <w:r w:rsidR="003518A6">
        <w:t xml:space="preserve"> anerkannt ist (§ 12 I Nr. 2 VwV</w:t>
      </w:r>
      <w:r w:rsidRPr="00A64FD5">
        <w:t>fG-L). Dass ein Fall des § 112 oder § 113 BGB gegeben ist, ist nicht ersichtlich. Auch genügt die Grundrechtsmündigkeit eines Minderjährigen im betroffenen Lebensbereich per se nicht, um dessen verwaltungsrechtliche Handlungsfähigkeit zu begründen.</w:t>
      </w:r>
      <w:r w:rsidRPr="00A64FD5">
        <w:rPr>
          <w:vertAlign w:val="superscript"/>
        </w:rPr>
        <w:footnoteReference w:id="545"/>
      </w:r>
      <w:r w:rsidRPr="00A64FD5">
        <w:t xml:space="preserve"> </w:t>
      </w:r>
    </w:p>
    <w:p w14:paraId="60E6E2AC" w14:textId="190A6CBB" w:rsidR="00A64FD5" w:rsidRPr="00A64FD5" w:rsidRDefault="00A64FD5" w:rsidP="00A64FD5">
      <w:r w:rsidRPr="00A64FD5">
        <w:t>„Vorschriften des öffentlichen Rechts“ im Sinne des § 12 I Nr. 2 VwVfG können jedoch auch Satzungsregelungen bilden.</w:t>
      </w:r>
      <w:r w:rsidRPr="00A64FD5">
        <w:rPr>
          <w:vertAlign w:val="superscript"/>
        </w:rPr>
        <w:footnoteReference w:id="546"/>
      </w:r>
      <w:r w:rsidRPr="00A64FD5">
        <w:t xml:space="preserve"> Hier lässt sich § 2 </w:t>
      </w:r>
      <w:r w:rsidR="00943F09">
        <w:t xml:space="preserve">S. </w:t>
      </w:r>
      <w:r w:rsidRPr="00A64FD5">
        <w:t xml:space="preserve">2 der satzungsförmigen Betriebs- und Badeordnung im Umkehrschluss entnehmen, dass Jugendliche ab </w:t>
      </w:r>
      <w:r w:rsidR="00943F09">
        <w:t>16</w:t>
      </w:r>
      <w:r w:rsidRPr="00A64FD5">
        <w:t xml:space="preserve"> Jahren das Schwimmbad grundsätzlich auch allein besuchen und den Zulassungsantrag ohne Zustimmung der gesetzlichen Vertreter stellen dürfen. Die 16-jährige K war insofern als handlungsfähig anzusehen. Auch wurde ihr wirksamer Antrag durch Einlass in das Schwimmbad bewilligt und hierdurch ein besonderes Näheverhältnis mit spezifischer Pflichtenstellung der Parteien zueinander begründet. </w:t>
      </w:r>
    </w:p>
    <w:p w14:paraId="1492BE3A" w14:textId="77777777" w:rsidR="00A64FD5" w:rsidRPr="00A64FD5" w:rsidRDefault="00A64FD5" w:rsidP="00A64FD5">
      <w:r w:rsidRPr="00A64FD5">
        <w:t>Ein öffentlich-rechtliches Benutzungsverhältnis ist somit gegeben.</w:t>
      </w:r>
    </w:p>
    <w:p w14:paraId="5C98641A" w14:textId="77777777" w:rsidR="00A64FD5" w:rsidRPr="00250C2F" w:rsidRDefault="00A64FD5" w:rsidP="0077320D">
      <w:pPr>
        <w:pStyle w:val="berschrift6"/>
      </w:pPr>
      <w:bookmarkStart w:id="646" w:name="_Toc22133397"/>
      <w:r w:rsidRPr="00250C2F">
        <w:t>II. Pflichtverletzung</w:t>
      </w:r>
      <w:bookmarkEnd w:id="646"/>
      <w:r w:rsidRPr="00250C2F">
        <w:t xml:space="preserve"> </w:t>
      </w:r>
    </w:p>
    <w:p w14:paraId="4EE02D07" w14:textId="77777777" w:rsidR="00653B1A" w:rsidRDefault="00653B1A" w:rsidP="00653B1A">
      <w:pPr>
        <w:pStyle w:val="Randnummer"/>
        <w:framePr w:wrap="around"/>
      </w:pPr>
    </w:p>
    <w:p w14:paraId="5D4519A7" w14:textId="77777777" w:rsidR="00A64FD5" w:rsidRPr="00A64FD5" w:rsidRDefault="00A64FD5" w:rsidP="00A64FD5">
      <w:r w:rsidRPr="00A64FD5">
        <w:t>Zweitens müsste eine der G zuzurechnende Pflichtverletzung vorliegen.</w:t>
      </w:r>
    </w:p>
    <w:p w14:paraId="3EF5FE33" w14:textId="77777777" w:rsidR="00A64FD5" w:rsidRPr="00250C2F" w:rsidRDefault="00A64FD5" w:rsidP="0077320D">
      <w:pPr>
        <w:pStyle w:val="berschrift7"/>
      </w:pPr>
      <w:bookmarkStart w:id="647" w:name="_Toc22133398"/>
      <w:r w:rsidRPr="00250C2F">
        <w:t>1. Schutzpflichten der G bei der Befestigung der Bojen</w:t>
      </w:r>
      <w:bookmarkEnd w:id="647"/>
    </w:p>
    <w:p w14:paraId="01CD612C" w14:textId="77777777" w:rsidR="00653B1A" w:rsidRDefault="00653B1A" w:rsidP="00653B1A">
      <w:pPr>
        <w:pStyle w:val="Randnummer"/>
        <w:framePr w:wrap="around"/>
      </w:pPr>
    </w:p>
    <w:p w14:paraId="7E25BEE5" w14:textId="092C412F" w:rsidR="00A64FD5" w:rsidRPr="00A64FD5" w:rsidRDefault="00A64FD5" w:rsidP="00A64FD5">
      <w:r w:rsidRPr="00A64FD5">
        <w:t>So begründen verwaltungsrechtliche Schuldverhältnisse nicht nur Leistungs-, sondern auch Schutz- und Fürsorgepflichten der Parteien zueinander</w:t>
      </w:r>
      <w:r w:rsidRPr="00A64FD5">
        <w:rPr>
          <w:vertAlign w:val="superscript"/>
        </w:rPr>
        <w:footnoteReference w:id="547"/>
      </w:r>
      <w:r w:rsidRPr="00A64FD5">
        <w:t xml:space="preserve"> (§ 241 II BGB analog). Folglich haben sie das Schuldverhältnis unter gegenseitiger Rücksichtnahme auf die Integrität der Rechtsgüter des anderen – insbesondere Leben und Gesundheit – abzuwickeln und hierfür ggf. erforderliche Vorkehrungen zu treffen. Diese Schutzpflicht könnte G zunächst durch die Auswahl und technische Umsetzung der Bojenbefestigung verletzt haben, die es überhaupt erst ermöglichten, dass K sich darin verfing und unter Wasser festgehalten wurde. Laut Sachverständigengutachten bargen jedoch weder das Befestigungssystem als solches noch dessen Montage über das allgemeine Maß hinausgehende Gefahren für die Badegäste. Ein entsprechender Vorfall hat sich dementsprechend auch nie zuvor im Schwimmbad der G ereignet. Insofern ist davon auszugehen, dass letztere die verkehrsüblichen und -erforderlichen Sorgfaltsmaßstäbe beachtet und die notwendigen Vorkehrungen getroffen hat. An einer diesbezüglichen Pflichtverletzung fehlt es folglich. </w:t>
      </w:r>
    </w:p>
    <w:p w14:paraId="09194544" w14:textId="77777777" w:rsidR="00A64FD5" w:rsidRPr="00250C2F" w:rsidRDefault="00A64FD5" w:rsidP="0077320D">
      <w:pPr>
        <w:pStyle w:val="berschrift7"/>
      </w:pPr>
      <w:bookmarkStart w:id="648" w:name="_Toc22133399"/>
      <w:r w:rsidRPr="00250C2F">
        <w:t>2. Aufsichtspflichtverletzung des S</w:t>
      </w:r>
      <w:bookmarkEnd w:id="648"/>
    </w:p>
    <w:p w14:paraId="3A7C8D62" w14:textId="77777777" w:rsidR="00653B1A" w:rsidRDefault="00653B1A" w:rsidP="00653B1A">
      <w:pPr>
        <w:pStyle w:val="Randnummer"/>
        <w:framePr w:wrap="around"/>
      </w:pPr>
    </w:p>
    <w:p w14:paraId="2982EEBD" w14:textId="3FFA0A17" w:rsidR="00A64FD5" w:rsidRPr="00A64FD5" w:rsidRDefault="00A64FD5" w:rsidP="00A64FD5">
      <w:r w:rsidRPr="00A64FD5">
        <w:t>Das öffentlich-rechtliche Benutzungsverhältnis begründet jedoch besondere Fürsorgepflichten des Hoheitsträgers auch in Form von Aufsichtspflichten über die Badegäste.</w:t>
      </w:r>
      <w:r w:rsidRPr="00A64FD5">
        <w:rPr>
          <w:vertAlign w:val="superscript"/>
        </w:rPr>
        <w:footnoteReference w:id="548"/>
      </w:r>
      <w:r w:rsidRPr="00A64FD5">
        <w:t xml:space="preserve"> Fraglich ist, ob S, dem am Tag des Unfalls die Badeaufsicht oblag, jene verletzt hat. Dies würde der beklagten G in analoger Anwendung des § 278 </w:t>
      </w:r>
      <w:r w:rsidR="00943F09">
        <w:t xml:space="preserve">S. </w:t>
      </w:r>
      <w:r w:rsidRPr="00A64FD5">
        <w:t>1 BGB zugerechnet.</w:t>
      </w:r>
    </w:p>
    <w:p w14:paraId="1D8358C9" w14:textId="77777777" w:rsidR="00653B1A" w:rsidRDefault="00653B1A" w:rsidP="00653B1A">
      <w:pPr>
        <w:pStyle w:val="Randnummer"/>
        <w:framePr w:wrap="around"/>
      </w:pPr>
    </w:p>
    <w:p w14:paraId="1F0D8282" w14:textId="5748C390" w:rsidR="00A64FD5" w:rsidRPr="00A64FD5" w:rsidRDefault="00A64FD5" w:rsidP="00A64FD5">
      <w:r w:rsidRPr="00A64FD5">
        <w:t>Dazu bedarf es zunächst einer Klärung des Umfangs der Aufsichtspflicht im Einzelnen. Denn es kann und muss im Schwimmbadbetrieb nicht jeder abstrakten Gefahr durch Sicherungsmaßnahmen vorgebeugt werden, da die Schaffung einer derart lückenlosen Sicherheit unmöglich ist.</w:t>
      </w:r>
      <w:r w:rsidRPr="00A64FD5">
        <w:rPr>
          <w:vertAlign w:val="superscript"/>
        </w:rPr>
        <w:footnoteReference w:id="549"/>
      </w:r>
      <w:r w:rsidRPr="00A64FD5">
        <w:t xml:space="preserve"> Insbesondere trifft den Schwimmmeister somit keine Pflicht zur lückenlosen Beobachtung eines jeden Schwimmers.</w:t>
      </w:r>
      <w:r w:rsidRPr="00A64FD5">
        <w:rPr>
          <w:vertAlign w:val="superscript"/>
        </w:rPr>
        <w:footnoteReference w:id="550"/>
      </w:r>
      <w:r w:rsidRPr="00A64FD5">
        <w:t xml:space="preserve"> Der „Pflichtenkatalog“ einer Badeaufsicht gebietet dem spezifischen Zweck des Amtes nach aber sehr wohl, das Geschehen im Wasser mit regelmäßigen Kontrollblicken daraufhin zu überwachen, ob Gefahrensituationen für einzelne Badegäste auftreten. Dabei ist der Beobachtungsort so zu wählen, dass der gesamte Schwimm- und Sprungbereich überwacht werden kann, was gegebenenfalls häufige Standortwechsel erfordert. Weiter zählt es zu den Aufgaben der Schwimmaufsicht, in Notfällen für rasche und wirksame Hilfeleistung zu sorgen.</w:t>
      </w:r>
      <w:r w:rsidRPr="00A64FD5">
        <w:rPr>
          <w:vertAlign w:val="superscript"/>
        </w:rPr>
        <w:footnoteReference w:id="551"/>
      </w:r>
    </w:p>
    <w:p w14:paraId="64547164" w14:textId="3AAFF28E" w:rsidR="00A64FD5" w:rsidRPr="00A64FD5" w:rsidRDefault="00A64FD5" w:rsidP="00A64FD5">
      <w:r w:rsidRPr="00A64FD5">
        <w:t xml:space="preserve">Fraglich ist, ob S nach diesen Maßstäben pflichtwidrig gehandelt hat. Der von ihm gewählte Beobachtungsort bot ihm einen guten Einblick in den gesamten Badebereich, sodass insoweit kein Pflichtverstoß anzunehmen ist. Dennoch bemerkte S die herabgezogene Boje erst nach fünf Minuten. Gerade angesichts der eher geringen Größe des Beckens und des mäßigen Badebetriebs an jenem Tag hätten allerdings regelmäßige Kontrollblicke auf das Wasser zu einer deutlich früheren Entdeckung der Auffälligkeiten an der Boje führen müssen. So kann dem Vortrag der K, dass dies spätestens nach zwei Minuten seit dem Unfall hätte geschehen müssen, durchaus gefolgt werden (a.A. vertretbar). Das Verstreichenlassen von fünf Minuten jedenfalls stellte eine pflichtwidrige Verzögerung der Rettung dar. </w:t>
      </w:r>
    </w:p>
    <w:p w14:paraId="168F0410" w14:textId="72D9FC76" w:rsidR="00A64FD5" w:rsidRPr="00A64FD5" w:rsidRDefault="00A64FD5" w:rsidP="00A64FD5">
      <w:r w:rsidRPr="00A64FD5">
        <w:t>Zweifelhaft erscheint auch, ob S nach Entdeckung der abgesenkten Boje hinreichend schnell und effektiv zur Hilfeleistung geschritten ist. So zog er zunächst, anstatt sich sofort selbst zur Klärung des Sachverhalts und zur Rettung der Klägerin ins Becken zu begeben, nur die neben ihm stehenden Mädchen und den ihm bekannten Jugendlichen zur Befragung bzw. zur Kontrolle der Boje heran. Dabei hätte S bewusst sein müssen, dass die herabgezogene Boje auf eine in Lebensgefahr befindliche Person hindeuten konnte, was sofortiges Handeln seinerseits als ausgebildete Rettungskraft erforderte. Dass sich vergleichbare Situationen in der Vergangenheit des Öfteren als tatsächlich harmlos herausgestellt haben („Anscheinsgefahr“) und so kurzzeitig zu unnötigem Aufwand für S führten, vermochte angesichts der Tatsache, dass massive Verletzungen höchst bedeutsamer Rechtsgüter (Leib, Leben, Gesundheit) zu befürchten standen</w:t>
      </w:r>
      <w:r w:rsidRPr="00A64FD5">
        <w:rPr>
          <w:vertAlign w:val="superscript"/>
        </w:rPr>
        <w:footnoteReference w:id="552"/>
      </w:r>
      <w:r w:rsidRPr="00A64FD5">
        <w:t>, nicht zu rechtfertigen, zunächst auf eigene Erforschungs- und Rettungsmaßnahmen zu verzichten. Auch das Vorgehen, sich zunächst in das Gerätehaus zu begeben, um eine Schwimmbrille zu holen, entsprach nicht der gebotenen zügigen und effektiven Notfallrettung, denn wäre die Schwimmbrille für die Personenrettung erforderlich gewesen, hätte S sie ständig bei sich tragen müssen.</w:t>
      </w:r>
      <w:r w:rsidRPr="00A64FD5">
        <w:rPr>
          <w:vertAlign w:val="superscript"/>
        </w:rPr>
        <w:footnoteReference w:id="553"/>
      </w:r>
      <w:r w:rsidR="00A566D1">
        <w:t xml:space="preserve"> </w:t>
      </w:r>
      <w:r w:rsidRPr="00A64FD5">
        <w:t xml:space="preserve">Auch insofern verletzte dieser also seine Aufsichtsflicht, was sich G analog § 278 </w:t>
      </w:r>
      <w:r w:rsidR="00011C34">
        <w:t xml:space="preserve">S. </w:t>
      </w:r>
      <w:r w:rsidRPr="00A64FD5">
        <w:t>1 BGB zurechnen lassen muss.</w:t>
      </w:r>
    </w:p>
    <w:p w14:paraId="079BA186" w14:textId="77777777" w:rsidR="00A64FD5" w:rsidRPr="00250C2F" w:rsidRDefault="00A64FD5" w:rsidP="0077320D">
      <w:pPr>
        <w:pStyle w:val="berschrift6"/>
      </w:pPr>
      <w:bookmarkStart w:id="649" w:name="_Toc22133400"/>
      <w:r w:rsidRPr="00250C2F">
        <w:t>III. Verschulden</w:t>
      </w:r>
      <w:bookmarkEnd w:id="649"/>
    </w:p>
    <w:p w14:paraId="231D02DA" w14:textId="77777777" w:rsidR="00653B1A" w:rsidRDefault="00653B1A" w:rsidP="00653B1A">
      <w:pPr>
        <w:pStyle w:val="Randnummer"/>
        <w:framePr w:wrap="around"/>
      </w:pPr>
    </w:p>
    <w:p w14:paraId="78903EA2" w14:textId="52F1D8F5" w:rsidR="00A64FD5" w:rsidRDefault="00A64FD5" w:rsidP="00A64FD5">
      <w:r w:rsidRPr="00A64FD5">
        <w:t>Dass die Beklagte die genannten Pflichtverletzungen zu vertreten hat, gilt im verwaltungsrechtlichen Schuldverhältnis grundsätzlich als vermutet (§ 280 I 2 BGB analog).</w:t>
      </w:r>
      <w:r w:rsidRPr="00A64FD5">
        <w:rPr>
          <w:vertAlign w:val="superscript"/>
        </w:rPr>
        <w:footnoteReference w:id="554"/>
      </w:r>
    </w:p>
    <w:p w14:paraId="50BFCC74" w14:textId="724008EB" w:rsidR="00A64FD5" w:rsidRPr="00250C2F" w:rsidRDefault="0077320D" w:rsidP="0077320D">
      <w:pPr>
        <w:pStyle w:val="berschrift7"/>
      </w:pPr>
      <w:bookmarkStart w:id="650" w:name="_Toc22133401"/>
      <w:r>
        <w:t xml:space="preserve">1. </w:t>
      </w:r>
      <w:r w:rsidR="00A64FD5" w:rsidRPr="00250C2F">
        <w:t>Problem: Wirksamkeit der satzungsförmigen Haftungsbeschränkung?</w:t>
      </w:r>
      <w:bookmarkEnd w:id="650"/>
    </w:p>
    <w:p w14:paraId="691364DD" w14:textId="77777777" w:rsidR="00A64FD5" w:rsidRPr="00653B1A" w:rsidRDefault="00A64FD5" w:rsidP="00A64FD5">
      <w:pPr>
        <w:rPr>
          <w:i/>
        </w:rPr>
      </w:pPr>
      <w:r w:rsidRPr="00653B1A">
        <w:rPr>
          <w:i/>
        </w:rPr>
        <w:t xml:space="preserve">Aufbauhinweis: Die Prüfung der Haftungsbeschränkung kann ebenso unten bei den übrigen </w:t>
      </w:r>
      <w:r w:rsidRPr="0077320D">
        <w:rPr>
          <w:i/>
        </w:rPr>
        <w:t>Ausschlusstatbeständen</w:t>
      </w:r>
      <w:r w:rsidRPr="00653B1A">
        <w:rPr>
          <w:i/>
        </w:rPr>
        <w:t xml:space="preserve"> erfolgen. </w:t>
      </w:r>
    </w:p>
    <w:p w14:paraId="16D6179A" w14:textId="77777777" w:rsidR="00653B1A" w:rsidRDefault="00653B1A" w:rsidP="00653B1A">
      <w:pPr>
        <w:pStyle w:val="Randnummer"/>
        <w:framePr w:wrap="around"/>
      </w:pPr>
    </w:p>
    <w:p w14:paraId="2811739D" w14:textId="5BDB42DB" w:rsidR="00A64FD5" w:rsidRPr="00A64FD5" w:rsidRDefault="00A64FD5" w:rsidP="00A64FD5">
      <w:r w:rsidRPr="00A64FD5">
        <w:t xml:space="preserve">Allerdings könnte die in § 10 der Badeordnung normierte Haftungsbeschränkung dazu führen, dass G ausschließlich für grobes Verschulden – also Vorsatz und grobe Fahrlässigkeit – ihrer Erfüllungsgehilfen haften muss, sodass es darauf ankommt, welche Verschuldensform bei S gegeben war. Es ist nicht davon auszugehen, dass diesem die Verletzung seiner Aufsichtspflichten bewusst im Sinne eines dahingehenden Vorsatzes war; die Verkennung seines Pflichtenprogramms beruhte vielmehr auf einer Außerachtlassung der im Verkehr erforderlichen Sorgfalt und damit Fahrlässigkeit (vgl. § 276 II BGB). </w:t>
      </w:r>
    </w:p>
    <w:p w14:paraId="408D1524" w14:textId="0FA6DAD5" w:rsidR="00A64FD5" w:rsidRPr="00A64FD5" w:rsidRDefault="00A64FD5" w:rsidP="00A64FD5">
      <w:r w:rsidRPr="00A64FD5">
        <w:t xml:space="preserve">Fraglich ist indes, ob diese in Form der </w:t>
      </w:r>
      <w:r w:rsidRPr="0077320D">
        <w:t xml:space="preserve">groben Fahrlässigkeit </w:t>
      </w:r>
      <w:r w:rsidRPr="00A64FD5">
        <w:t>vorlag, S also die verkehrserforderliche Sorgfalt in besonders schwerem, außergewöhnlichem Maße vernachlässigt hat, indem er einfachste, sehr nahe liegende Überlegungen nicht anstellte oder das unbeachtet ließ, was in der Situation jedem einleuchten musste.</w:t>
      </w:r>
      <w:r w:rsidRPr="00A64FD5">
        <w:rPr>
          <w:vertAlign w:val="superscript"/>
        </w:rPr>
        <w:footnoteReference w:id="555"/>
      </w:r>
      <w:r w:rsidRPr="00A64FD5">
        <w:t xml:space="preserve"> In der Tat lag es in der hier maßgeblichen Situation sehr nahe, dass die Boje deshalb unter die Wasseroberfläche gezogen war, weil sich eine Person in deren Befestigungsseilen verfangen hatte; auf dieser Grundlage hätte jedem einleuchten müssen, dass nur sofortiges, persönliches Handeln einer geschulten Aufsichts- und Rettungskraft größere Schäden für Leben oder Gesundheit verhindern kann. Da sich andererseits vergleichbare Situationen in der Vergangenheit stets als harmlos herausgestellt haben, ein vergleichbarer Unfall mit den Befestigungsseilen noch nie vorgefallen ist und damit aus Sicht des S eher „nur“ ein Gefahrverdacht vorlag, kann im Hinblick auf seine Untätigkeit noch von einfacher Fahrlässigkeit ausgegangen werden</w:t>
      </w:r>
      <w:r w:rsidRPr="00A64FD5">
        <w:rPr>
          <w:vertAlign w:val="superscript"/>
        </w:rPr>
        <w:footnoteReference w:id="556"/>
      </w:r>
      <w:r w:rsidRPr="00A64FD5">
        <w:t xml:space="preserve"> (</w:t>
      </w:r>
      <w:r w:rsidR="001B5368">
        <w:t>a.A.</w:t>
      </w:r>
      <w:r w:rsidRPr="00A64FD5">
        <w:t xml:space="preserve"> vertretbar). § 10 der Betriebs- und Badeordnung könnte einer Haftung der G somit entgegenstehen.</w:t>
      </w:r>
    </w:p>
    <w:p w14:paraId="6C96DC75" w14:textId="77777777" w:rsidR="00653B1A" w:rsidRDefault="00653B1A" w:rsidP="00653B1A">
      <w:pPr>
        <w:pStyle w:val="Randnummer"/>
        <w:framePr w:wrap="around"/>
      </w:pPr>
    </w:p>
    <w:p w14:paraId="7F70EE60" w14:textId="189D50C7" w:rsidR="00A64FD5" w:rsidRPr="00A64FD5" w:rsidRDefault="00A64FD5" w:rsidP="00A64FD5">
      <w:r w:rsidRPr="00A64FD5">
        <w:t xml:space="preserve">Hierzu müsste die dort normierte </w:t>
      </w:r>
      <w:r w:rsidRPr="0077320D">
        <w:t>Haftungsbeschränkung</w:t>
      </w:r>
      <w:r w:rsidRPr="00A64FD5">
        <w:t xml:space="preserve"> wirksam und somit rechtmäßig sein, da für satzungsförmige Regelungen das rechtstaatliche Nichtigkeitsdogma gilt.</w:t>
      </w:r>
      <w:r w:rsidRPr="00A64FD5">
        <w:rPr>
          <w:vertAlign w:val="superscript"/>
        </w:rPr>
        <w:footnoteReference w:id="557"/>
      </w:r>
      <w:r w:rsidRPr="00A64FD5">
        <w:t xml:space="preserve"> Grundsätzlich werden satzungsförmige Haftungsausschlüsse der Verwaltung in öffentlich-rechtlichen Leistungs- oder Benutzungsverhältnissen mit bestimmten Einschränkungen für zulässig gehalten.</w:t>
      </w:r>
      <w:r w:rsidRPr="00A64FD5">
        <w:rPr>
          <w:vertAlign w:val="superscript"/>
        </w:rPr>
        <w:footnoteReference w:id="558"/>
      </w:r>
      <w:r w:rsidRPr="00A64FD5">
        <w:t xml:space="preserve"> Der genaue Rechtmäßigkeitsmaßstab ist allerdings umstritten</w:t>
      </w:r>
      <w:r w:rsidR="00011C34" w:rsidRPr="00A64FD5">
        <w:t>.</w:t>
      </w:r>
      <w:r w:rsidR="00011C34">
        <w:rPr>
          <w:rStyle w:val="Funotenzeichen"/>
        </w:rPr>
        <w:footnoteReference w:id="559"/>
      </w:r>
    </w:p>
    <w:p w14:paraId="2A75D316" w14:textId="1DA31A08" w:rsidR="00A64FD5" w:rsidRPr="00250C2F" w:rsidRDefault="0077320D" w:rsidP="0077320D">
      <w:pPr>
        <w:pStyle w:val="berschrift7"/>
      </w:pPr>
      <w:bookmarkStart w:id="651" w:name="_Toc22133402"/>
      <w:r>
        <w:t xml:space="preserve">2. </w:t>
      </w:r>
      <w:r w:rsidR="00A64FD5" w:rsidRPr="00250C2F">
        <w:t>Erste Ansicht (insbesondere Rechtsprechung)</w:t>
      </w:r>
      <w:bookmarkEnd w:id="651"/>
    </w:p>
    <w:p w14:paraId="20D6A464" w14:textId="77777777" w:rsidR="00653B1A" w:rsidRDefault="00653B1A" w:rsidP="00653B1A">
      <w:pPr>
        <w:pStyle w:val="Randnummer"/>
        <w:framePr w:wrap="around"/>
      </w:pPr>
    </w:p>
    <w:p w14:paraId="052FB05D" w14:textId="39740ABF" w:rsidR="00A64FD5" w:rsidRDefault="00A64FD5" w:rsidP="00A64FD5">
      <w:r w:rsidRPr="00A64FD5">
        <w:t>Der BGH misst derartige Vorschriften</w:t>
      </w:r>
      <w:r w:rsidRPr="0077320D">
        <w:t xml:space="preserve"> am Verhältnismäßigkeitsgrundsatz. Danach muss der Ausschluss insbesondere sachlich gerechtfertigt sein </w:t>
      </w:r>
      <w:r w:rsidR="00011C34" w:rsidRPr="0077320D">
        <w:t xml:space="preserve">und </w:t>
      </w:r>
      <w:r w:rsidRPr="0077320D">
        <w:t>darf eine Haftung der Verwaltung für Vorsatz und grobe Fahrlässigkeit nicht ausschließen.</w:t>
      </w:r>
      <w:r w:rsidRPr="0077320D">
        <w:rPr>
          <w:vertAlign w:val="superscript"/>
        </w:rPr>
        <w:footnoteReference w:id="560"/>
      </w:r>
      <w:r w:rsidRPr="0077320D">
        <w:t xml:space="preserve"> Als sachlicher Grund für den Haftungsausschluss genügt bereits, dass dieser einer Niedrighaltung der Nutzungsgebühren dient, was letztlich allen Anstaltsnutzern zugutekommt.</w:t>
      </w:r>
      <w:r w:rsidRPr="0077320D">
        <w:rPr>
          <w:vertAlign w:val="superscript"/>
        </w:rPr>
        <w:footnoteReference w:id="561"/>
      </w:r>
      <w:r w:rsidRPr="0077320D">
        <w:t xml:space="preserve"> Auch im vorliegenden Fall ist der Haftungsausschluss grundsätzlich geeig</w:t>
      </w:r>
      <w:r w:rsidRPr="00A64FD5">
        <w:t>net, die Anstaltskosten (insbesondere: Versicherungsprämien der Kommune für die Haftung ihres Aufsichtspersonals</w:t>
      </w:r>
      <w:r w:rsidRPr="00A64FD5">
        <w:rPr>
          <w:vertAlign w:val="superscript"/>
        </w:rPr>
        <w:footnoteReference w:id="562"/>
      </w:r>
      <w:r w:rsidRPr="00A64FD5">
        <w:t>) und damit die Nutzungsgebühren insgesamt niedrig zu halten, sodass ein sachlicher Grund gegeben ist. Auch bezieht sich die vorliegende Regelung ausschließlich auf „einfache“ Fahrlässigkeit und lässt eine Haftung für grobes Verschulden unberührt. Nach Ansicht der Rechtsprechung wäre die Regelung in § 10 der Badeordnung somit wirksam.</w:t>
      </w:r>
    </w:p>
    <w:p w14:paraId="70D701FB" w14:textId="152A65B9" w:rsidR="00653B1A" w:rsidRPr="00250C2F" w:rsidRDefault="0077320D" w:rsidP="0077320D">
      <w:pPr>
        <w:pStyle w:val="berschrift7"/>
      </w:pPr>
      <w:bookmarkStart w:id="652" w:name="_Toc22133403"/>
      <w:r>
        <w:t xml:space="preserve">3. </w:t>
      </w:r>
      <w:r w:rsidR="00A64FD5" w:rsidRPr="00250C2F">
        <w:t>Zweite Ansicht (Teile der Lehre)</w:t>
      </w:r>
      <w:bookmarkEnd w:id="652"/>
    </w:p>
    <w:p w14:paraId="0272F81A" w14:textId="77777777" w:rsidR="00653B1A" w:rsidRDefault="00653B1A" w:rsidP="00653B1A">
      <w:pPr>
        <w:pStyle w:val="Randnummer"/>
        <w:framePr w:wrap="around"/>
      </w:pPr>
    </w:p>
    <w:p w14:paraId="7DFB72A8" w14:textId="0B53D37E" w:rsidR="00A64FD5" w:rsidRPr="00A64FD5" w:rsidRDefault="00A64FD5" w:rsidP="00A64FD5">
      <w:r w:rsidRPr="00A64FD5">
        <w:t xml:space="preserve">Das Schrifttum hingegen zieht als Entscheidungsmaßstab zunehmend das </w:t>
      </w:r>
      <w:r w:rsidRPr="0077320D">
        <w:t>AGB-Recht</w:t>
      </w:r>
      <w:r w:rsidR="00011C34" w:rsidRPr="0077320D">
        <w:t xml:space="preserve"> </w:t>
      </w:r>
      <w:r w:rsidRPr="00A64FD5">
        <w:t>heran, entweder analog</w:t>
      </w:r>
      <w:r w:rsidRPr="00A64FD5">
        <w:rPr>
          <w:vertAlign w:val="superscript"/>
        </w:rPr>
        <w:footnoteReference w:id="563"/>
      </w:r>
      <w:r w:rsidRPr="00A64FD5">
        <w:t xml:space="preserve"> oder – in die öffentlich-rechtliche Verhältnismäßigkeitsprüfung integriert – als konkretisierenden Maßstab der Angemessenheitsprüfung</w:t>
      </w:r>
      <w:r w:rsidRPr="00A64FD5">
        <w:rPr>
          <w:vertAlign w:val="superscript"/>
        </w:rPr>
        <w:footnoteReference w:id="564"/>
      </w:r>
      <w:r w:rsidRPr="00A64FD5">
        <w:t>. Bei dieser Annahme kommt man insbesondere infolge der Vorschrift des § 309 Nr. 7 lit. a BGB (keine Haftungsreduktion für Körper-, Lebens- und Gesundheitsschäden) zu einer strengeren Haftung der Verwaltung.</w:t>
      </w:r>
      <w:r w:rsidRPr="00A64FD5">
        <w:rPr>
          <w:vertAlign w:val="superscript"/>
        </w:rPr>
        <w:footnoteReference w:id="565"/>
      </w:r>
      <w:r w:rsidRPr="00A64FD5">
        <w:t xml:space="preserve"> So genügt auch die vorliegende Satzungsregelung </w:t>
      </w:r>
      <w:r w:rsidR="00011C34">
        <w:t xml:space="preserve">wegen ihres Pauschalausschlusses </w:t>
      </w:r>
      <w:r w:rsidRPr="00A64FD5">
        <w:t>den Anforderungen des § 309 Nr. 7 lit. a BGB nicht und wäre damit unwirksam.</w:t>
      </w:r>
    </w:p>
    <w:p w14:paraId="326A96B6" w14:textId="168D2242" w:rsidR="00A64FD5" w:rsidRPr="00250C2F" w:rsidRDefault="0077320D" w:rsidP="0077320D">
      <w:pPr>
        <w:pStyle w:val="berschrift7"/>
      </w:pPr>
      <w:bookmarkStart w:id="653" w:name="_Toc22133404"/>
      <w:r>
        <w:t xml:space="preserve">4. </w:t>
      </w:r>
      <w:r w:rsidR="00A64FD5" w:rsidRPr="00250C2F">
        <w:t>Streitentscheid</w:t>
      </w:r>
      <w:bookmarkEnd w:id="653"/>
    </w:p>
    <w:p w14:paraId="406743C3" w14:textId="77777777" w:rsidR="00653B1A" w:rsidRDefault="00653B1A" w:rsidP="00653B1A">
      <w:pPr>
        <w:pStyle w:val="Randnummer"/>
        <w:framePr w:wrap="around"/>
      </w:pPr>
    </w:p>
    <w:p w14:paraId="3E248B60" w14:textId="653BC0FB" w:rsidR="00A64FD5" w:rsidRPr="00A64FD5" w:rsidRDefault="00A64FD5" w:rsidP="00A64FD5">
      <w:r w:rsidRPr="00A64FD5">
        <w:t>Gegen eine Anwendung des AGB-Rechts mag hier zwar sprechen, dass das Verhältnismäßigkeitsprinzip des Grundgesetzes den sachnäheren, genuin öffentlich-rechtlichen Handlungsmaßstab der Verwaltung darstellt und insofern vorrangig heranzuziehen ist. Andererseits wird das übrige Schuldrecht des BGB im verwaltungsrechtlichen Schuldverhältnis gerade analog angewandt, um zu verhindern, dass sich die Exekutive infolge ihrer Wahlfreiheit, ob sie ein Rechtsverhältnis öffentlich- oder privatrechtlich ausgestaltet, den ggf. strengeren Haftungsmodalitäten eines der Rechtsregime entziehen kann. Genau das ist aber der Fall, wenn die öffentlich-rechtlichen Anforderungen an haftungsbeschränkende Klauseln hinter den zivilrechtlichen zurückbleiben und somit gleichsam eine „Flucht ins öffentliche Recht“ ermöglichen.</w:t>
      </w:r>
      <w:r w:rsidRPr="00A64FD5">
        <w:rPr>
          <w:vertAlign w:val="superscript"/>
        </w:rPr>
        <w:footnoteReference w:id="566"/>
      </w:r>
      <w:r w:rsidRPr="00A64FD5">
        <w:t xml:space="preserve"> Im vorliegenden Fall tritt hinzu, dass die Haftungsbeschränkung zulasten einer beschränkt Geschäftsfähigen wirken würde und die öffentlich-rechtliche Formenwahl der Verwaltung somit zusätzlich den zivilrechtlichen Minderjährigenschutz zu unterlaufen drohte.</w:t>
      </w:r>
      <w:r w:rsidRPr="00A64FD5">
        <w:rPr>
          <w:vertAlign w:val="superscript"/>
        </w:rPr>
        <w:footnoteReference w:id="567"/>
      </w:r>
      <w:r w:rsidRPr="00A64FD5">
        <w:t xml:space="preserve"> Aus diesen teleologischen Gründen sind die Vorgaben der §§ 305 ff. BGB zumindest als konkretisierender Maßstab der Angemessenheitsprüfung im Rahmen des Verhältnismäßigkeitsprinzips heranzuziehen, was hier nach den Grundsätzen des § 309 Nr. 7 lit. a BGB zur Unwirksamkeit des § 10 der Satzung führt.</w:t>
      </w:r>
    </w:p>
    <w:p w14:paraId="1B03B1C0" w14:textId="77777777" w:rsidR="00A64FD5" w:rsidRPr="00A64FD5" w:rsidRDefault="00A64FD5" w:rsidP="00A64FD5">
      <w:r w:rsidRPr="00A64FD5">
        <w:t>Das „nur“ einfache Verschulden des S ist für die Haftung der G somit unschädlich.</w:t>
      </w:r>
    </w:p>
    <w:p w14:paraId="77C6DE59" w14:textId="77777777" w:rsidR="00A64FD5" w:rsidRPr="00250C2F" w:rsidRDefault="00A64FD5" w:rsidP="0077320D">
      <w:pPr>
        <w:pStyle w:val="berschrift6"/>
      </w:pPr>
      <w:bookmarkStart w:id="654" w:name="_Toc22133405"/>
      <w:r w:rsidRPr="00250C2F">
        <w:t>IV. Kausaler Schaden</w:t>
      </w:r>
      <w:bookmarkEnd w:id="654"/>
    </w:p>
    <w:p w14:paraId="00BA8000" w14:textId="77777777" w:rsidR="00653B1A" w:rsidRDefault="00653B1A" w:rsidP="00653B1A">
      <w:pPr>
        <w:pStyle w:val="Randnummer"/>
        <w:framePr w:wrap="around"/>
      </w:pPr>
    </w:p>
    <w:p w14:paraId="234D071A" w14:textId="0DCD4131" w:rsidR="00A64FD5" w:rsidRPr="00A64FD5" w:rsidRDefault="00A64FD5" w:rsidP="00A64FD5">
      <w:r w:rsidRPr="00A64FD5">
        <w:t xml:space="preserve">K hat infolge des Sauerstoffmangels unter Wasser schwerwiegende Gesundheitsschäden erlitten. Diese müssten auch kausal und zurechenbar auf die Pflichtverletzungen des S zurückgehen. Fraglich ist insofern, ob jene auch dann eingetreten wären, wenn S seine Aufsichts- und Rettungspflichten ordnungsgemäß erfüllt hätte, ob die Pflichtverletzung mithin </w:t>
      </w:r>
      <w:r w:rsidRPr="00A64FD5">
        <w:rPr>
          <w:i/>
        </w:rPr>
        <w:t>„conditio sine qua non“</w:t>
      </w:r>
      <w:r w:rsidRPr="00A64FD5">
        <w:t xml:space="preserve"> des Schadenseintritts war. Die bloße Möglichkeit oder Wahrscheinlichkeit eines Schadens ist hierfür nicht ausreichend; vielmehr muss der hypothetische Geschehensverlauf durch den Schadensersatzgläubiger dargelegt und </w:t>
      </w:r>
      <w:r w:rsidRPr="0077320D">
        <w:t>vollständig bewiesen</w:t>
      </w:r>
      <w:r w:rsidRPr="00A64FD5">
        <w:t xml:space="preserve"> werden.</w:t>
      </w:r>
      <w:r w:rsidRPr="00A64FD5">
        <w:rPr>
          <w:vertAlign w:val="superscript"/>
        </w:rPr>
        <w:footnoteReference w:id="568"/>
      </w:r>
      <w:r w:rsidRPr="00A64FD5">
        <w:t xml:space="preserve"> </w:t>
      </w:r>
    </w:p>
    <w:p w14:paraId="5D163334" w14:textId="77777777" w:rsidR="00A64FD5" w:rsidRPr="00A64FD5" w:rsidRDefault="00A64FD5" w:rsidP="00A64FD5">
      <w:r w:rsidRPr="00A64FD5">
        <w:t xml:space="preserve">Eine ordnungsgemäße Rettung hätte vorliegend in Anbetracht der Beckengröße und des geringen Badebetriebs höchstens drei Minuten in Anspruch genommen (höchstens zwei Minuten zur Entdeckung der Boje, s. o., und höchstens eine Minute zum Erreichen der Boje und dem Verbringen der K aus dem Becken). Nach dem eingeholten medizinischen Sachverständigengutachten sind die Gesundheitsschäden der K im Zeitraum zwischen zweieinhalb und fünf Minuten nach dem Unfall eingetreten. In der Folge besteht zwar eine Wahrscheinlichkeit, dass die Schäden nach drei Minuten noch nicht vorhanden waren, jedoch keine für den klägerischen Beweis hinreichende Sicherheit. Grundsätzlich wäre damit von einem Fehlen des Kausalitätserfordernisses auszugehen. </w:t>
      </w:r>
    </w:p>
    <w:p w14:paraId="37B74C06" w14:textId="3F67EC5C" w:rsidR="00A64FD5" w:rsidRPr="00250C2F" w:rsidRDefault="0077320D" w:rsidP="0077320D">
      <w:pPr>
        <w:pStyle w:val="berschrift7"/>
      </w:pPr>
      <w:bookmarkStart w:id="655" w:name="_Toc22133406"/>
      <w:r>
        <w:t xml:space="preserve">1. </w:t>
      </w:r>
      <w:r w:rsidR="00A64FD5" w:rsidRPr="00250C2F">
        <w:t>Problem: Beweislast</w:t>
      </w:r>
      <w:bookmarkEnd w:id="655"/>
    </w:p>
    <w:p w14:paraId="6E3B1E3C" w14:textId="77777777" w:rsidR="00653B1A" w:rsidRDefault="00653B1A" w:rsidP="00653B1A">
      <w:pPr>
        <w:pStyle w:val="Randnummer"/>
        <w:framePr w:wrap="around"/>
      </w:pPr>
    </w:p>
    <w:p w14:paraId="0DEC5EDF" w14:textId="77777777" w:rsidR="00A64FD5" w:rsidRPr="0077320D" w:rsidRDefault="00A64FD5" w:rsidP="00A64FD5">
      <w:r w:rsidRPr="00A64FD5">
        <w:t>Allerdings könnte zugunsten der K eine Beweislastumkehr oder zumindest eine Be</w:t>
      </w:r>
      <w:r w:rsidRPr="0077320D">
        <w:t xml:space="preserve">weiserleichterung eingreifen. </w:t>
      </w:r>
    </w:p>
    <w:p w14:paraId="40003893" w14:textId="7A8BA462" w:rsidR="00A64FD5" w:rsidRPr="0077320D" w:rsidRDefault="0077320D" w:rsidP="0077320D">
      <w:pPr>
        <w:pStyle w:val="berschrift8"/>
      </w:pPr>
      <w:bookmarkStart w:id="656" w:name="_Toc22133407"/>
      <w:r>
        <w:t xml:space="preserve">a) </w:t>
      </w:r>
      <w:r w:rsidR="00A64FD5" w:rsidRPr="0077320D">
        <w:t>Beweislastumkehr wegen Verletzung besonderer Berufs- und Organisationspflichten?</w:t>
      </w:r>
      <w:bookmarkEnd w:id="656"/>
    </w:p>
    <w:p w14:paraId="494EC728" w14:textId="77777777" w:rsidR="00653B1A" w:rsidRPr="0077320D" w:rsidRDefault="00653B1A" w:rsidP="00653B1A">
      <w:pPr>
        <w:pStyle w:val="Randnummer"/>
        <w:framePr w:wrap="around"/>
        <w:rPr>
          <w:b w:val="0"/>
        </w:rPr>
      </w:pPr>
    </w:p>
    <w:p w14:paraId="638735A5" w14:textId="164AA954" w:rsidR="00A64FD5" w:rsidRPr="0077320D" w:rsidRDefault="00A64FD5" w:rsidP="00A64FD5">
      <w:r w:rsidRPr="0077320D">
        <w:t>Gelingt ein Nachweis der Kausalität nicht, so kann nach Ansicht der Rechtsprechung eine Beweislastumkehr zugunsten des Klägers eingreifen, wenn dem Beklagten eine grobe Verletzung solcher Berufs- oder Organisationspflichten anzulasten ist, die dem Schutz des Lebens und der Gesundheit anderer dienen. In diesem Falle muss also der Beklagte die Nichtursächlichkeit seiner Pflichtverletzung beweisen, sofern diese allgemein geeignet ist, einen Schaden nach Art des eingetretenen herbeizuführen.</w:t>
      </w:r>
      <w:r w:rsidRPr="0077320D">
        <w:rPr>
          <w:vertAlign w:val="superscript"/>
        </w:rPr>
        <w:footnoteReference w:id="569"/>
      </w:r>
      <w:r w:rsidRPr="0077320D">
        <w:t xml:space="preserve"> </w:t>
      </w:r>
    </w:p>
    <w:p w14:paraId="5521D767" w14:textId="77777777" w:rsidR="00A64FD5" w:rsidRPr="00A64FD5" w:rsidRDefault="00A64FD5" w:rsidP="00A64FD5">
      <w:r w:rsidRPr="0077320D">
        <w:t>Zur Begründung dieser – dem Arzthaftungsrecht entlehnten – Rechtsprechung zieht der BGH vor allem Billigkeitserwägungen heran: Wegen des Gewichts des Fehlers sei das Spektrum der für die Schädigung in Betrac</w:t>
      </w:r>
      <w:r w:rsidRPr="00A64FD5">
        <w:t>ht kommenden Ursachen besonders verbeitert oder verschoben und damit die nachträgliche Aufklärbarkeit des Geschehens in einer Weise erschwert, die den vollen Kausalitätsnachweis für den Geschädigten unzumutbar mache.</w:t>
      </w:r>
      <w:r w:rsidRPr="00A64FD5">
        <w:rPr>
          <w:vertAlign w:val="superscript"/>
        </w:rPr>
        <w:footnoteReference w:id="570"/>
      </w:r>
      <w:r w:rsidRPr="00A64FD5">
        <w:t xml:space="preserve"> </w:t>
      </w:r>
    </w:p>
    <w:p w14:paraId="0E5169CE" w14:textId="77777777" w:rsidR="00A64FD5" w:rsidRPr="00A64FD5" w:rsidRDefault="00A64FD5" w:rsidP="00A64FD5">
      <w:r w:rsidRPr="00A64FD5">
        <w:t xml:space="preserve">Teile der </w:t>
      </w:r>
      <w:r w:rsidRPr="0077320D">
        <w:t>Literatur</w:t>
      </w:r>
      <w:r w:rsidRPr="00A64FD5">
        <w:rPr>
          <w:b/>
        </w:rPr>
        <w:t xml:space="preserve"> </w:t>
      </w:r>
      <w:r w:rsidRPr="00A64FD5">
        <w:t>lehnen diese richterrechtliche Verlagerung der Beweislast zum Nachteil des Anspruchsgegners hingegen ab; derartige Abweichungen von den allgemeinen Beweisgrundsätzen im Zivilprozess seien dogmatisch kaum begründbar.</w:t>
      </w:r>
      <w:r w:rsidRPr="00A64FD5">
        <w:rPr>
          <w:vertAlign w:val="superscript"/>
        </w:rPr>
        <w:footnoteReference w:id="571"/>
      </w:r>
      <w:r w:rsidRPr="00A64FD5">
        <w:t xml:space="preserve"> </w:t>
      </w:r>
    </w:p>
    <w:p w14:paraId="6454C014" w14:textId="273E0DB8" w:rsidR="00A64FD5" w:rsidRPr="00A64FD5" w:rsidRDefault="00A64FD5" w:rsidP="00A64FD5">
      <w:r w:rsidRPr="00A64FD5">
        <w:t>Da S vorliegend keinen groben, sondern „nur“ einfachen Pflich</w:t>
      </w:r>
      <w:r w:rsidR="00011C34">
        <w:t>tverstoß begangen hat</w:t>
      </w:r>
      <w:r w:rsidRPr="00A64FD5">
        <w:t>, kann ein Streitentscheid dahinstehen;</w:t>
      </w:r>
      <w:r w:rsidRPr="00A64FD5">
        <w:rPr>
          <w:vertAlign w:val="superscript"/>
        </w:rPr>
        <w:footnoteReference w:id="572"/>
      </w:r>
      <w:r w:rsidRPr="00A64FD5">
        <w:t xml:space="preserve"> nach beiden Ansichten wäre hier kein Fall der Beweislastumkehr gegeben.</w:t>
      </w:r>
    </w:p>
    <w:p w14:paraId="22599A9B" w14:textId="3B95E7C2" w:rsidR="00A64FD5" w:rsidRPr="00250C2F" w:rsidRDefault="0077320D" w:rsidP="0077320D">
      <w:pPr>
        <w:pStyle w:val="berschrift8"/>
      </w:pPr>
      <w:bookmarkStart w:id="657" w:name="_Toc22133408"/>
      <w:r>
        <w:t xml:space="preserve">b) </w:t>
      </w:r>
      <w:r w:rsidR="00A64FD5" w:rsidRPr="00250C2F">
        <w:t>Anscheinsbeweis zugunsten der K?</w:t>
      </w:r>
      <w:bookmarkEnd w:id="657"/>
    </w:p>
    <w:p w14:paraId="486B8FE3" w14:textId="77777777" w:rsidR="00653B1A" w:rsidRDefault="00653B1A" w:rsidP="00653B1A">
      <w:pPr>
        <w:pStyle w:val="Randnummer"/>
        <w:framePr w:wrap="around"/>
      </w:pPr>
    </w:p>
    <w:p w14:paraId="628CEFE4" w14:textId="6D03DE14" w:rsidR="00A64FD5" w:rsidRPr="0077320D" w:rsidRDefault="00A64FD5" w:rsidP="00A64FD5">
      <w:r w:rsidRPr="0077320D">
        <w:t>Weitgehend anerkannt ist hingegen die tatsächliche Vermutung (Anscheinsbeweis</w:t>
      </w:r>
      <w:r w:rsidRPr="0077320D">
        <w:rPr>
          <w:vertAlign w:val="superscript"/>
        </w:rPr>
        <w:footnoteReference w:id="573"/>
      </w:r>
      <w:r w:rsidRPr="0077320D">
        <w:t>) der Schadensursächlichkeit im Falle der Verletzung von Aufsichts- und Überwachungspflichten, wenn sich gerade diejenige Gefahr verwirklicht, der die Aufsichtspflicht vorbeugen sollte.</w:t>
      </w:r>
      <w:r w:rsidRPr="0077320D">
        <w:rPr>
          <w:vertAlign w:val="superscript"/>
        </w:rPr>
        <w:footnoteReference w:id="574"/>
      </w:r>
      <w:r w:rsidRPr="0077320D">
        <w:t xml:space="preserve"> Dies gilt bereits bei einfach fahrlässiger Verletzung der entsprechenden Pflichten.</w:t>
      </w:r>
      <w:r w:rsidRPr="0077320D">
        <w:rPr>
          <w:vertAlign w:val="superscript"/>
        </w:rPr>
        <w:footnoteReference w:id="575"/>
      </w:r>
    </w:p>
    <w:p w14:paraId="53DBF7E3" w14:textId="77777777" w:rsidR="00A64FD5" w:rsidRPr="00A64FD5" w:rsidRDefault="00A64FD5" w:rsidP="00A64FD5">
      <w:r w:rsidRPr="00A64FD5">
        <w:t xml:space="preserve">Die S obliegende Überwachungs- und die darauf aufbauende Rettungspflicht waren geeignet und – zumindest auch – dazu bestimmt, gesundheitliche Schäden zu verhindern, die dadurch eintreten, dass ein Badegast nicht mehr auftauchen kann und unter Wasser bleibt. Bei dem vorliegenden Badeunfall hat sich somit eben jene Gefahr verwirklicht, der durch die S obliegenden (Kern-)Pflichten entgegengewirkt werden sollte. </w:t>
      </w:r>
    </w:p>
    <w:p w14:paraId="38C1952F" w14:textId="7ECFD926" w:rsidR="00A64FD5" w:rsidRPr="00250C2F" w:rsidRDefault="0077320D" w:rsidP="0077320D">
      <w:pPr>
        <w:pStyle w:val="berschrift7"/>
      </w:pPr>
      <w:bookmarkStart w:id="658" w:name="_Toc22133409"/>
      <w:r>
        <w:t xml:space="preserve">2. </w:t>
      </w:r>
      <w:r w:rsidR="00A64FD5" w:rsidRPr="00250C2F">
        <w:t>Zwischenergebnis</w:t>
      </w:r>
      <w:bookmarkEnd w:id="658"/>
    </w:p>
    <w:p w14:paraId="617BE396" w14:textId="77777777" w:rsidR="00653B1A" w:rsidRDefault="00653B1A" w:rsidP="00653B1A">
      <w:pPr>
        <w:pStyle w:val="Randnummer"/>
        <w:framePr w:wrap="around"/>
      </w:pPr>
    </w:p>
    <w:p w14:paraId="7584FE1E" w14:textId="77777777" w:rsidR="00A64FD5" w:rsidRPr="00A64FD5" w:rsidRDefault="00A64FD5" w:rsidP="00A64FD5">
      <w:r w:rsidRPr="00A64FD5">
        <w:t>Wegen der damit eintretenden tatsächlichen Vermutung zugunsten der K ist von einer Schadensursächlichkeit der Pflichtverletzungen auszugehen.</w:t>
      </w:r>
      <w:r w:rsidRPr="00A64FD5">
        <w:rPr>
          <w:vertAlign w:val="superscript"/>
        </w:rPr>
        <w:footnoteReference w:id="576"/>
      </w:r>
    </w:p>
    <w:p w14:paraId="0A15C122" w14:textId="183814DC" w:rsidR="00A64FD5" w:rsidRPr="00250C2F" w:rsidRDefault="00A64FD5" w:rsidP="0077320D">
      <w:pPr>
        <w:pStyle w:val="berschrift6"/>
      </w:pPr>
      <w:bookmarkStart w:id="659" w:name="_Toc22133410"/>
      <w:r w:rsidRPr="00250C2F">
        <w:t>V</w:t>
      </w:r>
      <w:r w:rsidR="0077320D">
        <w:t>I</w:t>
      </w:r>
      <w:r w:rsidRPr="00250C2F">
        <w:t>. Rechtsfolge</w:t>
      </w:r>
      <w:bookmarkEnd w:id="659"/>
    </w:p>
    <w:p w14:paraId="13E16671" w14:textId="77777777" w:rsidR="00653B1A" w:rsidRDefault="00653B1A" w:rsidP="00653B1A">
      <w:pPr>
        <w:pStyle w:val="Randnummer"/>
        <w:framePr w:wrap="around"/>
      </w:pPr>
    </w:p>
    <w:p w14:paraId="7F9EEF1E" w14:textId="68D6CF73" w:rsidR="00A64FD5" w:rsidRPr="00A64FD5" w:rsidRDefault="00A64FD5" w:rsidP="00A64FD5">
      <w:r w:rsidRPr="00A64FD5">
        <w:t>In der Folge hat K einen Anspruch auf Schadensersatz in entsprechender Anwendung der §§ 249 ff. BGB, was grundsätzlich Ersatz der Pflege- und Behandlungskosten in Geld (§ 251 I BGB analog) wie auch Schmerzensgeld infolge der Gesundheitsverletzungen (§ 253 II analog) umfasst. Ein Mitverschulden (§ 254 BGB analog) der Eltern der K, welches letzterer eventuell zugerechnet werden könnte, liegt laut Bearbeitungshinweis nicht vor.</w:t>
      </w:r>
    </w:p>
    <w:p w14:paraId="0F4853D4" w14:textId="77777777" w:rsidR="00A64FD5" w:rsidRPr="00A64FD5" w:rsidRDefault="00A64FD5" w:rsidP="00A64FD5"/>
    <w:p w14:paraId="64C49E4A" w14:textId="77777777" w:rsidR="00A64FD5" w:rsidRPr="00250C2F" w:rsidRDefault="00A64FD5" w:rsidP="0077320D">
      <w:pPr>
        <w:pStyle w:val="berschrift5"/>
      </w:pPr>
      <w:bookmarkStart w:id="660" w:name="_Toc22133411"/>
      <w:r w:rsidRPr="00250C2F">
        <w:t>B. Amtshaftungsanspruch (§ 839 BGB i. V. m. Art. 34 GG)</w:t>
      </w:r>
      <w:bookmarkEnd w:id="660"/>
    </w:p>
    <w:p w14:paraId="4923B399" w14:textId="77777777" w:rsidR="00653B1A" w:rsidRDefault="00653B1A" w:rsidP="00653B1A">
      <w:pPr>
        <w:pStyle w:val="Randnummer"/>
        <w:framePr w:wrap="around"/>
      </w:pPr>
    </w:p>
    <w:p w14:paraId="65F97883" w14:textId="77777777" w:rsidR="00A64FD5" w:rsidRPr="00A64FD5" w:rsidRDefault="00A64FD5" w:rsidP="00A64FD5">
      <w:r w:rsidRPr="00A64FD5">
        <w:t>Zudem könnte K ein Schadensersatzanspruch aus Amtshaftung gem. § 839 BGB i. V. m. Art. 34 GG zustehen. Dieser steht gleichwertig neben dem Anspruch aus dem Verwaltungsschuldverhältnis.</w:t>
      </w:r>
      <w:r w:rsidRPr="00A64FD5">
        <w:rPr>
          <w:vertAlign w:val="superscript"/>
        </w:rPr>
        <w:footnoteReference w:id="577"/>
      </w:r>
    </w:p>
    <w:p w14:paraId="2E912E8E" w14:textId="77777777" w:rsidR="00A64FD5" w:rsidRPr="00250C2F" w:rsidRDefault="00A64FD5" w:rsidP="0077320D">
      <w:pPr>
        <w:pStyle w:val="berschrift6"/>
      </w:pPr>
      <w:bookmarkStart w:id="661" w:name="_Toc22133412"/>
      <w:r w:rsidRPr="00250C2F">
        <w:t>I. Handlung in Ausübung eines öffentlichen Amtes</w:t>
      </w:r>
      <w:bookmarkEnd w:id="661"/>
    </w:p>
    <w:p w14:paraId="1D2DC764" w14:textId="77777777" w:rsidR="00653B1A" w:rsidRDefault="00653B1A" w:rsidP="00653B1A">
      <w:pPr>
        <w:pStyle w:val="Randnummer"/>
        <w:framePr w:wrap="around"/>
      </w:pPr>
    </w:p>
    <w:p w14:paraId="12B3C5D2" w14:textId="79ADD769" w:rsidR="00A64FD5" w:rsidRDefault="00A64FD5" w:rsidP="00A64FD5">
      <w:r w:rsidRPr="00A64FD5">
        <w:t>Dazu müsste S bei der Badeaufsicht am 10. Juli 2018 als Beamter „im haftungsrechtlichen Sinne“ in Ausübung eines öffentlichen Amtes, also hoheitlich tätig gewesen sein. Nicht erforderlich ist insoweit eine statusrechtliche Stellung als Beamter, sodass es hinreichend ist, dass S Angestellter der Gemeinde G war. Als solcher nahm er Aufgaben im Rahmen der kommunalen Daseinsvorsorge wahr (vgl. § 1 2 der Badeordnung) und wurde somit auch hoheitlich tätig. Das schädigende Unterlassen erfolgte zudem gerade im äußeren und inneren Zusammenhang mit der Erfüllung dieser Aufgabe und somit „in Ausübung“ des öffentlichen Amtes, nicht lediglich bei dessen Gelegenheit.</w:t>
      </w:r>
    </w:p>
    <w:p w14:paraId="0B3DFCED" w14:textId="77777777" w:rsidR="00B347CC" w:rsidRDefault="00B347CC" w:rsidP="00A64FD5"/>
    <w:p w14:paraId="201EEF22" w14:textId="77777777" w:rsidR="00B347CC" w:rsidRPr="00A64FD5" w:rsidRDefault="00B347CC" w:rsidP="00A64FD5"/>
    <w:p w14:paraId="15B8C0AA" w14:textId="77777777" w:rsidR="00A64FD5" w:rsidRPr="00250C2F" w:rsidRDefault="00A64FD5" w:rsidP="0077320D">
      <w:pPr>
        <w:pStyle w:val="berschrift6"/>
      </w:pPr>
      <w:bookmarkStart w:id="662" w:name="_Toc22133413"/>
      <w:r w:rsidRPr="00250C2F">
        <w:t>II. Verletzung einer drittbezogenen Amtspflicht</w:t>
      </w:r>
      <w:bookmarkEnd w:id="662"/>
    </w:p>
    <w:p w14:paraId="0046FEB4" w14:textId="77777777" w:rsidR="00653B1A" w:rsidRDefault="00653B1A" w:rsidP="00653B1A">
      <w:pPr>
        <w:pStyle w:val="Randnummer"/>
        <w:framePr w:wrap="around"/>
      </w:pPr>
    </w:p>
    <w:p w14:paraId="6BC3F626" w14:textId="77777777" w:rsidR="00A64FD5" w:rsidRPr="00A64FD5" w:rsidRDefault="00A64FD5" w:rsidP="00A64FD5">
      <w:r w:rsidRPr="00A64FD5">
        <w:t xml:space="preserve">Dabei muss eine Amtspflicht verletzt worden sein, die gerade auch den Schutz der Gesundheit der K bezweckt hat. </w:t>
      </w:r>
    </w:p>
    <w:p w14:paraId="57C6F914" w14:textId="77777777" w:rsidR="00A64FD5" w:rsidRPr="00250C2F" w:rsidRDefault="00A64FD5" w:rsidP="0077320D">
      <w:pPr>
        <w:pStyle w:val="berschrift7"/>
      </w:pPr>
      <w:bookmarkStart w:id="663" w:name="_Toc22133414"/>
      <w:r w:rsidRPr="00250C2F">
        <w:t>1. Schutzpflichten der G bei der Befestigung der Bojen</w:t>
      </w:r>
      <w:bookmarkEnd w:id="663"/>
    </w:p>
    <w:p w14:paraId="00B910F0" w14:textId="77777777" w:rsidR="00653B1A" w:rsidRDefault="00653B1A" w:rsidP="00653B1A">
      <w:pPr>
        <w:pStyle w:val="Randnummer"/>
        <w:framePr w:wrap="around"/>
      </w:pPr>
    </w:p>
    <w:p w14:paraId="074E560D" w14:textId="4DB4F822" w:rsidR="00A64FD5" w:rsidRPr="00A64FD5" w:rsidRDefault="00A64FD5" w:rsidP="00A64FD5">
      <w:r w:rsidRPr="00A64FD5">
        <w:t>Selbst wenn man die Schutz- und Sorgfaltspflichten der G bei der Bojenbefestigung hier als Amts- und nicht etwa allgemeine Verkehrssicherungspflichten einordnete, fehlte es diesbezüglich an einer Pflicht</w:t>
      </w:r>
      <w:r w:rsidR="00011C34">
        <w:t xml:space="preserve">verletzung der Beklagten (s. oben </w:t>
      </w:r>
      <w:r w:rsidRPr="00A64FD5">
        <w:t>Rn.</w:t>
      </w:r>
      <w:r w:rsidR="00011C34">
        <w:t> 121</w:t>
      </w:r>
      <w:r w:rsidRPr="00A64FD5">
        <w:t>).</w:t>
      </w:r>
    </w:p>
    <w:p w14:paraId="6347E5C5" w14:textId="77777777" w:rsidR="00A64FD5" w:rsidRPr="00250C2F" w:rsidRDefault="00A64FD5" w:rsidP="0077320D">
      <w:pPr>
        <w:pStyle w:val="berschrift7"/>
      </w:pPr>
      <w:bookmarkStart w:id="664" w:name="_Toc22133415"/>
      <w:r w:rsidRPr="00250C2F">
        <w:t>2. Aufsichtspflichten des S</w:t>
      </w:r>
      <w:bookmarkEnd w:id="664"/>
    </w:p>
    <w:p w14:paraId="54C3993C" w14:textId="77777777" w:rsidR="00653B1A" w:rsidRDefault="00653B1A" w:rsidP="00653B1A">
      <w:pPr>
        <w:pStyle w:val="Randnummer"/>
        <w:framePr w:wrap="around"/>
      </w:pPr>
    </w:p>
    <w:p w14:paraId="5846A77B" w14:textId="5F310499" w:rsidR="00A64FD5" w:rsidRPr="00A64FD5" w:rsidRDefault="00A64FD5" w:rsidP="00A64FD5">
      <w:r w:rsidRPr="00A64FD5">
        <w:t>In Betracht kommt jedoch auch hier eine Verletzung von Aufsichtspflichten des S über die Badegäste. Allgemein gesetzlich geregelt ist eine solche Pflicht nicht; indes können sich aus der spezifischen Funktion eines Amtes ungeschriebene Amtspflichten ergeben</w:t>
      </w:r>
      <w:r w:rsidRPr="00A64FD5">
        <w:rPr>
          <w:vertAlign w:val="superscript"/>
        </w:rPr>
        <w:footnoteReference w:id="578"/>
      </w:r>
      <w:r w:rsidRPr="00A64FD5">
        <w:t>. So ist die Aufsicht über die Badegäste gerade zentrale Aufgabe eines Schwimmmeisters und zählt als solche „Kernpflicht“</w:t>
      </w:r>
      <w:r w:rsidRPr="00A64FD5">
        <w:rPr>
          <w:vertAlign w:val="superscript"/>
        </w:rPr>
        <w:footnoteReference w:id="579"/>
      </w:r>
      <w:r w:rsidRPr="00A64FD5">
        <w:t xml:space="preserve"> der spezifischen Aufgabe zu den Amtspflichten des S. Diese Pflicht dient auch gerade dem Schutz der Badenden vor (Ertrinkungs-)Schäden an Leib, Leben und Gesundheit. Eine drittbezogene Amtspflicht liegt damit vor. Diese wurde ihrem Umfang nach auch durch S verletzt </w:t>
      </w:r>
      <w:r w:rsidR="00011C34">
        <w:t>(s. oben Rn. </w:t>
      </w:r>
      <w:r w:rsidR="001B5368">
        <w:t>14</w:t>
      </w:r>
      <w:r w:rsidRPr="00A64FD5">
        <w:t>).</w:t>
      </w:r>
    </w:p>
    <w:p w14:paraId="29940F9F" w14:textId="77777777" w:rsidR="00A64FD5" w:rsidRPr="00250C2F" w:rsidRDefault="00A64FD5" w:rsidP="0077320D">
      <w:pPr>
        <w:pStyle w:val="berschrift6"/>
      </w:pPr>
      <w:bookmarkStart w:id="665" w:name="_Toc22133416"/>
      <w:r w:rsidRPr="00250C2F">
        <w:t>III. Verschulden</w:t>
      </w:r>
      <w:bookmarkEnd w:id="665"/>
    </w:p>
    <w:p w14:paraId="4EB9E18A" w14:textId="77777777" w:rsidR="00653B1A" w:rsidRDefault="00653B1A" w:rsidP="00653B1A">
      <w:pPr>
        <w:pStyle w:val="Randnummer"/>
        <w:framePr w:wrap="around"/>
      </w:pPr>
    </w:p>
    <w:p w14:paraId="30281CDB" w14:textId="02F62DBB" w:rsidR="00A64FD5" w:rsidRPr="00A64FD5" w:rsidRDefault="00A64FD5" w:rsidP="00A64FD5">
      <w:r w:rsidRPr="00A64FD5">
        <w:t>S als Amtsträger müsste die Amtspflichtverletzung überdies nach den Grundsätzen des § 276 BGB zu vertreten haben, wobei jedoch nicht auf dessen individuelle Kenntnisse und Fähigkeiten abzustellen ist, sondern auf diejenigen eines „pflichtgetreuen Durchschnittsbeamten“</w:t>
      </w:r>
      <w:r w:rsidRPr="00A64FD5">
        <w:rPr>
          <w:vertAlign w:val="superscript"/>
        </w:rPr>
        <w:footnoteReference w:id="580"/>
      </w:r>
      <w:r w:rsidRPr="00A64FD5">
        <w:t>. Ein solcher hätte bei Beachtung der im Verkehr erforderlichen Sorgfalt nicht nur die Auffälligkeiten an der betreffenden Boje schneller erkennen, sondern zudem wissen müssen, dass die Situation ein sofortiges Handeln gebietet (s.</w:t>
      </w:r>
      <w:r w:rsidR="00011C34">
        <w:t> oben Rn. </w:t>
      </w:r>
      <w:r w:rsidR="001B5368">
        <w:t>14</w:t>
      </w:r>
      <w:r w:rsidR="00011C34">
        <w:t>)</w:t>
      </w:r>
      <w:r w:rsidRPr="00A64FD5">
        <w:t>. Die Amtspflichtverletzung geht folglich auf („einfache“) Fahrlässigkeit des S zurück.</w:t>
      </w:r>
    </w:p>
    <w:p w14:paraId="0DE7CC16" w14:textId="77777777" w:rsidR="00A64FD5" w:rsidRPr="00250C2F" w:rsidRDefault="00A64FD5" w:rsidP="00250C2F">
      <w:pPr>
        <w:rPr>
          <w:b/>
        </w:rPr>
      </w:pPr>
      <w:r w:rsidRPr="00250C2F">
        <w:rPr>
          <w:b/>
        </w:rPr>
        <w:t>Problem: Wirksamkeit der satzungsförmigen Haftungsbeschränkung im Deliktsrecht?</w:t>
      </w:r>
    </w:p>
    <w:p w14:paraId="108D2942" w14:textId="77777777" w:rsidR="00A64FD5" w:rsidRPr="0077320D" w:rsidRDefault="00A64FD5" w:rsidP="00A64FD5">
      <w:pPr>
        <w:rPr>
          <w:i/>
        </w:rPr>
      </w:pPr>
      <w:r w:rsidRPr="00AC7CDB">
        <w:rPr>
          <w:i/>
        </w:rPr>
        <w:t>Aufbauhinweis:</w:t>
      </w:r>
      <w:r w:rsidRPr="0077320D">
        <w:rPr>
          <w:i/>
        </w:rPr>
        <w:t xml:space="preserve"> Auch im Rahmen der Amtshaftung kann die Prüfung der Haftungsbeschränkung ebenso unten bei den übrigen Ausschlusstatbeständen erfolgen. </w:t>
      </w:r>
    </w:p>
    <w:p w14:paraId="30773A1D" w14:textId="77777777" w:rsidR="00653B1A" w:rsidRPr="0077320D" w:rsidRDefault="00653B1A" w:rsidP="00653B1A">
      <w:pPr>
        <w:pStyle w:val="Randnummer"/>
        <w:framePr w:wrap="around"/>
        <w:rPr>
          <w:b w:val="0"/>
        </w:rPr>
      </w:pPr>
    </w:p>
    <w:p w14:paraId="12748479" w14:textId="33E55F2A" w:rsidR="00A64FD5" w:rsidRPr="00A64FD5" w:rsidRDefault="00653B1A" w:rsidP="00A64FD5">
      <w:r w:rsidRPr="0077320D">
        <w:t>F</w:t>
      </w:r>
      <w:r w:rsidR="00A64FD5" w:rsidRPr="0077320D">
        <w:t>raglich ist angesichts dieser leichten Verschuldensform, wie sich die in § 10 der satzungsförmigen Badeordnung normierte Haftungsbeschränk</w:t>
      </w:r>
      <w:r w:rsidR="00A64FD5" w:rsidRPr="00A64FD5">
        <w:t xml:space="preserve">ung auf Vorsatz und grobe Fahrlässigkeit auf die deliktische Haftung nach § 839 BGB i. V. m. Art. 34 GG auswirkt. Sofern man die vorliegende Klausel überhaupt für wirksam </w:t>
      </w:r>
      <w:r w:rsidR="00011C34">
        <w:t>hielte, könnte</w:t>
      </w:r>
      <w:r w:rsidR="00A64FD5" w:rsidRPr="00A64FD5">
        <w:t xml:space="preserve"> dies jedoch nicht im Rahmen der Amtshaftung gelten, weil Satzungen bereits normhierarchisch nicht geeignet sind, eine formell-gesetzlich begründete Haftung d</w:t>
      </w:r>
      <w:r w:rsidR="00011C34">
        <w:t>es Hoheitsträgers zu beschränken. H</w:t>
      </w:r>
      <w:r w:rsidR="00A64FD5" w:rsidRPr="00A64FD5">
        <w:t>ierzu bedürfte es einer gesetzlichen Grundlage, an welcher es vorliegend fehlt.</w:t>
      </w:r>
      <w:r w:rsidR="00A64FD5" w:rsidRPr="00A64FD5">
        <w:rPr>
          <w:vertAlign w:val="superscript"/>
        </w:rPr>
        <w:footnoteReference w:id="581"/>
      </w:r>
    </w:p>
    <w:p w14:paraId="1B0AD1FA" w14:textId="77777777" w:rsidR="00A64FD5" w:rsidRPr="00250C2F" w:rsidRDefault="00A64FD5" w:rsidP="0077320D">
      <w:pPr>
        <w:pStyle w:val="berschrift6"/>
      </w:pPr>
      <w:bookmarkStart w:id="666" w:name="_Toc22133417"/>
      <w:r w:rsidRPr="00250C2F">
        <w:t>IV. Kausaler Schaden</w:t>
      </w:r>
      <w:bookmarkEnd w:id="666"/>
      <w:r w:rsidRPr="00250C2F">
        <w:t xml:space="preserve"> </w:t>
      </w:r>
    </w:p>
    <w:p w14:paraId="21B9BCFD" w14:textId="77777777" w:rsidR="00653B1A" w:rsidRDefault="00653B1A" w:rsidP="00653B1A">
      <w:pPr>
        <w:pStyle w:val="Randnummer"/>
        <w:framePr w:wrap="around"/>
      </w:pPr>
    </w:p>
    <w:p w14:paraId="09262A42" w14:textId="15BC3CA8" w:rsidR="00A64FD5" w:rsidRPr="00A64FD5" w:rsidRDefault="00A64FD5" w:rsidP="00A64FD5">
      <w:r w:rsidRPr="00A64FD5">
        <w:t xml:space="preserve">Von einer Kausalität der Amtspflichtverletzung für den Gesundheitsschaden der K ist auszugehen, da G Gegenteiliges nicht </w:t>
      </w:r>
      <w:r w:rsidR="001B5368">
        <w:t>be</w:t>
      </w:r>
      <w:r w:rsidRPr="00A64FD5">
        <w:t>wiesen hat (s.</w:t>
      </w:r>
      <w:r w:rsidR="00011C34">
        <w:t> oben Rn. </w:t>
      </w:r>
      <w:r w:rsidR="001B5368">
        <w:t>25</w:t>
      </w:r>
      <w:r w:rsidRPr="00A64FD5">
        <w:t>).</w:t>
      </w:r>
    </w:p>
    <w:p w14:paraId="182FCF91" w14:textId="77777777" w:rsidR="00A64FD5" w:rsidRPr="00250C2F" w:rsidRDefault="00A64FD5" w:rsidP="0077320D">
      <w:pPr>
        <w:pStyle w:val="berschrift6"/>
      </w:pPr>
      <w:bookmarkStart w:id="667" w:name="_Toc22133418"/>
      <w:r w:rsidRPr="00250C2F">
        <w:t>V. Kein tatbestandlicher Ausschluss</w:t>
      </w:r>
      <w:bookmarkEnd w:id="667"/>
    </w:p>
    <w:p w14:paraId="608114B6" w14:textId="77777777" w:rsidR="00653B1A" w:rsidRDefault="00653B1A" w:rsidP="00653B1A">
      <w:pPr>
        <w:pStyle w:val="Randnummer"/>
        <w:framePr w:wrap="around"/>
      </w:pPr>
    </w:p>
    <w:p w14:paraId="7D3A99E1" w14:textId="07DC5554" w:rsidR="00A64FD5" w:rsidRPr="00A64FD5" w:rsidRDefault="00A64FD5" w:rsidP="00A64FD5">
      <w:r w:rsidRPr="00A64FD5">
        <w:t xml:space="preserve">Schließlich dürfte kein Ausschlussgrund der Amtshaftung gegeben sein. Ein schuldhaftes Rechtsmittelversäumnis der K i. S. d. § 839 III BGB kommt vorliegend nicht in Betracht, da eine Einlegung von Primärrechtsbehelfen vor und während des Schadenseintritts (also des Unfalls) offensichtlich unmöglich war. Auch das Spruchrichterprivileg des § 839 II 1 BGB muss mangels eines Judikativaktes ausscheiden. </w:t>
      </w:r>
    </w:p>
    <w:p w14:paraId="4C2E5362" w14:textId="68EC4C0B" w:rsidR="00A64FD5" w:rsidRPr="00A64FD5" w:rsidRDefault="00A64FD5" w:rsidP="00A64FD5">
      <w:r w:rsidRPr="00A64FD5">
        <w:t>Fraglich ist somit nur, ob S gem. § 839 I 2 BGB „auf andere Weise Ersatz zu erlangen vermag“ (Subsidiaritätsklausel). Ein Direktanspruch gegen S scheidet allerdings aus, denn soweit Schäden durch die pflichtwidrige Ausübung eines öffentlichen Amtes verursacht werden, stellt § 839 BGB, der in Verbindung mit Art. 34 GG gerade eine Haftungsüberleitung auf den Hoheitsträger normiert, eine Spezialregelung dar, die einen Rückgriff auf eine allgemeine deliktische Haftung des Amtsträgers (insbesondere: § 823 BGB) grundsätzlich sperrt.</w:t>
      </w:r>
      <w:r w:rsidRPr="00A64FD5">
        <w:rPr>
          <w:vertAlign w:val="superscript"/>
        </w:rPr>
        <w:footnoteReference w:id="582"/>
      </w:r>
      <w:r w:rsidRPr="00A64FD5">
        <w:t xml:space="preserve"> Ansprüche der gegen ihre Eltern scheitern bereits an der fehlenden Pflichtverletzung</w:t>
      </w:r>
      <w:r w:rsidR="00011C34">
        <w:t>, s. den Bearbeitungshinweis.</w:t>
      </w:r>
    </w:p>
    <w:p w14:paraId="2841C02D" w14:textId="77777777" w:rsidR="00A64FD5" w:rsidRPr="00A64FD5" w:rsidRDefault="00A64FD5" w:rsidP="00A64FD5">
      <w:r w:rsidRPr="00A64FD5">
        <w:t>Das Vorliegen eines Ausschlussgrundes ist somit nicht ersichtlich.</w:t>
      </w:r>
    </w:p>
    <w:p w14:paraId="7D765590" w14:textId="77777777" w:rsidR="00A64FD5" w:rsidRPr="00250C2F" w:rsidRDefault="00A64FD5" w:rsidP="0077320D">
      <w:pPr>
        <w:pStyle w:val="berschrift6"/>
      </w:pPr>
      <w:bookmarkStart w:id="668" w:name="_Toc22133419"/>
      <w:r w:rsidRPr="00250C2F">
        <w:t>VI. Rechtsfolge</w:t>
      </w:r>
      <w:bookmarkEnd w:id="668"/>
    </w:p>
    <w:p w14:paraId="53046873" w14:textId="77777777" w:rsidR="00653B1A" w:rsidRDefault="00653B1A" w:rsidP="00653B1A">
      <w:pPr>
        <w:pStyle w:val="Randnummer"/>
        <w:framePr w:wrap="around"/>
      </w:pPr>
    </w:p>
    <w:p w14:paraId="3FBD5FA3" w14:textId="77777777" w:rsidR="00A64FD5" w:rsidRDefault="00A64FD5" w:rsidP="00A64FD5">
      <w:r w:rsidRPr="00A64FD5">
        <w:t>In der Folge kommt K auch ein Schadensersatzanspruch aus Amtshaftung zu.</w:t>
      </w:r>
    </w:p>
    <w:p w14:paraId="3A84FEAF" w14:textId="77777777" w:rsidR="0077320D" w:rsidRPr="00A64FD5" w:rsidRDefault="0077320D" w:rsidP="00A64FD5"/>
    <w:p w14:paraId="5F0AC076" w14:textId="77777777" w:rsidR="00A64FD5" w:rsidRPr="00250C2F" w:rsidRDefault="00A64FD5" w:rsidP="0077320D">
      <w:pPr>
        <w:pStyle w:val="berschrift5"/>
      </w:pPr>
      <w:bookmarkStart w:id="669" w:name="_Toc22133420"/>
      <w:r w:rsidRPr="00250C2F">
        <w:t>C. Allgemeiner öffentlich-rechtlicher Aufopferungsanspruch</w:t>
      </w:r>
      <w:bookmarkEnd w:id="669"/>
    </w:p>
    <w:p w14:paraId="775EBAAD" w14:textId="77777777" w:rsidR="00653B1A" w:rsidRDefault="00653B1A" w:rsidP="00653B1A">
      <w:pPr>
        <w:pStyle w:val="Randnummer"/>
        <w:framePr w:wrap="around"/>
      </w:pPr>
    </w:p>
    <w:p w14:paraId="3A865D50" w14:textId="6B27F7EA" w:rsidR="00A64FD5" w:rsidRPr="00A64FD5" w:rsidRDefault="00A64FD5" w:rsidP="00A64FD5">
      <w:r w:rsidRPr="00A64FD5">
        <w:t>Schließlic</w:t>
      </w:r>
      <w:r w:rsidRPr="0077320D">
        <w:t xml:space="preserve">h kommt in Betracht, das K ein Anspruch aus allgemeiner öffentlich-rechtlicher Aufopferung zusteht. Solche Aufopferungsansprüche können grundsätzlich </w:t>
      </w:r>
      <w:r w:rsidRPr="0077320D">
        <w:rPr>
          <w:i/>
        </w:rPr>
        <w:t>neben</w:t>
      </w:r>
      <w:r w:rsidRPr="0077320D">
        <w:t xml:space="preserve"> dem Amtshaftungsanspruch und Ansprüchen aus öffentlich-rechtlichen Schuldverhältnissen geltend gemacht werden, da letztere Tatbestände der Verschuldenshaftung darstellen.</w:t>
      </w:r>
      <w:r w:rsidRPr="0077320D">
        <w:rPr>
          <w:vertAlign w:val="superscript"/>
        </w:rPr>
        <w:footnoteReference w:id="583"/>
      </w:r>
      <w:r w:rsidRPr="0077320D">
        <w:t xml:space="preserve"> Auch in der Rechtsfolge vermag der Aufopferungsanspruch dem Klagebegehren der K grundsätzlich zu entsprechen, da er Entschädigung nicht nur für Vermögensschäden, die aufgrund der Verletzung immaterieller Rechtsgüter eingetreten sind (Heilbehandlungs- und Pflegekosten) gewährt</w:t>
      </w:r>
      <w:r w:rsidRPr="0077320D">
        <w:rPr>
          <w:vertAlign w:val="superscript"/>
        </w:rPr>
        <w:footnoteReference w:id="584"/>
      </w:r>
      <w:r w:rsidRPr="0077320D">
        <w:t>, sondern nach der neuen Rechtsprechung des BGH mittels dieses Anspruchs auch Schmerzensgeld ge</w:t>
      </w:r>
      <w:r w:rsidRPr="00A64FD5">
        <w:t>ltend gemacht werden kann</w:t>
      </w:r>
      <w:r w:rsidRPr="00A64FD5">
        <w:rPr>
          <w:vertAlign w:val="superscript"/>
        </w:rPr>
        <w:footnoteReference w:id="585"/>
      </w:r>
      <w:r w:rsidRPr="00A64FD5">
        <w:t>.</w:t>
      </w:r>
    </w:p>
    <w:p w14:paraId="4FB695DC" w14:textId="77777777" w:rsidR="00A64FD5" w:rsidRPr="00250C2F" w:rsidRDefault="00A64FD5" w:rsidP="0077320D">
      <w:pPr>
        <w:pStyle w:val="berschrift6"/>
      </w:pPr>
      <w:bookmarkStart w:id="670" w:name="_Toc22133421"/>
      <w:r w:rsidRPr="00250C2F">
        <w:t>I. Hoheitlicher Eingriff in ein immaterielles Rechtsgut</w:t>
      </w:r>
      <w:bookmarkEnd w:id="670"/>
    </w:p>
    <w:p w14:paraId="29F6D6CE" w14:textId="77777777" w:rsidR="00653B1A" w:rsidRDefault="00653B1A" w:rsidP="00653B1A">
      <w:pPr>
        <w:pStyle w:val="Randnummer"/>
        <w:framePr w:wrap="around"/>
      </w:pPr>
    </w:p>
    <w:p w14:paraId="2AA003EC" w14:textId="180BA2EA" w:rsidR="00A64FD5" w:rsidRPr="00A64FD5" w:rsidRDefault="00A64FD5" w:rsidP="00A64FD5">
      <w:r w:rsidRPr="00A64FD5">
        <w:t>Betroffen ist die Gesundheit der K als immaterielles, durch Art. 2 II GG geschütztes Rechtsg</w:t>
      </w:r>
      <w:r w:rsidRPr="0077320D">
        <w:t>ut. Bloßes Unterlassen erfüllt jedoch grundsätzlich nicht den Eingriffsbegriff der allgemeinen Aufopferung</w:t>
      </w:r>
      <w:r w:rsidR="001B5368">
        <w:t>.</w:t>
      </w:r>
      <w:r w:rsidRPr="0077320D">
        <w:t xml:space="preserve"> Rechtsprechung und Literatur fordern hierfür vielmehr ein sog. „qualifiziertes“ Unterlassen</w:t>
      </w:r>
      <w:r w:rsidRPr="0077320D">
        <w:rPr>
          <w:vertAlign w:val="superscript"/>
        </w:rPr>
        <w:footnoteReference w:id="586"/>
      </w:r>
      <w:r w:rsidRPr="0077320D">
        <w:t>, also ein solches, das in seiner Wirkung mit positivem Tun der Verwaltung vergleichbar ist</w:t>
      </w:r>
      <w:r w:rsidRPr="00A64FD5">
        <w:t>.</w:t>
      </w:r>
      <w:r w:rsidRPr="00A64FD5">
        <w:rPr>
          <w:vertAlign w:val="superscript"/>
        </w:rPr>
        <w:footnoteReference w:id="587"/>
      </w:r>
      <w:r w:rsidRPr="00A64FD5">
        <w:t xml:space="preserve"> Dies ist hinsichtlich der Aufsichts- und Rettungspflichtverletzungen des S schon deshalb der Fall, weil es sich hierbei nicht um ein gänzliches Untätigbleiben handelt, sondern vielmehr um ein verzögertes, aber letztlich aktives Tun. Zudem kann auf einen Eingriff durch die (aktive) Bojenbefestigung mit Seilen abgestellt werden.</w:t>
      </w:r>
    </w:p>
    <w:p w14:paraId="57C336E5" w14:textId="77777777" w:rsidR="00A64FD5" w:rsidRPr="00250C2F" w:rsidRDefault="00A64FD5" w:rsidP="0077320D">
      <w:pPr>
        <w:pStyle w:val="berschrift6"/>
      </w:pPr>
      <w:bookmarkStart w:id="671" w:name="_Toc22133422"/>
      <w:r w:rsidRPr="00250C2F">
        <w:t>II. Gemeinwohlbezug</w:t>
      </w:r>
      <w:bookmarkEnd w:id="671"/>
    </w:p>
    <w:p w14:paraId="4D309E88" w14:textId="77777777" w:rsidR="00653B1A" w:rsidRDefault="00653B1A" w:rsidP="00653B1A">
      <w:pPr>
        <w:pStyle w:val="Randnummer"/>
        <w:framePr w:wrap="around"/>
      </w:pPr>
    </w:p>
    <w:p w14:paraId="771DD7F0" w14:textId="5D3EAA89" w:rsidR="00A64FD5" w:rsidRPr="00A64FD5" w:rsidRDefault="00A64FD5" w:rsidP="00A64FD5">
      <w:r w:rsidRPr="00A64FD5">
        <w:t xml:space="preserve">S und diejenigen Mitarbeiter der G, die die Bojen befestigt haben, waren zudem im Rahmen der kommunalen Daseinsvorsorge und grundsätzlich zur Sicherheit der Badegäste (Abgrenzung der Schwimmbereiche), also prinzipiell zu Allgemeinwohlzwecken, tätig. </w:t>
      </w:r>
    </w:p>
    <w:p w14:paraId="4EF20FD7" w14:textId="77777777" w:rsidR="00A64FD5" w:rsidRPr="00250C2F" w:rsidRDefault="00A64FD5" w:rsidP="0077320D">
      <w:pPr>
        <w:pStyle w:val="berschrift6"/>
      </w:pPr>
      <w:bookmarkStart w:id="672" w:name="_Toc22133423"/>
      <w:r w:rsidRPr="00250C2F">
        <w:t>III. Unmittelbarkeit der Eingriffsfolgen</w:t>
      </w:r>
      <w:bookmarkEnd w:id="672"/>
    </w:p>
    <w:p w14:paraId="3C28F4C8" w14:textId="77777777" w:rsidR="00653B1A" w:rsidRDefault="00653B1A" w:rsidP="00653B1A">
      <w:pPr>
        <w:pStyle w:val="Randnummer"/>
        <w:framePr w:wrap="around"/>
      </w:pPr>
    </w:p>
    <w:p w14:paraId="37569C79" w14:textId="6AE58176" w:rsidR="00A64FD5" w:rsidRPr="00A64FD5" w:rsidRDefault="00A64FD5" w:rsidP="00A64FD5">
      <w:r w:rsidRPr="00A64FD5">
        <w:t>Von einer Kausalität der verzögerten Rettung für den Gesundheitsschaden der K ist auszugeh</w:t>
      </w:r>
      <w:r w:rsidR="00011C34">
        <w:t>en (s. oben Rn. </w:t>
      </w:r>
      <w:r w:rsidR="001B5368">
        <w:t>35</w:t>
      </w:r>
      <w:r w:rsidRPr="00A64FD5">
        <w:t>); auch hat sich gerade das</w:t>
      </w:r>
      <w:r w:rsidR="00011C34">
        <w:t xml:space="preserve"> spezifische (Ertrinkungs-)</w:t>
      </w:r>
      <w:r w:rsidRPr="00A64FD5">
        <w:t xml:space="preserve">Risiko verwirklicht, dem durch die Schwimmbadaufsicht vorgebeugt werden sollte. Für </w:t>
      </w:r>
      <w:r w:rsidR="00011C34">
        <w:t>dazwischentretendes</w:t>
      </w:r>
      <w:r w:rsidRPr="00A64FD5">
        <w:t xml:space="preserve"> Dritt- oder Eigenverschulden durch K bestehen keine Anhaltspunkte. Die Gesundheitsverletzung der K beruht somit unmittelbar auf den Eingriffshandlungen.</w:t>
      </w:r>
    </w:p>
    <w:p w14:paraId="10BDA0FB" w14:textId="77777777" w:rsidR="00A64FD5" w:rsidRPr="00250C2F" w:rsidRDefault="00A64FD5" w:rsidP="0077320D">
      <w:pPr>
        <w:pStyle w:val="berschrift6"/>
      </w:pPr>
      <w:bookmarkStart w:id="673" w:name="_Toc22133424"/>
      <w:r w:rsidRPr="00250C2F">
        <w:t>IV. Sonderopfer</w:t>
      </w:r>
      <w:bookmarkEnd w:id="673"/>
    </w:p>
    <w:p w14:paraId="589E9DE3" w14:textId="77777777" w:rsidR="00653B1A" w:rsidRDefault="00653B1A" w:rsidP="00653B1A">
      <w:pPr>
        <w:pStyle w:val="Randnummer"/>
        <w:framePr w:wrap="around"/>
      </w:pPr>
    </w:p>
    <w:p w14:paraId="55D57A8D" w14:textId="23A6F02F" w:rsidR="00A64FD5" w:rsidRPr="00A64FD5" w:rsidRDefault="00A64FD5" w:rsidP="00A64FD5">
      <w:r w:rsidRPr="00A64FD5">
        <w:t>Fraglich ist zudem das Vorliegen eines Sonderopfers bei K. Diese müsste also durch die Art der Bojenbefestigung oder die Verletzung von Rettungspflichten durch S besonders schwerwiegend und im Verhältnis zu anderen Betroffenen ungleich belastet worden sein. Jedenfalls hinsichtlich des Eingriffs durch S kann das Sonderopfer als durch die Amtspflichtwidrigkeit indiziert gelten.</w:t>
      </w:r>
      <w:r w:rsidR="00A566D1">
        <w:t xml:space="preserve"> </w:t>
      </w:r>
    </w:p>
    <w:p w14:paraId="79CB43FE" w14:textId="77777777" w:rsidR="00A64FD5" w:rsidRDefault="00A64FD5" w:rsidP="00A64FD5">
      <w:r w:rsidRPr="00A64FD5">
        <w:t>Die Voraussetzungen des allgemeinen Aufopferungsanspruchs sind somit gegeben.</w:t>
      </w:r>
    </w:p>
    <w:p w14:paraId="5DC8A63E" w14:textId="77777777" w:rsidR="00B347CC" w:rsidRDefault="00B347CC" w:rsidP="00A64FD5"/>
    <w:p w14:paraId="1DB88F4F" w14:textId="77777777" w:rsidR="00B347CC" w:rsidRDefault="00B347CC" w:rsidP="0077320D">
      <w:pPr>
        <w:pStyle w:val="berschrift6"/>
      </w:pPr>
    </w:p>
    <w:p w14:paraId="05FC6023" w14:textId="77777777" w:rsidR="00A64FD5" w:rsidRPr="00250C2F" w:rsidRDefault="00A64FD5" w:rsidP="0077320D">
      <w:pPr>
        <w:pStyle w:val="berschrift6"/>
      </w:pPr>
      <w:bookmarkStart w:id="674" w:name="_Toc22133425"/>
      <w:r w:rsidRPr="00250C2F">
        <w:t>V. Rechtsfolge</w:t>
      </w:r>
      <w:bookmarkEnd w:id="674"/>
    </w:p>
    <w:p w14:paraId="41BC0A8D" w14:textId="77777777" w:rsidR="00653B1A" w:rsidRDefault="00653B1A" w:rsidP="00653B1A">
      <w:pPr>
        <w:pStyle w:val="Randnummer"/>
        <w:framePr w:wrap="around"/>
      </w:pPr>
    </w:p>
    <w:p w14:paraId="3E00D1BE" w14:textId="581BE8BA" w:rsidR="00A64FD5" w:rsidRDefault="00A64FD5" w:rsidP="00A64FD5">
      <w:r w:rsidRPr="00A64FD5">
        <w:t>In der Folge kommt K ein Anspruch auf Entschädigung zu, im Rahmen derer sie ihre Behandlungs- und Pflegekosten wie grundsätzlich auch Schmerzensgeld geltend machen kann.</w:t>
      </w:r>
    </w:p>
    <w:p w14:paraId="1B2B5359" w14:textId="77777777" w:rsidR="0077320D" w:rsidRPr="00A64FD5" w:rsidRDefault="0077320D" w:rsidP="00A64FD5"/>
    <w:p w14:paraId="407B3440" w14:textId="77777777" w:rsidR="00A64FD5" w:rsidRPr="00250C2F" w:rsidRDefault="00A64FD5" w:rsidP="0077320D">
      <w:pPr>
        <w:pStyle w:val="berschrift5"/>
      </w:pPr>
      <w:bookmarkStart w:id="675" w:name="_Toc22133426"/>
      <w:r w:rsidRPr="00250C2F">
        <w:t>D. Ergebnis</w:t>
      </w:r>
      <w:bookmarkEnd w:id="675"/>
    </w:p>
    <w:p w14:paraId="65ED9B09" w14:textId="77777777" w:rsidR="00653B1A" w:rsidRDefault="00653B1A" w:rsidP="00653B1A">
      <w:pPr>
        <w:pStyle w:val="Randnummer"/>
        <w:framePr w:wrap="around"/>
      </w:pPr>
    </w:p>
    <w:p w14:paraId="51904700" w14:textId="77777777" w:rsidR="00A64FD5" w:rsidRPr="00A64FD5" w:rsidRDefault="00A64FD5" w:rsidP="00A64FD5">
      <w:r w:rsidRPr="00A64FD5">
        <w:t>K kann wegen ihrer Gesundheitsschäden Ansprüche aus dem zwischen ihr und G entstandenen öffentlich-rechtlichen Benutzungsverhältnis sowie aus Amtshaftung und allgemeiner Aufopferung geltend machen.</w:t>
      </w:r>
      <w:bookmarkEnd w:id="639"/>
      <w:r w:rsidRPr="00A64FD5">
        <w:t xml:space="preserve"> </w:t>
      </w:r>
      <w:bookmarkEnd w:id="641"/>
    </w:p>
    <w:p w14:paraId="0245F4FD" w14:textId="77777777" w:rsidR="00A64FD5" w:rsidRPr="00A0667A" w:rsidRDefault="00A64FD5" w:rsidP="00A0667A"/>
    <w:sectPr w:rsidR="00A64FD5" w:rsidRPr="00A0667A" w:rsidSect="000C4535">
      <w:footnotePr>
        <w:numRestart w:val="eachSect"/>
      </w:footnotePr>
      <w:pgSz w:w="9639" w:h="1360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ADBC3" w14:textId="77777777" w:rsidR="00091FED" w:rsidRDefault="00091FED" w:rsidP="001E6008">
      <w:pPr>
        <w:spacing w:after="0" w:line="240" w:lineRule="auto"/>
      </w:pPr>
      <w:r>
        <w:separator/>
      </w:r>
    </w:p>
  </w:endnote>
  <w:endnote w:type="continuationSeparator" w:id="0">
    <w:p w14:paraId="63DCAE9D" w14:textId="77777777" w:rsidR="00091FED" w:rsidRDefault="00091FED" w:rsidP="001E6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BA0FC534-83CB-4B51-AEDE-3D491D3FCB6F}"/>
  </w:font>
  <w:font w:name="Times New Roman">
    <w:panose1 w:val="02020603050405020304"/>
    <w:charset w:val="00"/>
    <w:family w:val="roman"/>
    <w:pitch w:val="variable"/>
    <w:sig w:usb0="E0002EFF" w:usb1="C000785B" w:usb2="00000009" w:usb3="00000000" w:csb0="000001FF" w:csb1="00000000"/>
    <w:embedRegular r:id="rId2" w:fontKey="{FB7F45A3-93F9-4160-90FF-113851B5AE44}"/>
    <w:embedBold r:id="rId3" w:fontKey="{642DC9C1-33AB-4591-BD15-3B733085E159}"/>
    <w:embedItalic r:id="rId4" w:fontKey="{5F710F79-FBC1-4289-9B25-28F34405EF25}"/>
    <w:embedBoldItalic r:id="rId5" w:fontKey="{5BA54BAD-7013-4099-BEA9-1109DF1AD892}"/>
  </w:font>
  <w:font w:name="Courier New">
    <w:panose1 w:val="02070309020205020404"/>
    <w:charset w:val="00"/>
    <w:family w:val="modern"/>
    <w:pitch w:val="fixed"/>
    <w:sig w:usb0="E0002EFF" w:usb1="C0007843" w:usb2="00000009" w:usb3="00000000" w:csb0="000001FF" w:csb1="00000000"/>
    <w:embedRegular r:id="rId6" w:fontKey="{5C07CBA4-8AC7-448C-A789-24A6FA16D56E}"/>
  </w:font>
  <w:font w:name="Wingdings">
    <w:panose1 w:val="05000000000000000000"/>
    <w:charset w:val="02"/>
    <w:family w:val="auto"/>
    <w:pitch w:val="variable"/>
    <w:sig w:usb0="00000000" w:usb1="10000000" w:usb2="00000000" w:usb3="00000000" w:csb0="80000000" w:csb1="00000000"/>
    <w:embedRegular r:id="rId7" w:fontKey="{8C2D938C-B405-4404-8E16-4DC36C4D2531}"/>
  </w:font>
  <w:font w:name="Calibri">
    <w:panose1 w:val="020F0502020204030204"/>
    <w:charset w:val="00"/>
    <w:family w:val="swiss"/>
    <w:pitch w:val="variable"/>
    <w:sig w:usb0="E4002EFF" w:usb1="C000247B" w:usb2="00000009" w:usb3="00000000" w:csb0="000001FF" w:csb1="00000000"/>
    <w:embedRegular r:id="rId8" w:fontKey="{F18C42C9-A66B-4CA6-959D-25FA650FEB4F}"/>
    <w:embedBold r:id="rId9" w:fontKey="{BF69B6B9-D103-4AF9-A628-83546EBD14F0}"/>
    <w:embedItalic r:id="rId10" w:fontKey="{891BEBAC-ADA5-4EF7-9F22-271714FE0423}"/>
    <w:embedBoldItalic r:id="rId11" w:fontKey="{6812A72A-B9C7-4251-B72F-D475303F26C5}"/>
  </w:font>
  <w:font w:name="Calibri Light">
    <w:panose1 w:val="020F0302020204030204"/>
    <w:charset w:val="00"/>
    <w:family w:val="swiss"/>
    <w:pitch w:val="variable"/>
    <w:sig w:usb0="E4002EFF" w:usb1="C000247B" w:usb2="00000009" w:usb3="00000000" w:csb0="000001FF" w:csb1="00000000"/>
    <w:embedRegular r:id="rId12" w:fontKey="{7ED4CFC5-55FA-4335-83CF-20548707CDB5}"/>
    <w:embedBold r:id="rId13" w:fontKey="{B979E5BE-B701-409E-97FA-81538BE430EB}"/>
  </w:font>
  <w:font w:name="Segoe UI">
    <w:panose1 w:val="020B0502040204020203"/>
    <w:charset w:val="00"/>
    <w:family w:val="swiss"/>
    <w:pitch w:val="variable"/>
    <w:sig w:usb0="E4002EFF" w:usb1="C000E47F" w:usb2="00000009" w:usb3="00000000" w:csb0="000001FF" w:csb1="00000000"/>
    <w:embedRegular r:id="rId14" w:fontKey="{8B3B247E-2ABD-4224-BBC8-9DA53D042843}"/>
  </w:font>
  <w:font w:name="Arial">
    <w:panose1 w:val="020B0604020202020204"/>
    <w:charset w:val="00"/>
    <w:family w:val="swiss"/>
    <w:pitch w:val="variable"/>
    <w:sig w:usb0="E0002EFF" w:usb1="C000785B" w:usb2="00000009" w:usb3="00000000" w:csb0="000001FF" w:csb1="00000000"/>
    <w:embedRegular r:id="rId15" w:fontKey="{88AFDE43-3326-453F-8595-981C2A9ED6E2}"/>
  </w:font>
  <w:font w:name="Helvetica Neue">
    <w:altName w:val="Corbel"/>
    <w:charset w:val="00"/>
    <w:family w:val="auto"/>
    <w:pitch w:val="variable"/>
    <w:sig w:usb0="E50002FF" w:usb1="500079DB" w:usb2="00000010" w:usb3="00000000" w:csb0="00000001" w:csb1="00000000"/>
    <w:embedRegular r:id="rId16" w:fontKey="{E595A16F-F43F-435F-91B5-12C9BCA16348}"/>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embedRegular r:id="rId17" w:fontKey="{44795772-DEFB-47AC-84CD-2AE9D3D72E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56DFB" w14:textId="77777777" w:rsidR="006D1FD1" w:rsidRDefault="006D1F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29686" w14:textId="77777777" w:rsidR="006D1FD1" w:rsidRDefault="006D1F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0E030" w14:textId="77777777" w:rsidR="006D1FD1" w:rsidRDefault="006D1FD1">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173278"/>
      <w:docPartObj>
        <w:docPartGallery w:val="Page Numbers (Bottom of Page)"/>
        <w:docPartUnique/>
      </w:docPartObj>
    </w:sdtPr>
    <w:sdtEndPr/>
    <w:sdtContent>
      <w:p w14:paraId="3754BA71" w14:textId="6C196981" w:rsidR="006D1FD1" w:rsidRDefault="006D1FD1">
        <w:pPr>
          <w:pStyle w:val="Fuzeile"/>
        </w:pPr>
        <w:r w:rsidRPr="00EF1CEB">
          <w:rPr>
            <w:b/>
          </w:rPr>
          <w:fldChar w:fldCharType="begin"/>
        </w:r>
        <w:r w:rsidRPr="00EF1CEB">
          <w:rPr>
            <w:b/>
          </w:rPr>
          <w:instrText>PAGE   \* MERGEFORMAT</w:instrText>
        </w:r>
        <w:r w:rsidRPr="00EF1CEB">
          <w:rPr>
            <w:b/>
          </w:rPr>
          <w:fldChar w:fldCharType="separate"/>
        </w:r>
        <w:r>
          <w:rPr>
            <w:b/>
            <w:noProof/>
          </w:rPr>
          <w:t>262</w:t>
        </w:r>
        <w:r w:rsidRPr="00EF1CEB">
          <w:rPr>
            <w:b/>
          </w:rPr>
          <w:fldChar w:fldCharType="end"/>
        </w:r>
        <w:r>
          <w:t xml:space="preserve">    </w:t>
        </w:r>
        <w:r>
          <w:rPr>
            <w:noProof/>
          </w:rPr>
          <w:fldChar w:fldCharType="begin"/>
        </w:r>
        <w:r>
          <w:rPr>
            <w:noProof/>
          </w:rPr>
          <w:instrText xml:space="preserve"> STYLEREF  Autor*in  \* MERGEFORMAT </w:instrText>
        </w:r>
        <w:r>
          <w:rPr>
            <w:noProof/>
          </w:rPr>
          <w:fldChar w:fldCharType="separate"/>
        </w:r>
        <w:r w:rsidR="00A625BF">
          <w:rPr>
            <w:noProof/>
          </w:rPr>
          <w:t>Tanja Kernchen</w:t>
        </w:r>
        <w:r>
          <w:rPr>
            <w:noProof/>
          </w:rPr>
          <w:fldChar w:fldCharType="end"/>
        </w:r>
      </w:p>
    </w:sdtContent>
  </w:sdt>
  <w:p w14:paraId="457CCB1D" w14:textId="73379B7B" w:rsidR="006D1FD1" w:rsidRDefault="006D1FD1">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9215721"/>
      <w:docPartObj>
        <w:docPartGallery w:val="Page Numbers (Bottom of Page)"/>
        <w:docPartUnique/>
      </w:docPartObj>
    </w:sdtPr>
    <w:sdtEndPr/>
    <w:sdtContent>
      <w:p w14:paraId="06F6AF21" w14:textId="3E74BCAD" w:rsidR="006D1FD1" w:rsidRDefault="006D1FD1">
        <w:pPr>
          <w:pStyle w:val="Fuzeile"/>
          <w:jc w:val="right"/>
        </w:pPr>
        <w:r>
          <w:t xml:space="preserve">   </w:t>
        </w:r>
        <w:r>
          <w:rPr>
            <w:noProof/>
          </w:rPr>
          <w:fldChar w:fldCharType="begin"/>
        </w:r>
        <w:r>
          <w:rPr>
            <w:noProof/>
          </w:rPr>
          <w:instrText xml:space="preserve"> STYLEREF  Autor*in  \* MERGEFORMAT </w:instrText>
        </w:r>
        <w:r>
          <w:rPr>
            <w:noProof/>
          </w:rPr>
          <w:fldChar w:fldCharType="separate"/>
        </w:r>
        <w:r w:rsidR="00A625BF">
          <w:rPr>
            <w:noProof/>
          </w:rPr>
          <w:t>Tanja Kernchen</w:t>
        </w:r>
        <w:r>
          <w:rPr>
            <w:noProof/>
          </w:rPr>
          <w:fldChar w:fldCharType="end"/>
        </w:r>
        <w:r>
          <w:t xml:space="preserve">    </w:t>
        </w:r>
        <w:r w:rsidRPr="00EF1CEB">
          <w:rPr>
            <w:b/>
          </w:rPr>
          <w:fldChar w:fldCharType="begin"/>
        </w:r>
        <w:r w:rsidRPr="00EF1CEB">
          <w:rPr>
            <w:b/>
          </w:rPr>
          <w:instrText>PAGE   \* MERGEFORMAT</w:instrText>
        </w:r>
        <w:r w:rsidRPr="00EF1CEB">
          <w:rPr>
            <w:b/>
          </w:rPr>
          <w:fldChar w:fldCharType="separate"/>
        </w:r>
        <w:r>
          <w:rPr>
            <w:b/>
            <w:noProof/>
          </w:rPr>
          <w:t>261</w:t>
        </w:r>
        <w:r w:rsidRPr="00EF1CEB">
          <w:rPr>
            <w:b/>
          </w:rPr>
          <w:fldChar w:fldCharType="end"/>
        </w:r>
      </w:p>
    </w:sdtContent>
  </w:sdt>
  <w:p w14:paraId="642617F7" w14:textId="61B8BB4F" w:rsidR="006D1FD1" w:rsidRDefault="006D1FD1" w:rsidP="007F5EA3">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C3A06" w14:textId="77777777" w:rsidR="00091FED" w:rsidRDefault="00091FED" w:rsidP="001E6008">
      <w:pPr>
        <w:spacing w:after="0" w:line="240" w:lineRule="auto"/>
      </w:pPr>
      <w:r>
        <w:separator/>
      </w:r>
    </w:p>
  </w:footnote>
  <w:footnote w:type="continuationSeparator" w:id="0">
    <w:p w14:paraId="358A89B3" w14:textId="77777777" w:rsidR="00091FED" w:rsidRDefault="00091FED" w:rsidP="001E6008">
      <w:pPr>
        <w:spacing w:after="0" w:line="240" w:lineRule="auto"/>
      </w:pPr>
      <w:r>
        <w:continuationSeparator/>
      </w:r>
    </w:p>
  </w:footnote>
  <w:footnote w:id="1">
    <w:p w14:paraId="406CAC3F" w14:textId="10F3636C" w:rsidR="006D1FD1" w:rsidRDefault="006D1FD1">
      <w:pPr>
        <w:pStyle w:val="Funotentext"/>
      </w:pPr>
      <w:r>
        <w:rPr>
          <w:rStyle w:val="Funotenzeichen"/>
        </w:rPr>
        <w:footnoteRef/>
      </w:r>
      <w:r>
        <w:t xml:space="preserve"> Die Ausführungen in diesem Abschnitt beruhen </w:t>
      </w:r>
      <w:r w:rsidRPr="00F51AE5">
        <w:t xml:space="preserve">auf dem </w:t>
      </w:r>
      <w:r>
        <w:t>Kapitel zur gutachterlichen Prüfung im Verwaltungsrecht</w:t>
      </w:r>
      <w:r w:rsidRPr="00F51AE5">
        <w:t xml:space="preserve"> von</w:t>
      </w:r>
      <w:r>
        <w:t xml:space="preserve"> </w:t>
      </w:r>
      <w:hyperlink r:id="rId1" w:history="1">
        <w:r w:rsidRPr="00F745EE">
          <w:rPr>
            <w:rStyle w:val="Hyperlink"/>
          </w:rPr>
          <w:t>Baade, in: Eisentraut, Verwaltungsrecht in der Klausur, 2020, § 1 Rn. 2 ff.</w:t>
        </w:r>
      </w:hyperlink>
      <w:r>
        <w:t xml:space="preserve">, </w:t>
      </w:r>
      <w:r w:rsidRPr="00F51AE5">
        <w:t>veröffentlicht unter der Lizenz CC BY-SA 4.0 (</w:t>
      </w:r>
      <w:hyperlink r:id="rId2" w:history="1">
        <w:r w:rsidRPr="00F51AE5">
          <w:rPr>
            <w:rStyle w:val="Hyperlink"/>
          </w:rPr>
          <w:t>https://creativecommons.org/licenses/by-sa/4.0/deed.de</w:t>
        </w:r>
      </w:hyperlink>
      <w:r w:rsidRPr="00F51AE5">
        <w:rPr>
          <w:u w:val="single"/>
        </w:rPr>
        <w:t>).</w:t>
      </w:r>
      <w:r w:rsidRPr="00F51AE5">
        <w:t xml:space="preserve"> Für Änderungen ist allein der </w:t>
      </w:r>
      <w:r>
        <w:t>Autor</w:t>
      </w:r>
      <w:r w:rsidRPr="00F51AE5">
        <w:t xml:space="preserve"> diese</w:t>
      </w:r>
      <w:r>
        <w:t>r Überarbeitung verantwortlich.</w:t>
      </w:r>
    </w:p>
  </w:footnote>
  <w:footnote w:id="2">
    <w:p w14:paraId="5A0E8216" w14:textId="5C4AB0B9" w:rsidR="006D1FD1" w:rsidRDefault="006D1FD1">
      <w:pPr>
        <w:pStyle w:val="Funotentext"/>
      </w:pPr>
      <w:r>
        <w:rPr>
          <w:rStyle w:val="Funotenzeichen"/>
        </w:rPr>
        <w:footnoteRef/>
      </w:r>
      <w:r>
        <w:t xml:space="preserve"> Näher Baade, in: </w:t>
      </w:r>
      <w:r w:rsidRPr="00F51AE5">
        <w:t xml:space="preserve">Eisentraut, Verwaltungsrecht </w:t>
      </w:r>
      <w:r>
        <w:t>in der Klausur, 2020, § 1 Rn. 27 ff.</w:t>
      </w:r>
    </w:p>
  </w:footnote>
  <w:footnote w:id="3">
    <w:p w14:paraId="090C93B6" w14:textId="429006A5" w:rsidR="006D1FD1" w:rsidRDefault="006D1FD1">
      <w:pPr>
        <w:pStyle w:val="Funotentext"/>
      </w:pPr>
      <w:r>
        <w:rPr>
          <w:rStyle w:val="Funotenzeichen"/>
        </w:rPr>
        <w:footnoteRef/>
      </w:r>
      <w:r>
        <w:t xml:space="preserve"> Weitere Konstellationen bei </w:t>
      </w:r>
      <w:hyperlink r:id="rId3" w:history="1">
        <w:r w:rsidRPr="00F745EE">
          <w:rPr>
            <w:rStyle w:val="Hyperlink"/>
          </w:rPr>
          <w:t>Baade, in: Eisentraut, Verwaltungsrecht in der Klausur, 2020, § 1 Rn. 34 ff.</w:t>
        </w:r>
      </w:hyperlink>
    </w:p>
  </w:footnote>
  <w:footnote w:id="4">
    <w:p w14:paraId="352D93FA" w14:textId="20360BC1" w:rsidR="006D1FD1" w:rsidRDefault="006D1FD1">
      <w:pPr>
        <w:pStyle w:val="Funotentext"/>
      </w:pPr>
      <w:r>
        <w:rPr>
          <w:rStyle w:val="Funotenzeichen"/>
        </w:rPr>
        <w:footnoteRef/>
      </w:r>
      <w:r>
        <w:t xml:space="preserve"> Zur Prüfung der Erfolgsaussichten eines Widerspruchs </w:t>
      </w:r>
      <w:hyperlink r:id="rId4" w:history="1">
        <w:r w:rsidRPr="00144A4A">
          <w:rPr>
            <w:rStyle w:val="Hyperlink"/>
          </w:rPr>
          <w:t>Braun, in: Eisentraut, Verwaltungsrecht in der Klausur, 2020, § 2 Rn. 335.</w:t>
        </w:r>
      </w:hyperlink>
    </w:p>
  </w:footnote>
  <w:footnote w:id="5">
    <w:p w14:paraId="27434F0D" w14:textId="2D7A9EBE" w:rsidR="006D1FD1" w:rsidRDefault="006D1FD1" w:rsidP="002F317D">
      <w:pPr>
        <w:pStyle w:val="Funotentext"/>
      </w:pPr>
      <w:r>
        <w:rPr>
          <w:rStyle w:val="Funotenzeichen"/>
        </w:rPr>
        <w:footnoteRef/>
      </w:r>
      <w:r>
        <w:t xml:space="preserve"> Näher </w:t>
      </w:r>
      <w:hyperlink r:id="rId5" w:history="1">
        <w:r w:rsidRPr="00C87B0D">
          <w:rPr>
            <w:rStyle w:val="Hyperlink"/>
          </w:rPr>
          <w:t>Baade, in: Eisentraut, Verwaltungsrecht in der Klausur, 2020, § 1 Rn. 63 ff.</w:t>
        </w:r>
      </w:hyperlink>
    </w:p>
  </w:footnote>
  <w:footnote w:id="6">
    <w:p w14:paraId="53E87D34" w14:textId="422F4711" w:rsidR="006D1FD1" w:rsidRDefault="006D1FD1">
      <w:pPr>
        <w:pStyle w:val="Funotentext"/>
      </w:pPr>
      <w:r>
        <w:rPr>
          <w:rStyle w:val="Funotenzeichen"/>
        </w:rPr>
        <w:footnoteRef/>
      </w:r>
      <w:r>
        <w:t xml:space="preserve"> </w:t>
      </w:r>
      <w:hyperlink r:id="rId6" w:history="1">
        <w:r w:rsidRPr="00C87B0D">
          <w:rPr>
            <w:rStyle w:val="Hyperlink"/>
          </w:rPr>
          <w:t>Baade, in: Eisentraut, Verwaltungsrecht in der Klausur, 2020, § 1 Rn. 72.</w:t>
        </w:r>
      </w:hyperlink>
    </w:p>
  </w:footnote>
  <w:footnote w:id="7">
    <w:p w14:paraId="6E0ABC1C" w14:textId="6A53A034" w:rsidR="006D1FD1" w:rsidRDefault="006D1FD1" w:rsidP="002F317D">
      <w:pPr>
        <w:pStyle w:val="Funotentext"/>
      </w:pPr>
      <w:r>
        <w:rPr>
          <w:rStyle w:val="Funotenzeichen"/>
        </w:rPr>
        <w:footnoteRef/>
      </w:r>
      <w:r>
        <w:t xml:space="preserve"> Näher zur Arbeit mit Schemata </w:t>
      </w:r>
      <w:hyperlink r:id="rId7" w:history="1">
        <w:r w:rsidRPr="00C87B0D">
          <w:rPr>
            <w:rStyle w:val="Hyperlink"/>
          </w:rPr>
          <w:t>Baade, in: Eisentraut, Verwaltungsrecht in der Klausur, 2020, § 1 Rn. 71 ff.</w:t>
        </w:r>
      </w:hyperlink>
    </w:p>
  </w:footnote>
  <w:footnote w:id="8">
    <w:p w14:paraId="00BCF3CF" w14:textId="6BC922DB" w:rsidR="006D1FD1" w:rsidRDefault="006D1FD1">
      <w:pPr>
        <w:pStyle w:val="Funotentext"/>
      </w:pPr>
      <w:r>
        <w:rPr>
          <w:rStyle w:val="Funotenzeichen"/>
        </w:rPr>
        <w:footnoteRef/>
      </w:r>
      <w:r>
        <w:t xml:space="preserve"> Näher zur in Prüfungsarbeiten nicht zu diskutierenden Aufbaufrage, ob der Verwaltungsrechtsweg als Teil der Zulässigkeit geprüft werden kann </w:t>
      </w:r>
      <w:hyperlink r:id="rId8" w:history="1">
        <w:r w:rsidRPr="00C87B0D">
          <w:rPr>
            <w:rStyle w:val="Hyperlink"/>
          </w:rPr>
          <w:t>Eisentraut, in: Eisentraut, Verwaltungsrecht in der Klausur, 2020, § 1 Rn. 163.</w:t>
        </w:r>
      </w:hyperlink>
    </w:p>
  </w:footnote>
  <w:footnote w:id="9">
    <w:p w14:paraId="51A043AE" w14:textId="63B9E283" w:rsidR="006D1FD1" w:rsidRDefault="006D1FD1" w:rsidP="00311D7C">
      <w:pPr>
        <w:pStyle w:val="Funotentext"/>
      </w:pPr>
      <w:r>
        <w:rPr>
          <w:rStyle w:val="Funotenzeichen"/>
        </w:rPr>
        <w:footnoteRef/>
      </w:r>
      <w:r>
        <w:t xml:space="preserve"> </w:t>
      </w:r>
      <w:hyperlink r:id="rId9" w:history="1">
        <w:r w:rsidRPr="00C87B0D">
          <w:rPr>
            <w:rStyle w:val="Hyperlink"/>
          </w:rPr>
          <w:t>Eisentraut, in: Eisentraut, Verwaltungsrecht in der Klausur, 2020, § 1 Rn. 166</w:t>
        </w:r>
      </w:hyperlink>
      <w:r>
        <w:t>.</w:t>
      </w:r>
    </w:p>
  </w:footnote>
  <w:footnote w:id="10">
    <w:p w14:paraId="58790C22" w14:textId="2AD8AC91" w:rsidR="006D1FD1" w:rsidRDefault="006D1FD1">
      <w:pPr>
        <w:pStyle w:val="Funotentext"/>
      </w:pPr>
      <w:r>
        <w:rPr>
          <w:rStyle w:val="Funotenzeichen"/>
        </w:rPr>
        <w:footnoteRef/>
      </w:r>
      <w:r>
        <w:t xml:space="preserve"> Näher </w:t>
      </w:r>
      <w:hyperlink r:id="rId10" w:history="1">
        <w:r w:rsidRPr="00C87B0D">
          <w:rPr>
            <w:rStyle w:val="Hyperlink"/>
          </w:rPr>
          <w:t>Eisentraut, in: Eisentraut, Verwaltungsrecht in der Klausur, 2020, § 1 Rn. 166</w:t>
        </w:r>
      </w:hyperlink>
      <w:r>
        <w:t>.</w:t>
      </w:r>
    </w:p>
  </w:footnote>
  <w:footnote w:id="11">
    <w:p w14:paraId="2A9AE97D" w14:textId="77777777" w:rsidR="006D1FD1" w:rsidRDefault="006D1FD1" w:rsidP="006D3CB9">
      <w:pPr>
        <w:pStyle w:val="Funotentext"/>
      </w:pPr>
      <w:r>
        <w:rPr>
          <w:rStyle w:val="Funotenzeichen"/>
        </w:rPr>
        <w:footnoteRef/>
      </w:r>
      <w:r>
        <w:t xml:space="preserve"> Zur Bedeutung der Generalklausel näher Hufen, Verwaltungsprozessrecht, 11. Aufl. 2019, § 11 Rn. 4.</w:t>
      </w:r>
    </w:p>
  </w:footnote>
  <w:footnote w:id="12">
    <w:p w14:paraId="18845E8F" w14:textId="691311A1" w:rsidR="006D1FD1" w:rsidRDefault="006D1FD1" w:rsidP="006D3CB9">
      <w:pPr>
        <w:pStyle w:val="Funotentext"/>
      </w:pPr>
      <w:r>
        <w:rPr>
          <w:rStyle w:val="Funotenzeichen"/>
        </w:rPr>
        <w:footnoteRef/>
      </w:r>
      <w:r>
        <w:t xml:space="preserve"> Näher auch zur Subordinations- und Interessentheorie </w:t>
      </w:r>
      <w:hyperlink r:id="rId11" w:history="1">
        <w:r w:rsidRPr="00C87B0D">
          <w:rPr>
            <w:rStyle w:val="Hyperlink"/>
          </w:rPr>
          <w:t>Eisentraut, in: Eisentraut, Verwaltungsrecht in der Klausur, 2020, § 1 Rn. 169 ff.</w:t>
        </w:r>
      </w:hyperlink>
    </w:p>
  </w:footnote>
  <w:footnote w:id="13">
    <w:p w14:paraId="14B057D9" w14:textId="064F6638" w:rsidR="006D1FD1" w:rsidRDefault="006D1FD1" w:rsidP="006D3CB9">
      <w:pPr>
        <w:pStyle w:val="Funotentext"/>
      </w:pPr>
      <w:r>
        <w:rPr>
          <w:rStyle w:val="Funotenzeichen"/>
        </w:rPr>
        <w:footnoteRef/>
      </w:r>
      <w:r>
        <w:t xml:space="preserve"> Gersdorf, Verwaltungsprozessrecht, 6. Aufl. 2019, Rn. 4; Hufen, Verwaltungsprozessrecht, 11. Aufl. 2019, § 11 Rn. 17.</w:t>
      </w:r>
    </w:p>
  </w:footnote>
  <w:footnote w:id="14">
    <w:p w14:paraId="4C26D0C3" w14:textId="0EB59CC7" w:rsidR="006D1FD1" w:rsidRDefault="006D1FD1" w:rsidP="006D3CB9">
      <w:pPr>
        <w:pStyle w:val="Funotentext"/>
      </w:pPr>
      <w:r>
        <w:rPr>
          <w:rStyle w:val="Funotenzeichen"/>
        </w:rPr>
        <w:footnoteRef/>
      </w:r>
      <w:r>
        <w:t xml:space="preserve"> Näher zu den streitentscheidenden Normen im Bereich der Eingriffsverwaltung </w:t>
      </w:r>
      <w:hyperlink r:id="rId12" w:history="1">
        <w:r w:rsidRPr="00C87B0D">
          <w:rPr>
            <w:rStyle w:val="Hyperlink"/>
          </w:rPr>
          <w:t>Eisentraut, in: Eisentraut, Verwaltungsrecht in der Klausur, 2020, § 1 Rn. 173 ff.</w:t>
        </w:r>
      </w:hyperlink>
    </w:p>
  </w:footnote>
  <w:footnote w:id="15">
    <w:p w14:paraId="082393C6" w14:textId="7FE41C54" w:rsidR="006D1FD1" w:rsidRDefault="006D1FD1" w:rsidP="006D3CB9">
      <w:pPr>
        <w:pStyle w:val="Funotentext"/>
      </w:pPr>
      <w:r>
        <w:rPr>
          <w:rStyle w:val="Funotenzeichen"/>
        </w:rPr>
        <w:footnoteRef/>
      </w:r>
      <w:r>
        <w:t xml:space="preserve"> Näher zu den relevanten Anspruchsgrundlagen im Verwaltungsrecht </w:t>
      </w:r>
      <w:hyperlink r:id="rId13" w:history="1">
        <w:r w:rsidRPr="00C87B0D">
          <w:rPr>
            <w:rStyle w:val="Hyperlink"/>
          </w:rPr>
          <w:t>Eisentraut, in: Eisentraut, Verwaltungsrecht in der Klausur, 2020, § 1 Rn. 182 ff.</w:t>
        </w:r>
      </w:hyperlink>
    </w:p>
  </w:footnote>
  <w:footnote w:id="16">
    <w:p w14:paraId="681DA1E8" w14:textId="1BF27038" w:rsidR="006D1FD1" w:rsidRDefault="006D1FD1" w:rsidP="006D3CB9">
      <w:pPr>
        <w:pStyle w:val="Funotentext"/>
      </w:pPr>
      <w:r>
        <w:rPr>
          <w:rStyle w:val="Funotenzeichen"/>
        </w:rPr>
        <w:footnoteRef/>
      </w:r>
      <w:r>
        <w:t xml:space="preserve"> Näher </w:t>
      </w:r>
      <w:hyperlink r:id="rId14" w:history="1">
        <w:r w:rsidRPr="00C87B0D">
          <w:rPr>
            <w:rStyle w:val="Hyperlink"/>
          </w:rPr>
          <w:t>Eisentraut, in: Eisentraut, Verwaltungsrecht in der Klausur, 2020, § 1 Rn. 210 ff.</w:t>
        </w:r>
      </w:hyperlink>
    </w:p>
  </w:footnote>
  <w:footnote w:id="17">
    <w:p w14:paraId="08BE7CBA" w14:textId="29B61363" w:rsidR="006D1FD1" w:rsidRDefault="006D1FD1">
      <w:pPr>
        <w:pStyle w:val="Funotentext"/>
      </w:pPr>
      <w:r>
        <w:rPr>
          <w:rStyle w:val="Funotenzeichen"/>
        </w:rPr>
        <w:footnoteRef/>
      </w:r>
      <w:r>
        <w:t xml:space="preserve"> Näher </w:t>
      </w:r>
      <w:hyperlink r:id="rId15" w:history="1">
        <w:r w:rsidRPr="00C87B0D">
          <w:rPr>
            <w:rStyle w:val="Hyperlink"/>
          </w:rPr>
          <w:t>Eisentraut, in: Eisentraut, Verwaltungsrecht in der Klausur, 2020, § 1 Rn. 217 ff.</w:t>
        </w:r>
      </w:hyperlink>
    </w:p>
  </w:footnote>
  <w:footnote w:id="18">
    <w:p w14:paraId="0DD53CEA" w14:textId="3DED0711" w:rsidR="006D1FD1" w:rsidRDefault="006D1FD1">
      <w:pPr>
        <w:pStyle w:val="Funotentext"/>
      </w:pPr>
      <w:r>
        <w:rPr>
          <w:rStyle w:val="Funotenzeichen"/>
        </w:rPr>
        <w:footnoteRef/>
      </w:r>
      <w:r>
        <w:t xml:space="preserve"> Dazu näher </w:t>
      </w:r>
      <w:hyperlink r:id="rId16" w:history="1">
        <w:r w:rsidRPr="008C1818">
          <w:rPr>
            <w:rStyle w:val="Hyperlink"/>
          </w:rPr>
          <w:t>Weinberg, in: Eisentraut, Verwaltungsrecht in der Klausur, 2020, § 9 Rn. 2 ff.</w:t>
        </w:r>
      </w:hyperlink>
    </w:p>
  </w:footnote>
  <w:footnote w:id="19">
    <w:p w14:paraId="076982D2" w14:textId="6C95F09D" w:rsidR="006D1FD1" w:rsidRDefault="006D1FD1">
      <w:pPr>
        <w:pStyle w:val="Funotentext"/>
      </w:pPr>
      <w:r>
        <w:rPr>
          <w:rStyle w:val="Funotenzeichen"/>
        </w:rPr>
        <w:footnoteRef/>
      </w:r>
      <w:r>
        <w:t xml:space="preserve"> Dazu näher </w:t>
      </w:r>
      <w:hyperlink r:id="rId17" w:history="1">
        <w:r w:rsidRPr="008C1818">
          <w:rPr>
            <w:rStyle w:val="Hyperlink"/>
          </w:rPr>
          <w:t>Kienle, in: Eisentraut, Verwaltungsrecht in der Klausur, 2020, § 7 Rn. 76 ff.</w:t>
        </w:r>
      </w:hyperlink>
    </w:p>
  </w:footnote>
  <w:footnote w:id="20">
    <w:p w14:paraId="5D8C17C0" w14:textId="78BCDEF2" w:rsidR="006D1FD1" w:rsidRDefault="006D1FD1" w:rsidP="003F18F9">
      <w:pPr>
        <w:pStyle w:val="Funotentext"/>
      </w:pPr>
      <w:r>
        <w:rPr>
          <w:rStyle w:val="Funotenzeichen"/>
        </w:rPr>
        <w:footnoteRef/>
      </w:r>
      <w:r>
        <w:t xml:space="preserve"> Ausführlich zur Eröffnung des Verwaltungsrechtswegs </w:t>
      </w:r>
      <w:hyperlink r:id="rId18" w:history="1">
        <w:r w:rsidRPr="00C87B0D">
          <w:rPr>
            <w:rStyle w:val="Hyperlink"/>
          </w:rPr>
          <w:t>Eisentraut, in: Eisentraut, Veraltungsrecht in der Klausur, 2020, § 1 Rn. 162 ff.</w:t>
        </w:r>
      </w:hyperlink>
    </w:p>
  </w:footnote>
  <w:footnote w:id="21">
    <w:p w14:paraId="0B8A110F" w14:textId="1071128A" w:rsidR="006D1FD1" w:rsidRDefault="006D1FD1">
      <w:pPr>
        <w:pStyle w:val="Funotentext"/>
      </w:pPr>
      <w:r>
        <w:rPr>
          <w:rStyle w:val="Funotenzeichen"/>
        </w:rPr>
        <w:footnoteRef/>
      </w:r>
      <w:r>
        <w:t xml:space="preserve"> Ausführlich zur Anfechtungsklage als statthafter Klageart </w:t>
      </w:r>
      <w:hyperlink r:id="rId19" w:history="1">
        <w:r w:rsidRPr="00144A4A">
          <w:rPr>
            <w:rStyle w:val="Hyperlink"/>
          </w:rPr>
          <w:t>Milker, in: Eisentraut, Verwaltungsrecht in der Klausur, 2020, § 2 Rn. 4 ff.</w:t>
        </w:r>
      </w:hyperlink>
    </w:p>
  </w:footnote>
  <w:footnote w:id="22">
    <w:p w14:paraId="1CEF5B21" w14:textId="7D94CD11" w:rsidR="006D1FD1" w:rsidRDefault="006D1FD1">
      <w:pPr>
        <w:pStyle w:val="Funotentext"/>
      </w:pPr>
      <w:r>
        <w:rPr>
          <w:rStyle w:val="Funotenzeichen"/>
        </w:rPr>
        <w:footnoteRef/>
      </w:r>
      <w:r>
        <w:t xml:space="preserve"> Ausführlich zur Klagebefugnis bei der Anfechtungsklage </w:t>
      </w:r>
      <w:hyperlink r:id="rId20" w:history="1">
        <w:r w:rsidRPr="00144A4A">
          <w:rPr>
            <w:rStyle w:val="Hyperlink"/>
          </w:rPr>
          <w:t>Burbach, in: Eisentraut, Verwaltungsrecht in der Klausur, 2020, § 2 Rn. 281 ff.</w:t>
        </w:r>
      </w:hyperlink>
    </w:p>
  </w:footnote>
  <w:footnote w:id="23">
    <w:p w14:paraId="28162A30" w14:textId="79925A48" w:rsidR="006D1FD1" w:rsidRDefault="006D1FD1">
      <w:pPr>
        <w:pStyle w:val="Funotentext"/>
      </w:pPr>
      <w:r>
        <w:rPr>
          <w:rStyle w:val="Funotenzeichen"/>
        </w:rPr>
        <w:footnoteRef/>
      </w:r>
      <w:r>
        <w:t xml:space="preserve"> Ausführlich zum Vorverfahren bei der Anfechtungsklage </w:t>
      </w:r>
      <w:hyperlink r:id="rId21" w:history="1">
        <w:r w:rsidRPr="00144A4A">
          <w:rPr>
            <w:rStyle w:val="Hyperlink"/>
          </w:rPr>
          <w:t>Braun, in: Eisentraut, Verwaltungsrecht in der Klausur, 2020, § 2 Rn. 301 ff.</w:t>
        </w:r>
      </w:hyperlink>
    </w:p>
  </w:footnote>
  <w:footnote w:id="24">
    <w:p w14:paraId="58E0D7AD" w14:textId="23A05535" w:rsidR="006D1FD1" w:rsidRDefault="006D1FD1">
      <w:pPr>
        <w:pStyle w:val="Funotentext"/>
      </w:pPr>
      <w:r>
        <w:rPr>
          <w:rStyle w:val="Funotenzeichen"/>
        </w:rPr>
        <w:footnoteRef/>
      </w:r>
      <w:r>
        <w:t xml:space="preserve"> Ausführlich zur Klagefrist bei der Anfechtungsklage </w:t>
      </w:r>
      <w:hyperlink r:id="rId22" w:history="1">
        <w:r w:rsidRPr="00144A4A">
          <w:rPr>
            <w:rStyle w:val="Hyperlink"/>
          </w:rPr>
          <w:t>Stockebrandt, in: Eisentraut, Verwaltungsrecht in der Klausur, 2020, § 2 Rn. 353 ff.</w:t>
        </w:r>
      </w:hyperlink>
    </w:p>
  </w:footnote>
  <w:footnote w:id="25">
    <w:p w14:paraId="250DAE21" w14:textId="209E116B" w:rsidR="006D1FD1" w:rsidRDefault="006D1FD1">
      <w:pPr>
        <w:pStyle w:val="Funotentext"/>
      </w:pPr>
      <w:r>
        <w:rPr>
          <w:rStyle w:val="Funotenzeichen"/>
        </w:rPr>
        <w:footnoteRef/>
      </w:r>
      <w:r>
        <w:t xml:space="preserve"> Ausführlich zur Beteiligten bei der Anfechtungsklage </w:t>
      </w:r>
      <w:hyperlink r:id="rId23" w:history="1">
        <w:r w:rsidRPr="00144A4A">
          <w:rPr>
            <w:rStyle w:val="Hyperlink"/>
          </w:rPr>
          <w:t>Creemers, in: Eisentraut, Verwaltungsrecht in der Klausur, 2020, § 2 Rn. 403 ff.</w:t>
        </w:r>
      </w:hyperlink>
    </w:p>
  </w:footnote>
  <w:footnote w:id="26">
    <w:p w14:paraId="5CC1BD03" w14:textId="520C28BB" w:rsidR="006D1FD1" w:rsidRDefault="006D1FD1">
      <w:pPr>
        <w:pStyle w:val="Funotentext"/>
      </w:pPr>
      <w:r>
        <w:rPr>
          <w:rStyle w:val="Funotenzeichen"/>
        </w:rPr>
        <w:footnoteRef/>
      </w:r>
      <w:r>
        <w:t xml:space="preserve"> Ausführlich zur Zuständigkeit des Gerichts bei der Anfechtungsklage </w:t>
      </w:r>
      <w:hyperlink r:id="rId24" w:history="1">
        <w:r w:rsidRPr="00144A4A">
          <w:rPr>
            <w:rStyle w:val="Hyperlink"/>
          </w:rPr>
          <w:t>Goldberg, in: Eisentraut, Verwaltungsrecht in der Klausur, 2020, § 2 Rn. 462 ff.</w:t>
        </w:r>
      </w:hyperlink>
    </w:p>
  </w:footnote>
  <w:footnote w:id="27">
    <w:p w14:paraId="486AD21C" w14:textId="6D9C54CB" w:rsidR="006D1FD1" w:rsidRDefault="006D1FD1">
      <w:pPr>
        <w:pStyle w:val="Funotentext"/>
      </w:pPr>
      <w:r>
        <w:rPr>
          <w:rStyle w:val="Funotenzeichen"/>
        </w:rPr>
        <w:footnoteRef/>
      </w:r>
      <w:r>
        <w:t xml:space="preserve"> Ausführlich zum Rechtsschutzbedürfnis bei der Anfechtungsklage </w:t>
      </w:r>
      <w:hyperlink r:id="rId25" w:history="1">
        <w:r w:rsidRPr="00144A4A">
          <w:rPr>
            <w:rStyle w:val="Hyperlink"/>
          </w:rPr>
          <w:t>Valentiner, in: Eisentraut, Verwaltungsrecht in der Klausur, 2020, § 2 Rn. 476 ff.</w:t>
        </w:r>
      </w:hyperlink>
    </w:p>
  </w:footnote>
  <w:footnote w:id="28">
    <w:p w14:paraId="3ADBA5E3" w14:textId="489FC5D2" w:rsidR="006D1FD1" w:rsidRDefault="006D1FD1">
      <w:pPr>
        <w:pStyle w:val="Funotentext"/>
      </w:pPr>
      <w:r>
        <w:rPr>
          <w:rStyle w:val="Funotenzeichen"/>
        </w:rPr>
        <w:footnoteRef/>
      </w:r>
      <w:r>
        <w:t xml:space="preserve"> Ausführlich zur Struktur der Begründetheitsprüfung der Anfechtungsklage </w:t>
      </w:r>
      <w:hyperlink r:id="rId26" w:history="1">
        <w:r w:rsidRPr="00144A4A">
          <w:rPr>
            <w:rStyle w:val="Hyperlink"/>
          </w:rPr>
          <w:t>Kowalczyk, in: Eisentraut, Verwaltungsrecht in der Klausur, 2020, § 2 Rn. 507 ff.</w:t>
        </w:r>
      </w:hyperlink>
    </w:p>
  </w:footnote>
  <w:footnote w:id="29">
    <w:p w14:paraId="130647D5" w14:textId="60402DFC" w:rsidR="006D1FD1" w:rsidRDefault="006D1FD1">
      <w:pPr>
        <w:pStyle w:val="Funotentext"/>
      </w:pPr>
      <w:r>
        <w:rPr>
          <w:rStyle w:val="Funotenzeichen"/>
        </w:rPr>
        <w:footnoteRef/>
      </w:r>
      <w:r>
        <w:t xml:space="preserve"> Ausführlich zum Erfordernis einer Ermächtigungsgrundlage </w:t>
      </w:r>
      <w:hyperlink r:id="rId27" w:history="1">
        <w:r w:rsidRPr="00144A4A">
          <w:rPr>
            <w:rStyle w:val="Hyperlink"/>
          </w:rPr>
          <w:t>Hadank, in: Eisentraut, Verwaltungsrecht in der Klausur, 2020, § 2 Rn. 554 ff</w:t>
        </w:r>
      </w:hyperlink>
      <w:r>
        <w:t>.; Zur</w:t>
      </w:r>
      <w:r w:rsidRPr="001913D4">
        <w:t xml:space="preserve"> Prüfung der klausurrelevanten Ermächtigungsgrundlagen des Allgemeinen Verwaltungsrechts</w:t>
      </w:r>
      <w:r>
        <w:t xml:space="preserve"> </w:t>
      </w:r>
      <w:hyperlink r:id="rId28" w:history="1">
        <w:r w:rsidRPr="00144A4A">
          <w:rPr>
            <w:rStyle w:val="Hyperlink"/>
          </w:rPr>
          <w:t>Brings-Wiesen, a.a.O., § 2 Rn. Rn. 832 ff.</w:t>
        </w:r>
      </w:hyperlink>
      <w:r>
        <w:t>,</w:t>
      </w:r>
      <w:r w:rsidRPr="001913D4">
        <w:t xml:space="preserve"> des Polizei- und Ordnungsrechts </w:t>
      </w:r>
      <w:hyperlink r:id="rId29" w:history="1">
        <w:r w:rsidRPr="00144A4A">
          <w:rPr>
            <w:rStyle w:val="Hyperlink"/>
          </w:rPr>
          <w:t>Eisentraut, a.a.O., § 2 Rn. 1000 ff</w:t>
        </w:r>
      </w:hyperlink>
      <w:r w:rsidRPr="001913D4">
        <w:t>., des Versammlungsrechts</w:t>
      </w:r>
      <w:r>
        <w:t xml:space="preserve"> </w:t>
      </w:r>
      <w:hyperlink r:id="rId30" w:history="1">
        <w:r w:rsidRPr="00144A4A">
          <w:rPr>
            <w:rStyle w:val="Hyperlink"/>
          </w:rPr>
          <w:t>Eickenjäger, a.a.O., § 2 Rn. 1141 ff</w:t>
        </w:r>
      </w:hyperlink>
      <w:r w:rsidRPr="001913D4">
        <w:t xml:space="preserve">., des Bauordnungsrechts </w:t>
      </w:r>
      <w:hyperlink r:id="rId31" w:history="1">
        <w:r w:rsidRPr="00144A4A">
          <w:rPr>
            <w:rStyle w:val="Hyperlink"/>
          </w:rPr>
          <w:t>Steengrafe, a.a.O., § 2 Rn. 1222 ff.</w:t>
        </w:r>
      </w:hyperlink>
      <w:r w:rsidRPr="001913D4">
        <w:t xml:space="preserve">, des Kommunalrechts </w:t>
      </w:r>
      <w:hyperlink r:id="rId32" w:history="1">
        <w:r w:rsidRPr="00144A4A">
          <w:rPr>
            <w:rStyle w:val="Hyperlink"/>
          </w:rPr>
          <w:t>Piecha, a.a.O., § 2 Rn. 1252 ff.</w:t>
        </w:r>
      </w:hyperlink>
      <w:r w:rsidRPr="001913D4">
        <w:t xml:space="preserve"> und des Verwaltungsvollstreckungsrechts</w:t>
      </w:r>
      <w:r>
        <w:t xml:space="preserve"> </w:t>
      </w:r>
      <w:hyperlink r:id="rId33" w:history="1">
        <w:r w:rsidRPr="00144A4A">
          <w:rPr>
            <w:rStyle w:val="Hyperlink"/>
          </w:rPr>
          <w:t>Ilal, a.a.O., § 2 Rn. 1292 ff.</w:t>
        </w:r>
      </w:hyperlink>
    </w:p>
  </w:footnote>
  <w:footnote w:id="30">
    <w:p w14:paraId="2E2DC77A" w14:textId="1CE96744" w:rsidR="006D1FD1" w:rsidRDefault="006D1FD1">
      <w:pPr>
        <w:pStyle w:val="Funotentext"/>
      </w:pPr>
      <w:r>
        <w:rPr>
          <w:rStyle w:val="Funotenzeichen"/>
        </w:rPr>
        <w:footnoteRef/>
      </w:r>
      <w:r>
        <w:t xml:space="preserve"> Ausführlich zur Zuständigkeit </w:t>
      </w:r>
      <w:hyperlink r:id="rId34" w:history="1">
        <w:r w:rsidRPr="00144A4A">
          <w:rPr>
            <w:rStyle w:val="Hyperlink"/>
          </w:rPr>
          <w:t>Eickenjäger, in: Eisentraut, Verwaltungsrecht in der Klausur, 2020, § 2 Rn. 580 ff.</w:t>
        </w:r>
      </w:hyperlink>
    </w:p>
  </w:footnote>
  <w:footnote w:id="31">
    <w:p w14:paraId="3724C227" w14:textId="2FF24AA9" w:rsidR="006D1FD1" w:rsidRDefault="006D1FD1">
      <w:pPr>
        <w:pStyle w:val="Funotentext"/>
      </w:pPr>
      <w:r>
        <w:rPr>
          <w:rStyle w:val="Funotenzeichen"/>
        </w:rPr>
        <w:footnoteRef/>
      </w:r>
      <w:r>
        <w:t xml:space="preserve"> Ausführlich zum Verfahren </w:t>
      </w:r>
      <w:hyperlink r:id="rId35" w:history="1">
        <w:r w:rsidRPr="00144A4A">
          <w:rPr>
            <w:rStyle w:val="Hyperlink"/>
          </w:rPr>
          <w:t>Senders, in: Eisentraut, Verwaltungsrecht in der Klausur, 2020, § 2 Rn. 621 ff.</w:t>
        </w:r>
      </w:hyperlink>
    </w:p>
  </w:footnote>
  <w:footnote w:id="32">
    <w:p w14:paraId="7F0022FF" w14:textId="3DF30842" w:rsidR="006D1FD1" w:rsidRDefault="006D1FD1">
      <w:pPr>
        <w:pStyle w:val="Funotentext"/>
      </w:pPr>
      <w:r>
        <w:rPr>
          <w:rStyle w:val="Funotenzeichen"/>
        </w:rPr>
        <w:footnoteRef/>
      </w:r>
      <w:r>
        <w:t xml:space="preserve"> Ausführlich zur Form </w:t>
      </w:r>
      <w:hyperlink r:id="rId36" w:history="1">
        <w:r w:rsidRPr="00144A4A">
          <w:rPr>
            <w:rStyle w:val="Hyperlink"/>
          </w:rPr>
          <w:t>Lemke, in: Eisentraut, Verwaltungsrecht in der Klausur, 2020, § 2 Rn. 681 ff.</w:t>
        </w:r>
      </w:hyperlink>
    </w:p>
  </w:footnote>
  <w:footnote w:id="33">
    <w:p w14:paraId="538A7DA7" w14:textId="00B65648" w:rsidR="006D1FD1" w:rsidRDefault="006D1FD1">
      <w:pPr>
        <w:pStyle w:val="Funotentext"/>
      </w:pPr>
      <w:r>
        <w:rPr>
          <w:rStyle w:val="Funotenzeichen"/>
        </w:rPr>
        <w:footnoteRef/>
      </w:r>
      <w:r>
        <w:t xml:space="preserve"> Ausführlich zur Prüfung der materiellen Rechtmäßigkeit </w:t>
      </w:r>
      <w:hyperlink r:id="rId37" w:history="1">
        <w:r w:rsidRPr="00144A4A">
          <w:rPr>
            <w:rStyle w:val="Hyperlink"/>
          </w:rPr>
          <w:t>Benrath, in: Eisentraut, Verwaltungsrecht in der Klausur, 2020, § 2 Rn. 712 ff.</w:t>
        </w:r>
      </w:hyperlink>
    </w:p>
  </w:footnote>
  <w:footnote w:id="34">
    <w:p w14:paraId="5D79063B" w14:textId="4F9DEFAF" w:rsidR="006D1FD1" w:rsidRDefault="006D1FD1">
      <w:pPr>
        <w:pStyle w:val="Funotentext"/>
      </w:pPr>
      <w:r>
        <w:rPr>
          <w:rStyle w:val="Funotenzeichen"/>
        </w:rPr>
        <w:footnoteRef/>
      </w:r>
      <w:r>
        <w:t xml:space="preserve"> Ausführlich zur Prüfung der Verletzung subjektiver Rechte </w:t>
      </w:r>
      <w:hyperlink r:id="rId38" w:history="1">
        <w:r w:rsidRPr="00144A4A">
          <w:rPr>
            <w:rStyle w:val="Hyperlink"/>
          </w:rPr>
          <w:t>Eisentraut, in: Eisentraut, Verwaltungsrecht in der Klausur, 2020, § 2 Rn. 828 ff.</w:t>
        </w:r>
      </w:hyperlink>
    </w:p>
  </w:footnote>
  <w:footnote w:id="35">
    <w:p w14:paraId="792BD029" w14:textId="17334F08" w:rsidR="006D1FD1" w:rsidRDefault="006D1FD1">
      <w:pPr>
        <w:pStyle w:val="Funotentext"/>
      </w:pPr>
      <w:r>
        <w:rPr>
          <w:rStyle w:val="Funotenzeichen"/>
        </w:rPr>
        <w:footnoteRef/>
      </w:r>
      <w:r>
        <w:t xml:space="preserve"> S. hierzu vertiefend </w:t>
      </w:r>
      <w:hyperlink r:id="rId39" w:history="1">
        <w:r w:rsidRPr="00C87B0D">
          <w:rPr>
            <w:rStyle w:val="Hyperlink"/>
          </w:rPr>
          <w:t>Eisentraut, in: Eisentraut, Verwaltungsrecht in der Klausur, 2020, § 1 Rn. 218</w:t>
        </w:r>
      </w:hyperlink>
      <w:r>
        <w:t xml:space="preserve"> und </w:t>
      </w:r>
      <w:hyperlink r:id="rId40" w:history="1">
        <w:r w:rsidRPr="00C87B0D">
          <w:rPr>
            <w:rStyle w:val="Hyperlink"/>
          </w:rPr>
          <w:t>§ 2 Rn. 1018</w:t>
        </w:r>
      </w:hyperlink>
      <w:r>
        <w:t>.</w:t>
      </w:r>
    </w:p>
  </w:footnote>
  <w:footnote w:id="36">
    <w:p w14:paraId="1687110B" w14:textId="608ED906" w:rsidR="006D1FD1" w:rsidRDefault="006D1FD1">
      <w:pPr>
        <w:pStyle w:val="Funotentext"/>
      </w:pPr>
      <w:r>
        <w:rPr>
          <w:rStyle w:val="Funotenzeichen"/>
        </w:rPr>
        <w:footnoteRef/>
      </w:r>
      <w:r>
        <w:t xml:space="preserve"> S. dazu näher </w:t>
      </w:r>
      <w:hyperlink r:id="rId41" w:history="1">
        <w:r w:rsidRPr="00144A4A">
          <w:rPr>
            <w:rStyle w:val="Hyperlink"/>
          </w:rPr>
          <w:t>Stockebrandt, in: Eisentraut, Verwaltungsrecht in der Klausur, 2020, § 2 Rn. Rn. 373, 378.</w:t>
        </w:r>
      </w:hyperlink>
    </w:p>
  </w:footnote>
  <w:footnote w:id="37">
    <w:p w14:paraId="77A02709" w14:textId="6237E20E" w:rsidR="006D1FD1" w:rsidRDefault="006D1FD1">
      <w:pPr>
        <w:pStyle w:val="Funotentext"/>
      </w:pPr>
      <w:r>
        <w:rPr>
          <w:rStyle w:val="Funotenzeichen"/>
        </w:rPr>
        <w:footnoteRef/>
      </w:r>
      <w:r>
        <w:t xml:space="preserve"> S. hierzu näher </w:t>
      </w:r>
      <w:hyperlink r:id="rId42" w:history="1">
        <w:r w:rsidRPr="00144A4A">
          <w:rPr>
            <w:rStyle w:val="Hyperlink"/>
          </w:rPr>
          <w:t>Stockebrandt, in: Eisentraut, Verwaltungsrecht in der Klausur, 2020, § 2 Rn. 368</w:t>
        </w:r>
      </w:hyperlink>
      <w:r>
        <w:t>.</w:t>
      </w:r>
    </w:p>
  </w:footnote>
  <w:footnote w:id="38">
    <w:p w14:paraId="371A4D97" w14:textId="4D0FF926" w:rsidR="006D1FD1" w:rsidRDefault="006D1FD1">
      <w:pPr>
        <w:pStyle w:val="Funotentext"/>
      </w:pPr>
      <w:r>
        <w:rPr>
          <w:rStyle w:val="Funotenzeichen"/>
        </w:rPr>
        <w:footnoteRef/>
      </w:r>
      <w:r>
        <w:t xml:space="preserve"> S. hierzu näher </w:t>
      </w:r>
      <w:hyperlink r:id="rId43" w:history="1">
        <w:r w:rsidRPr="00144A4A">
          <w:rPr>
            <w:rStyle w:val="Hyperlink"/>
          </w:rPr>
          <w:t>Stockebrandt, in: Eisentraut, Verwaltungsrecht in der Klausur, 2020, § 2 Rn. 394 ff.</w:t>
        </w:r>
      </w:hyperlink>
    </w:p>
  </w:footnote>
  <w:footnote w:id="39">
    <w:p w14:paraId="0457AB17" w14:textId="7739973A" w:rsidR="006D1FD1" w:rsidRDefault="006D1FD1" w:rsidP="00090F42">
      <w:pPr>
        <w:pStyle w:val="Funotentext"/>
      </w:pPr>
      <w:r>
        <w:rPr>
          <w:rStyle w:val="Funotenzeichen"/>
        </w:rPr>
        <w:footnoteRef/>
      </w:r>
      <w:r>
        <w:t xml:space="preserve"> Vgl. Büscher, JuS 2010, 791 (794) mit Hinweis auf </w:t>
      </w:r>
      <w:hyperlink r:id="rId44" w:history="1">
        <w:r w:rsidRPr="00E670F4">
          <w:rPr>
            <w:rStyle w:val="Hyperlink"/>
          </w:rPr>
          <w:t>BVerwG, Urt. v. 18.9.1991, Az.: 1 B 107.91</w:t>
        </w:r>
      </w:hyperlink>
      <w:r w:rsidRPr="00090F42">
        <w:t xml:space="preserve"> = NVwZ-RR 1992, 68 (68)</w:t>
      </w:r>
      <w:r>
        <w:t>.</w:t>
      </w:r>
    </w:p>
  </w:footnote>
  <w:footnote w:id="40">
    <w:p w14:paraId="11DC077A" w14:textId="7C9A99D4" w:rsidR="006D1FD1" w:rsidRDefault="006D1FD1">
      <w:pPr>
        <w:pStyle w:val="Funotentext"/>
      </w:pPr>
      <w:r>
        <w:rPr>
          <w:rStyle w:val="Funotenzeichen"/>
        </w:rPr>
        <w:footnoteRef/>
      </w:r>
      <w:r>
        <w:t xml:space="preserve"> S. näher zur Prüfung der polizeirechtlichen Generalklausel </w:t>
      </w:r>
      <w:hyperlink r:id="rId45" w:history="1">
        <w:r w:rsidRPr="00144A4A">
          <w:rPr>
            <w:rStyle w:val="Hyperlink"/>
          </w:rPr>
          <w:t>Eisentraut, in: Eisentraut, Verwaltungsrecht in der Klausur, 2020, § 2 Rn. 1081 ff.</w:t>
        </w:r>
      </w:hyperlink>
    </w:p>
  </w:footnote>
  <w:footnote w:id="41">
    <w:p w14:paraId="0EA283F4" w14:textId="6028D967" w:rsidR="006D1FD1" w:rsidRDefault="006D1FD1" w:rsidP="00090F42">
      <w:pPr>
        <w:pStyle w:val="Funotentext"/>
      </w:pPr>
      <w:r>
        <w:rPr>
          <w:rStyle w:val="Funotenzeichen"/>
        </w:rPr>
        <w:footnoteRef/>
      </w:r>
      <w:r>
        <w:t xml:space="preserve"> S. näher zur Diskussion, wann die Durchführung des Widerspruchsverfahrens zur Heilung von Anhörungsfehlern ausreicht Senders, in: Eisentraut, Verwaltungsrecht in der Klausur, 2020, §  § 2 Rn. 657 ff.</w:t>
      </w:r>
    </w:p>
  </w:footnote>
  <w:footnote w:id="42">
    <w:p w14:paraId="27F6984B" w14:textId="54332C97" w:rsidR="006D1FD1" w:rsidRDefault="006D1FD1">
      <w:pPr>
        <w:pStyle w:val="Funotentext"/>
      </w:pPr>
      <w:r>
        <w:rPr>
          <w:rStyle w:val="Funotenzeichen"/>
        </w:rPr>
        <w:footnoteRef/>
      </w:r>
      <w:r>
        <w:t xml:space="preserve"> S. zu dieser Problematik auch </w:t>
      </w:r>
      <w:hyperlink r:id="rId46" w:history="1">
        <w:r w:rsidRPr="00144A4A">
          <w:rPr>
            <w:rStyle w:val="Hyperlink"/>
          </w:rPr>
          <w:t>Eisentraut, in: Eisentraut, Verwaltungsrecht in der Klausur, 2020, § 2 Rn. 1094</w:t>
        </w:r>
      </w:hyperlink>
      <w:r>
        <w:t>.</w:t>
      </w:r>
    </w:p>
  </w:footnote>
  <w:footnote w:id="43">
    <w:p w14:paraId="019174E8" w14:textId="7DEED98A" w:rsidR="006D1FD1" w:rsidRDefault="006D1FD1">
      <w:pPr>
        <w:pStyle w:val="Funotentext"/>
      </w:pPr>
      <w:r>
        <w:rPr>
          <w:rStyle w:val="Funotenzeichen"/>
        </w:rPr>
        <w:footnoteRef/>
      </w:r>
      <w:r>
        <w:t xml:space="preserve"> S. dazu näher </w:t>
      </w:r>
      <w:hyperlink r:id="rId47" w:history="1">
        <w:r w:rsidRPr="00144A4A">
          <w:rPr>
            <w:rStyle w:val="Hyperlink"/>
          </w:rPr>
          <w:t>Eisentraut, in: Eisentraut, Verwaltungsrecht in der Klausur, 2020, § 2 Rn. 1123</w:t>
        </w:r>
      </w:hyperlink>
      <w:r>
        <w:t>.</w:t>
      </w:r>
    </w:p>
  </w:footnote>
  <w:footnote w:id="44">
    <w:p w14:paraId="2237A109" w14:textId="0A8290E8" w:rsidR="006D1FD1" w:rsidRDefault="006D1FD1" w:rsidP="00090F42">
      <w:pPr>
        <w:pStyle w:val="Funotentext"/>
      </w:pPr>
      <w:r>
        <w:rPr>
          <w:rStyle w:val="Funotenzeichen"/>
        </w:rPr>
        <w:footnoteRef/>
      </w:r>
      <w:r>
        <w:t xml:space="preserve"> </w:t>
      </w:r>
      <w:hyperlink r:id="rId48" w:history="1">
        <w:r w:rsidRPr="006E3E5D">
          <w:rPr>
            <w:rStyle w:val="Hyperlink"/>
          </w:rPr>
          <w:t>VG Berlin, Beschl. v. 14.4.2011, Az.: 13 L 50.11</w:t>
        </w:r>
      </w:hyperlink>
      <w:r>
        <w:t xml:space="preserve"> mit Hinweis auf OVG Berlin, Urt. v. 4.3.1953, Az.: I B 82/52 = DÖV 1954, 214 (214); vgl. hierzu ferner im Ergebnis auch Denninger, in: Lisken/Denninger, Handbuch des Polizeirechts, 6. Aufl. 2018, D. Polizeiaufgaben, Rn. 110.</w:t>
      </w:r>
    </w:p>
  </w:footnote>
  <w:footnote w:id="45">
    <w:p w14:paraId="0B251B98" w14:textId="6E82AEA7" w:rsidR="006D1FD1" w:rsidRDefault="006D1FD1">
      <w:pPr>
        <w:pStyle w:val="Funotentext"/>
      </w:pPr>
      <w:r>
        <w:rPr>
          <w:rStyle w:val="Funotenzeichen"/>
        </w:rPr>
        <w:footnoteRef/>
      </w:r>
      <w:r>
        <w:t xml:space="preserve"> S. dazu näher </w:t>
      </w:r>
      <w:hyperlink r:id="rId49" w:history="1">
        <w:r w:rsidRPr="00144A4A">
          <w:rPr>
            <w:rStyle w:val="Hyperlink"/>
          </w:rPr>
          <w:t>Kaerkes, in: Eisentraut, Verwaltungsrecht in der Klausur, 2020, § 2 Rn. 250</w:t>
        </w:r>
      </w:hyperlink>
      <w:r>
        <w:t>.</w:t>
      </w:r>
    </w:p>
  </w:footnote>
  <w:footnote w:id="46">
    <w:p w14:paraId="0E21052A" w14:textId="6831FD1F" w:rsidR="006D1FD1" w:rsidRDefault="006D1FD1">
      <w:pPr>
        <w:pStyle w:val="Funotentext"/>
      </w:pPr>
      <w:r>
        <w:rPr>
          <w:rStyle w:val="Funotenzeichen"/>
        </w:rPr>
        <w:footnoteRef/>
      </w:r>
      <w:r>
        <w:t xml:space="preserve"> S. zur Abgrenzung auch</w:t>
      </w:r>
      <w:r w:rsidRPr="00832B2D">
        <w:t xml:space="preserve"> </w:t>
      </w:r>
      <w:hyperlink r:id="rId50" w:history="1">
        <w:r w:rsidRPr="00144A4A">
          <w:rPr>
            <w:rStyle w:val="Hyperlink"/>
          </w:rPr>
          <w:t>Kaerkes, in: Eisentraut, Verwaltungsrecht in der Klausur, 2020, § 2 Rn. 237 f.</w:t>
        </w:r>
      </w:hyperlink>
    </w:p>
  </w:footnote>
  <w:footnote w:id="47">
    <w:p w14:paraId="3AC31B70" w14:textId="2A0023A8" w:rsidR="006D1FD1" w:rsidRPr="00E670F4" w:rsidRDefault="006D1FD1">
      <w:pPr>
        <w:pStyle w:val="Funotentext"/>
      </w:pPr>
      <w:r>
        <w:rPr>
          <w:rStyle w:val="Funotenzeichen"/>
        </w:rPr>
        <w:footnoteRef/>
      </w:r>
      <w:r>
        <w:t xml:space="preserve"> S. zu den Abgrenzungskriterien </w:t>
      </w:r>
      <w:hyperlink r:id="rId51" w:history="1">
        <w:r w:rsidRPr="00144A4A">
          <w:rPr>
            <w:rStyle w:val="Hyperlink"/>
          </w:rPr>
          <w:t>Kaerkes, in: Eisentraut, Verwaltungsrecht in der Klausur, 2020, § 2 Rn. 222 ff.</w:t>
        </w:r>
      </w:hyperlink>
    </w:p>
  </w:footnote>
  <w:footnote w:id="48">
    <w:p w14:paraId="09F760B9" w14:textId="178DFEAC" w:rsidR="006D1FD1" w:rsidRDefault="006D1FD1">
      <w:pPr>
        <w:pStyle w:val="Funotentext"/>
      </w:pPr>
      <w:r>
        <w:rPr>
          <w:rStyle w:val="Funotenzeichen"/>
        </w:rPr>
        <w:footnoteRef/>
      </w:r>
      <w:r>
        <w:t xml:space="preserve"> S</w:t>
      </w:r>
      <w:r w:rsidRPr="00467554">
        <w:t>. zur m.M., die immer eine Verpflich</w:t>
      </w:r>
      <w:r>
        <w:t xml:space="preserve">tungsklage annimmt, näher </w:t>
      </w:r>
      <w:hyperlink r:id="rId52" w:history="1">
        <w:r w:rsidRPr="00144A4A">
          <w:rPr>
            <w:rStyle w:val="Hyperlink"/>
          </w:rPr>
          <w:t>Kaerkes, in: Eisentraut, Verwaltungsrecht in der Klausur, 2020, § 2 Rn. 262 ff.</w:t>
        </w:r>
      </w:hyperlink>
    </w:p>
  </w:footnote>
  <w:footnote w:id="49">
    <w:p w14:paraId="057B09F5" w14:textId="5D35F3CE" w:rsidR="006D1FD1" w:rsidRDefault="006D1FD1">
      <w:pPr>
        <w:pStyle w:val="Funotentext"/>
      </w:pPr>
      <w:r>
        <w:rPr>
          <w:rStyle w:val="Funotenzeichen"/>
        </w:rPr>
        <w:footnoteRef/>
      </w:r>
      <w:r>
        <w:t xml:space="preserve"> S. zu dieser Ansicht auch näher </w:t>
      </w:r>
      <w:hyperlink r:id="rId53" w:history="1">
        <w:r w:rsidRPr="00144A4A">
          <w:rPr>
            <w:rStyle w:val="Hyperlink"/>
          </w:rPr>
          <w:t>Kaerkes, in: Eisentraut, Verwaltungsrecht in der Klausur, 2020, § 2 Rn. 273 ff.</w:t>
        </w:r>
      </w:hyperlink>
    </w:p>
  </w:footnote>
  <w:footnote w:id="50">
    <w:p w14:paraId="21FB7BEE" w14:textId="5EF31238" w:rsidR="006D1FD1" w:rsidRDefault="006D1FD1">
      <w:pPr>
        <w:pStyle w:val="Funotentext"/>
      </w:pPr>
      <w:r>
        <w:rPr>
          <w:rStyle w:val="Funotenzeichen"/>
        </w:rPr>
        <w:footnoteRef/>
      </w:r>
      <w:r>
        <w:t xml:space="preserve"> S. zu dieser Ansicht auch näher</w:t>
      </w:r>
      <w:r w:rsidRPr="00832B2D">
        <w:t xml:space="preserve"> </w:t>
      </w:r>
      <w:hyperlink r:id="rId54" w:history="1">
        <w:r w:rsidRPr="00144A4A">
          <w:rPr>
            <w:rStyle w:val="Hyperlink"/>
          </w:rPr>
          <w:t>Kaerkes, in: Eisentraut, Verwaltungsrecht in der Klausur, 2020, § 2 Rn. 267 ff.</w:t>
        </w:r>
      </w:hyperlink>
    </w:p>
  </w:footnote>
  <w:footnote w:id="51">
    <w:p w14:paraId="085ACE8D" w14:textId="12B1A973" w:rsidR="006D1FD1" w:rsidRDefault="006D1FD1" w:rsidP="00467554">
      <w:pPr>
        <w:pStyle w:val="Funotentext"/>
      </w:pPr>
      <w:r>
        <w:rPr>
          <w:rStyle w:val="Funotenzeichen"/>
        </w:rPr>
        <w:footnoteRef/>
      </w:r>
      <w:r>
        <w:t xml:space="preserve"> Im Folgenden wird von den Normen der LBO des Saarlandes ausgegangen. Gleiche oder ähnliche Regelungen finden sich aber auch in anderen Landesbauordnungen; für den Anspruch auf Erteilung einer Baugenehmigung s. </w:t>
      </w:r>
      <w:hyperlink r:id="rId55" w:history="1">
        <w:r w:rsidRPr="003C7CAE">
          <w:rPr>
            <w:rStyle w:val="Hyperlink"/>
          </w:rPr>
          <w:t>Steengrafe, in: Eisentraut, Verwaltungsrecht in der Klausur, 2020, § 3 Rn. 129</w:t>
        </w:r>
      </w:hyperlink>
      <w:r>
        <w:t>.</w:t>
      </w:r>
    </w:p>
  </w:footnote>
  <w:footnote w:id="52">
    <w:p w14:paraId="4CC49335" w14:textId="4E1775C3" w:rsidR="006D1FD1" w:rsidRDefault="006D1FD1">
      <w:pPr>
        <w:pStyle w:val="Funotentext"/>
      </w:pPr>
      <w:r>
        <w:rPr>
          <w:rStyle w:val="Funotenzeichen"/>
        </w:rPr>
        <w:footnoteRef/>
      </w:r>
      <w:r>
        <w:t xml:space="preserve"> S. zu dieser Ansicht auch </w:t>
      </w:r>
      <w:hyperlink r:id="rId56" w:history="1">
        <w:r w:rsidRPr="00144A4A">
          <w:rPr>
            <w:rStyle w:val="Hyperlink"/>
          </w:rPr>
          <w:t>Kaerkes, in: Eisentraut, Verwaltungsrecht in der Klausur, 2020, § 2 Rn. 257 ff.</w:t>
        </w:r>
      </w:hyperlink>
    </w:p>
  </w:footnote>
  <w:footnote w:id="53">
    <w:p w14:paraId="4A1F1DB6" w14:textId="699FA2C5" w:rsidR="006D1FD1" w:rsidRDefault="006D1FD1">
      <w:pPr>
        <w:pStyle w:val="Funotentext"/>
      </w:pPr>
      <w:r>
        <w:rPr>
          <w:rStyle w:val="Funotenzeichen"/>
        </w:rPr>
        <w:footnoteRef/>
      </w:r>
      <w:r>
        <w:t xml:space="preserve"> </w:t>
      </w:r>
      <w:hyperlink r:id="rId57" w:history="1">
        <w:r w:rsidRPr="003C7CAE">
          <w:rPr>
            <w:rStyle w:val="Hyperlink"/>
          </w:rPr>
          <w:t>Kaerkes, in: Eisentraut, Verwaltungsrecht in der Klausur, 2020, § 2 Rn. 259</w:t>
        </w:r>
      </w:hyperlink>
      <w:r w:rsidRPr="003C7CAE">
        <w:t>.</w:t>
      </w:r>
    </w:p>
  </w:footnote>
  <w:footnote w:id="54">
    <w:p w14:paraId="261C703C" w14:textId="17092D64" w:rsidR="006D1FD1" w:rsidRDefault="006D1FD1">
      <w:pPr>
        <w:pStyle w:val="Funotentext"/>
      </w:pPr>
      <w:r>
        <w:rPr>
          <w:rStyle w:val="Funotenzeichen"/>
        </w:rPr>
        <w:footnoteRef/>
      </w:r>
      <w:r>
        <w:t xml:space="preserve"> S. zum Anhörungserfordernis </w:t>
      </w:r>
      <w:hyperlink r:id="rId58" w:history="1">
        <w:r w:rsidRPr="00144A4A">
          <w:rPr>
            <w:rStyle w:val="Hyperlink"/>
          </w:rPr>
          <w:t>Senders, in: Eisentraut, Verwaltungsrecht in der Klausur, 2020, § 2 Rn. 631 ff.</w:t>
        </w:r>
      </w:hyperlink>
    </w:p>
  </w:footnote>
  <w:footnote w:id="55">
    <w:p w14:paraId="5C4C2988" w14:textId="2D59D1F4" w:rsidR="006D1FD1" w:rsidRDefault="006D1FD1">
      <w:pPr>
        <w:pStyle w:val="Funotentext"/>
      </w:pPr>
      <w:r>
        <w:rPr>
          <w:rStyle w:val="Funotenzeichen"/>
        </w:rPr>
        <w:footnoteRef/>
      </w:r>
      <w:r>
        <w:t xml:space="preserve"> S. zu den Anspruchsvoraussetzungen im Einzelnen </w:t>
      </w:r>
      <w:hyperlink r:id="rId59" w:history="1">
        <w:r w:rsidRPr="003C7CAE">
          <w:rPr>
            <w:rStyle w:val="Hyperlink"/>
          </w:rPr>
          <w:t>Steengrafe, in: Eisentraut, Verwaltungsrecht in der Klausur, 2020, § 3 Rn. 128 ff.</w:t>
        </w:r>
      </w:hyperlink>
    </w:p>
  </w:footnote>
  <w:footnote w:id="56">
    <w:p w14:paraId="1EB2BF02" w14:textId="62E10971" w:rsidR="006D1FD1" w:rsidRPr="00BB2C71" w:rsidRDefault="006D1FD1" w:rsidP="00E670F4">
      <w:pPr>
        <w:pStyle w:val="Funotentext"/>
      </w:pPr>
      <w:r>
        <w:rPr>
          <w:rStyle w:val="Funotenzeichen"/>
        </w:rPr>
        <w:footnoteRef/>
      </w:r>
      <w:r>
        <w:t xml:space="preserve"> </w:t>
      </w:r>
      <w:r w:rsidRPr="00BB2C71">
        <w:t xml:space="preserve">Vgl. </w:t>
      </w:r>
      <w:r>
        <w:t>f</w:t>
      </w:r>
      <w:r w:rsidRPr="00BB2C71">
        <w:t>ür die Genehmigungsbedürftigkeit von Bauvorhaben im Einzelnen §§ 49 ff. BWLBO; Art. 55 ff. BayBO; §§ 59 ff. BlnBO;</w:t>
      </w:r>
      <w:r>
        <w:t xml:space="preserve"> §§ 59 ff. BbgBauO; §§ 59 ff.</w:t>
      </w:r>
      <w:r w:rsidRPr="00BB2C71">
        <w:t xml:space="preserve"> BremBauO</w:t>
      </w:r>
      <w:r>
        <w:t>; §§ 59 f.</w:t>
      </w:r>
      <w:r w:rsidRPr="00BB2C71">
        <w:t xml:space="preserve"> HmbBauO</w:t>
      </w:r>
      <w:r>
        <w:t>; §</w:t>
      </w:r>
      <w:r w:rsidRPr="00BB2C71">
        <w:t>§ </w:t>
      </w:r>
      <w:r>
        <w:t>62 ff.</w:t>
      </w:r>
      <w:r w:rsidRPr="00BB2C71">
        <w:t xml:space="preserve"> HBO</w:t>
      </w:r>
      <w:r>
        <w:t xml:space="preserve">; </w:t>
      </w:r>
      <w:r w:rsidRPr="00BB2C71">
        <w:t>§</w:t>
      </w:r>
      <w:r>
        <w:t>§ 59 ff.</w:t>
      </w:r>
      <w:r w:rsidRPr="00BB2C71">
        <w:t xml:space="preserve"> MVBauO</w:t>
      </w:r>
      <w:r>
        <w:t>; §§ 59 ff. NBauO; §§ 63 ff. NRWBauO; §§ 61 f. RhPfLB</w:t>
      </w:r>
      <w:r w:rsidRPr="00BB2C71">
        <w:t>O</w:t>
      </w:r>
      <w:r>
        <w:t>; §§ 59 ff. SächsBauO; §§ 58 ff.</w:t>
      </w:r>
      <w:r w:rsidRPr="00BB2C71">
        <w:t xml:space="preserve"> LSABauO</w:t>
      </w:r>
      <w:r>
        <w:t>; §§ 62 f. SchlHLB</w:t>
      </w:r>
      <w:r w:rsidRPr="00BB2C71">
        <w:t>O</w:t>
      </w:r>
      <w:r>
        <w:t>; §§ 59 ff. ThürBO.</w:t>
      </w:r>
    </w:p>
  </w:footnote>
  <w:footnote w:id="57">
    <w:p w14:paraId="4A5663A7" w14:textId="6B883187" w:rsidR="006D1FD1" w:rsidRPr="00BB2C71" w:rsidRDefault="006D1FD1" w:rsidP="00E670F4">
      <w:pPr>
        <w:pStyle w:val="Funotentext"/>
      </w:pPr>
      <w:r>
        <w:rPr>
          <w:rStyle w:val="Funotenzeichen"/>
        </w:rPr>
        <w:footnoteRef/>
      </w:r>
      <w:r>
        <w:t xml:space="preserve"> </w:t>
      </w:r>
      <w:r w:rsidRPr="00BB2C71">
        <w:t>Vgl. für die Definition der baulichen Anlage § 2 I BWLBO; Art. 2 I BayBO; § 2 I BlnBauO;</w:t>
      </w:r>
      <w:r>
        <w:t xml:space="preserve"> § 2 I BbgBauO;</w:t>
      </w:r>
      <w:r w:rsidRPr="00BB2C71">
        <w:t xml:space="preserve"> § 2 I BremBauO</w:t>
      </w:r>
      <w:r>
        <w:t>;</w:t>
      </w:r>
      <w:r w:rsidRPr="00BB2C71">
        <w:t xml:space="preserve"> § 2 I HmbBauO</w:t>
      </w:r>
      <w:r>
        <w:t>;</w:t>
      </w:r>
      <w:r w:rsidRPr="00BB2C71">
        <w:t xml:space="preserve"> § 2 </w:t>
      </w:r>
      <w:r>
        <w:t>II HBO;</w:t>
      </w:r>
      <w:r w:rsidRPr="00BB2C71">
        <w:t xml:space="preserve"> § 2 I MVBauO</w:t>
      </w:r>
      <w:r>
        <w:t>; § 2 I N</w:t>
      </w:r>
      <w:r w:rsidRPr="00BB2C71">
        <w:t>BauO</w:t>
      </w:r>
      <w:r>
        <w:t>; § 2 I NRWBauO; § 2 I RhPfLB</w:t>
      </w:r>
      <w:r w:rsidRPr="00BB2C71">
        <w:t>O</w:t>
      </w:r>
      <w:r>
        <w:t>; § 2 I SächsBauO; § 2 I LSABauO, § 2 I SchlHLBO, § 2 I ThürB</w:t>
      </w:r>
      <w:r w:rsidRPr="00BB2C71">
        <w:t>O.</w:t>
      </w:r>
    </w:p>
  </w:footnote>
  <w:footnote w:id="58">
    <w:p w14:paraId="6F39D2C9" w14:textId="62050775" w:rsidR="006D1FD1" w:rsidRPr="00BB2C71" w:rsidRDefault="006D1FD1" w:rsidP="00E670F4">
      <w:pPr>
        <w:pStyle w:val="Funotentext"/>
      </w:pPr>
      <w:r>
        <w:rPr>
          <w:rStyle w:val="Funotenzeichen"/>
        </w:rPr>
        <w:footnoteRef/>
      </w:r>
      <w:r>
        <w:t xml:space="preserve"> </w:t>
      </w:r>
      <w:r w:rsidRPr="00BB2C71">
        <w:t>Vgl.</w:t>
      </w:r>
      <w:r>
        <w:t xml:space="preserve"> </w:t>
      </w:r>
      <w:r w:rsidRPr="00BB2C71">
        <w:t>bzgl. der vereinfachten Baugenehmigungsverfahren in den einzelnen Bundesländern § 58 I 2, § 52 BWLBO; Art. 59 BayBO; §§ 63 ff. BlnBO;</w:t>
      </w:r>
      <w:r>
        <w:t xml:space="preserve"> §§ 63 f. Bbg</w:t>
      </w:r>
      <w:r w:rsidRPr="00BB2C71">
        <w:t>B</w:t>
      </w:r>
      <w:r>
        <w:t>au</w:t>
      </w:r>
      <w:r w:rsidRPr="00BB2C71">
        <w:t>O</w:t>
      </w:r>
      <w:r>
        <w:t>; §§ 63 f. Brem</w:t>
      </w:r>
      <w:r w:rsidRPr="00BB2C71">
        <w:t>B</w:t>
      </w:r>
      <w:r>
        <w:t>au</w:t>
      </w:r>
      <w:r w:rsidRPr="00BB2C71">
        <w:t>O</w:t>
      </w:r>
      <w:r>
        <w:t>; § 61</w:t>
      </w:r>
      <w:r w:rsidRPr="00BB2C71">
        <w:t xml:space="preserve"> HmbBauO</w:t>
      </w:r>
      <w:r>
        <w:t xml:space="preserve">; </w:t>
      </w:r>
      <w:r w:rsidRPr="00BB2C71">
        <w:t>§</w:t>
      </w:r>
      <w:r>
        <w:t>§ 65 f.</w:t>
      </w:r>
      <w:r w:rsidRPr="00BB2C71">
        <w:t xml:space="preserve"> HBO</w:t>
      </w:r>
      <w:r>
        <w:t>; §§ 63 f.</w:t>
      </w:r>
      <w:r w:rsidRPr="00BB2C71">
        <w:t xml:space="preserve"> MVBauO</w:t>
      </w:r>
      <w:r>
        <w:t>; §§ 63 f. N</w:t>
      </w:r>
      <w:r w:rsidRPr="00BB2C71">
        <w:t>BauO</w:t>
      </w:r>
      <w:r>
        <w:t>; § 68 NRWBauO; §§ 66 f. RhPfLB</w:t>
      </w:r>
      <w:r w:rsidRPr="00BB2C71">
        <w:t>O</w:t>
      </w:r>
      <w:r>
        <w:t>; §§ 63 f. SächsBauO; §§ 62 f.</w:t>
      </w:r>
      <w:r w:rsidRPr="00BB2C71">
        <w:t xml:space="preserve"> LSABauO</w:t>
      </w:r>
      <w:r>
        <w:t>; § 69 SchlHLB</w:t>
      </w:r>
      <w:r w:rsidRPr="00BB2C71">
        <w:t>O</w:t>
      </w:r>
      <w:r>
        <w:t>; §§ 62 f. ThürBO.</w:t>
      </w:r>
    </w:p>
  </w:footnote>
  <w:footnote w:id="59">
    <w:p w14:paraId="63654254" w14:textId="5CF7CF95" w:rsidR="006D1FD1" w:rsidRDefault="006D1FD1">
      <w:pPr>
        <w:pStyle w:val="Funotentext"/>
      </w:pPr>
      <w:r>
        <w:rPr>
          <w:rStyle w:val="Funotenzeichen"/>
        </w:rPr>
        <w:footnoteRef/>
      </w:r>
      <w:r>
        <w:t xml:space="preserve"> S. zu den Ermessensfehlern näher </w:t>
      </w:r>
      <w:hyperlink r:id="rId60" w:history="1">
        <w:r w:rsidRPr="00144A4A">
          <w:rPr>
            <w:rStyle w:val="Hyperlink"/>
          </w:rPr>
          <w:t>Benrath, in: Eisentraut, Verwaltungsrecht in der Klausur, 2020, § 2 Rn. 744 f.</w:t>
        </w:r>
      </w:hyperlink>
    </w:p>
  </w:footnote>
  <w:footnote w:id="60">
    <w:p w14:paraId="6100866D" w14:textId="6DE932CC" w:rsidR="006D1FD1" w:rsidRDefault="006D1FD1">
      <w:pPr>
        <w:pStyle w:val="Funotentext"/>
      </w:pPr>
      <w:r>
        <w:rPr>
          <w:rStyle w:val="Funotenzeichen"/>
        </w:rPr>
        <w:footnoteRef/>
      </w:r>
      <w:r>
        <w:t xml:space="preserve"> S. dazu näher </w:t>
      </w:r>
      <w:hyperlink r:id="rId61" w:history="1">
        <w:r w:rsidRPr="00144A4A">
          <w:rPr>
            <w:rStyle w:val="Hyperlink"/>
          </w:rPr>
          <w:t>Benrath, in: Eisentraut, Verwaltungsrecht in der Klausur, 2020, § 2 Rn. 767 ff.</w:t>
        </w:r>
      </w:hyperlink>
    </w:p>
  </w:footnote>
  <w:footnote w:id="61">
    <w:p w14:paraId="4536394A" w14:textId="57A61230" w:rsidR="006D1FD1" w:rsidRPr="008310EB" w:rsidRDefault="006D1FD1" w:rsidP="00817B65">
      <w:pPr>
        <w:pStyle w:val="Funotentext"/>
        <w:rPr>
          <w:rFonts w:cstheme="minorHAnsi"/>
        </w:rPr>
      </w:pPr>
      <w:r w:rsidRPr="008310EB">
        <w:rPr>
          <w:rStyle w:val="Funotenzeichen"/>
          <w:rFonts w:cstheme="minorHAnsi"/>
        </w:rPr>
        <w:footnoteRef/>
      </w:r>
      <w:r w:rsidRPr="008310EB">
        <w:rPr>
          <w:rFonts w:cstheme="minorHAnsi"/>
        </w:rPr>
        <w:t xml:space="preserve"> W.-R. Schenke/Ruthig, in: Kopp/Schenke, VwGO, 24. </w:t>
      </w:r>
      <w:r>
        <w:rPr>
          <w:rFonts w:cstheme="minorHAnsi"/>
        </w:rPr>
        <w:t>Aufl.</w:t>
      </w:r>
      <w:r w:rsidRPr="008310EB">
        <w:rPr>
          <w:rFonts w:cstheme="minorHAnsi"/>
        </w:rPr>
        <w:t xml:space="preserve"> 2018, § 40, Rn. 6; </w:t>
      </w:r>
      <w:r w:rsidRPr="00757A6E">
        <w:rPr>
          <w:rFonts w:cstheme="minorHAnsi"/>
        </w:rPr>
        <w:t>Detterbeck</w:t>
      </w:r>
      <w:r w:rsidRPr="008310EB">
        <w:rPr>
          <w:rFonts w:cstheme="minorHAnsi"/>
        </w:rPr>
        <w:t xml:space="preserve">, Allgemeines Verwaltungsrecht, 16. </w:t>
      </w:r>
      <w:r>
        <w:rPr>
          <w:rFonts w:cstheme="minorHAnsi"/>
        </w:rPr>
        <w:t>Aufl.</w:t>
      </w:r>
      <w:r w:rsidRPr="008310EB">
        <w:rPr>
          <w:rFonts w:cstheme="minorHAnsi"/>
        </w:rPr>
        <w:t xml:space="preserve"> 2019, Rn. 1324.</w:t>
      </w:r>
    </w:p>
  </w:footnote>
  <w:footnote w:id="62">
    <w:p w14:paraId="4C40A8A5" w14:textId="48811601" w:rsidR="006D1FD1" w:rsidRPr="008310EB" w:rsidRDefault="006D1FD1" w:rsidP="00817B65">
      <w:pPr>
        <w:pStyle w:val="Funotentext"/>
        <w:rPr>
          <w:rFonts w:cstheme="minorHAnsi"/>
        </w:rPr>
      </w:pPr>
      <w:r w:rsidRPr="008310EB">
        <w:rPr>
          <w:rStyle w:val="Funotenzeichen"/>
          <w:rFonts w:cstheme="minorHAnsi"/>
        </w:rPr>
        <w:footnoteRef/>
      </w:r>
      <w:r w:rsidRPr="008310EB">
        <w:rPr>
          <w:rFonts w:cstheme="minorHAnsi"/>
        </w:rPr>
        <w:t xml:space="preserve"> Sodan, in: Sodan/Ziekow, VwGO, 4. </w:t>
      </w:r>
      <w:r>
        <w:rPr>
          <w:rFonts w:cstheme="minorHAnsi"/>
        </w:rPr>
        <w:t>Aufl.</w:t>
      </w:r>
      <w:r w:rsidRPr="008310EB">
        <w:rPr>
          <w:rFonts w:cstheme="minorHAnsi"/>
        </w:rPr>
        <w:t xml:space="preserve"> 2014, § 40, Rn. 302.</w:t>
      </w:r>
    </w:p>
  </w:footnote>
  <w:footnote w:id="63">
    <w:p w14:paraId="679296D5" w14:textId="4340299E" w:rsidR="006D1FD1" w:rsidRPr="008310EB" w:rsidRDefault="006D1FD1" w:rsidP="00817B65">
      <w:pPr>
        <w:pStyle w:val="Funotentext"/>
        <w:rPr>
          <w:rFonts w:cstheme="minorHAnsi"/>
        </w:rPr>
      </w:pPr>
      <w:r w:rsidRPr="008310EB">
        <w:rPr>
          <w:rStyle w:val="Funotenzeichen"/>
          <w:rFonts w:cstheme="minorHAnsi"/>
        </w:rPr>
        <w:footnoteRef/>
      </w:r>
      <w:r w:rsidRPr="008310EB">
        <w:rPr>
          <w:rFonts w:cstheme="minorHAnsi"/>
        </w:rPr>
        <w:t xml:space="preserve"> </w:t>
      </w:r>
      <w:r w:rsidRPr="00757A6E">
        <w:rPr>
          <w:rFonts w:cstheme="minorHAnsi"/>
        </w:rPr>
        <w:t>W.-R. Schenke/ R. P. Schenke</w:t>
      </w:r>
      <w:r>
        <w:rPr>
          <w:rFonts w:cstheme="minorHAnsi"/>
        </w:rPr>
        <w:t xml:space="preserve">, in: </w:t>
      </w:r>
      <w:r w:rsidRPr="008310EB">
        <w:rPr>
          <w:rFonts w:cstheme="minorHAnsi"/>
        </w:rPr>
        <w:t>Kopp/Schenke</w:t>
      </w:r>
      <w:r w:rsidRPr="00757A6E">
        <w:rPr>
          <w:rFonts w:cstheme="minorHAnsi"/>
        </w:rPr>
        <w:t xml:space="preserve">, </w:t>
      </w:r>
      <w:r w:rsidRPr="008310EB">
        <w:rPr>
          <w:rFonts w:cstheme="minorHAnsi"/>
        </w:rPr>
        <w:t xml:space="preserve">VwGO, 24. </w:t>
      </w:r>
      <w:r>
        <w:rPr>
          <w:rFonts w:cstheme="minorHAnsi"/>
        </w:rPr>
        <w:t>Aufl.</w:t>
      </w:r>
      <w:r w:rsidRPr="008310EB">
        <w:rPr>
          <w:rFonts w:cstheme="minorHAnsi"/>
        </w:rPr>
        <w:t xml:space="preserve"> 2018</w:t>
      </w:r>
      <w:r>
        <w:rPr>
          <w:rFonts w:cstheme="minorHAnsi"/>
        </w:rPr>
        <w:t xml:space="preserve">, </w:t>
      </w:r>
      <w:r w:rsidRPr="008310EB">
        <w:rPr>
          <w:rFonts w:cstheme="minorHAnsi"/>
        </w:rPr>
        <w:t>§ 42 Rn. 66.</w:t>
      </w:r>
    </w:p>
  </w:footnote>
  <w:footnote w:id="64">
    <w:p w14:paraId="461C382F" w14:textId="5D39A1D2" w:rsidR="006D1FD1" w:rsidRDefault="006D1FD1">
      <w:pPr>
        <w:pStyle w:val="Funotentext"/>
      </w:pPr>
      <w:r>
        <w:rPr>
          <w:rStyle w:val="Funotenzeichen"/>
        </w:rPr>
        <w:footnoteRef/>
      </w:r>
      <w:r>
        <w:t xml:space="preserve"> S. </w:t>
      </w:r>
      <w:hyperlink r:id="rId62" w:history="1">
        <w:r w:rsidRPr="00144A4A">
          <w:rPr>
            <w:rStyle w:val="Hyperlink"/>
          </w:rPr>
          <w:t>Burbach, in: Eisentraut, Verwaltungsrecht in der Klausur, 2020, § 2 Rn. 296 f.</w:t>
        </w:r>
      </w:hyperlink>
    </w:p>
  </w:footnote>
  <w:footnote w:id="65">
    <w:p w14:paraId="7DB161DC" w14:textId="77777777" w:rsidR="006D1FD1" w:rsidRPr="008310EB" w:rsidRDefault="006D1FD1" w:rsidP="00817B65">
      <w:pPr>
        <w:pStyle w:val="Funotentext"/>
        <w:rPr>
          <w:rFonts w:cstheme="minorHAnsi"/>
        </w:rPr>
      </w:pPr>
      <w:r w:rsidRPr="008310EB">
        <w:rPr>
          <w:rStyle w:val="Funotenzeichen"/>
          <w:rFonts w:cstheme="minorHAnsi"/>
        </w:rPr>
        <w:footnoteRef/>
      </w:r>
      <w:r w:rsidRPr="008310EB">
        <w:rPr>
          <w:rFonts w:cstheme="minorHAnsi"/>
        </w:rPr>
        <w:t xml:space="preserve"> Finkelnburg/Ortloff/Kment, Öffentliches Baurecht, Band I: Bauplanungsrecht, 7. Auf</w:t>
      </w:r>
      <w:r>
        <w:rPr>
          <w:rFonts w:cstheme="minorHAnsi"/>
        </w:rPr>
        <w:t>l.</w:t>
      </w:r>
      <w:r w:rsidRPr="008310EB">
        <w:rPr>
          <w:rFonts w:cstheme="minorHAnsi"/>
        </w:rPr>
        <w:t xml:space="preserve"> 2017, </w:t>
      </w:r>
      <w:r>
        <w:rPr>
          <w:rFonts w:cstheme="minorHAnsi"/>
        </w:rPr>
        <w:t>§ 27 Rn. 40</w:t>
      </w:r>
      <w:r w:rsidRPr="008310EB">
        <w:rPr>
          <w:rFonts w:cstheme="minorHAnsi"/>
        </w:rPr>
        <w:t>.</w:t>
      </w:r>
    </w:p>
  </w:footnote>
  <w:footnote w:id="66">
    <w:p w14:paraId="19043820" w14:textId="77777777" w:rsidR="006D1FD1" w:rsidRPr="008310EB" w:rsidRDefault="006D1FD1" w:rsidP="00817B65">
      <w:pPr>
        <w:pStyle w:val="Funotentext"/>
        <w:rPr>
          <w:rFonts w:cstheme="minorHAnsi"/>
        </w:rPr>
      </w:pPr>
      <w:r w:rsidRPr="008310EB">
        <w:rPr>
          <w:rStyle w:val="Funotenzeichen"/>
          <w:rFonts w:cstheme="minorHAnsi"/>
        </w:rPr>
        <w:footnoteRef/>
      </w:r>
      <w:r w:rsidRPr="008310EB">
        <w:rPr>
          <w:rFonts w:cstheme="minorHAnsi"/>
        </w:rPr>
        <w:t xml:space="preserve"> Mitschang/Reidt, in: Battis/Krautzberger/Löhr, BauGB, 13. Aufl. 2016, § 35 Rn. 78.</w:t>
      </w:r>
    </w:p>
  </w:footnote>
  <w:footnote w:id="67">
    <w:p w14:paraId="51E9D933" w14:textId="771EA5F8" w:rsidR="006D1FD1" w:rsidRPr="008310EB" w:rsidRDefault="006D1FD1" w:rsidP="00817B65">
      <w:pPr>
        <w:pStyle w:val="Funotentext"/>
        <w:rPr>
          <w:rFonts w:cstheme="minorHAnsi"/>
        </w:rPr>
      </w:pPr>
      <w:r w:rsidRPr="008310EB">
        <w:rPr>
          <w:rStyle w:val="Funotenzeichen"/>
          <w:rFonts w:cstheme="minorHAnsi"/>
        </w:rPr>
        <w:footnoteRef/>
      </w:r>
      <w:r w:rsidRPr="008310EB">
        <w:rPr>
          <w:rFonts w:cstheme="minorHAnsi"/>
        </w:rPr>
        <w:t xml:space="preserve"> Müller, in: Maslaton, Windenergieanlagen, 2. Aufl. 2018, Kap. 1 Rn. 97.</w:t>
      </w:r>
    </w:p>
  </w:footnote>
  <w:footnote w:id="68">
    <w:p w14:paraId="133E4E80" w14:textId="77777777" w:rsidR="006D1FD1" w:rsidRDefault="006D1FD1" w:rsidP="00817B65">
      <w:pPr>
        <w:pStyle w:val="Funotentext"/>
      </w:pPr>
      <w:r>
        <w:rPr>
          <w:rStyle w:val="Funotenzeichen"/>
        </w:rPr>
        <w:footnoteRef/>
      </w:r>
      <w:r>
        <w:t xml:space="preserve"> </w:t>
      </w:r>
      <w:r w:rsidRPr="008310EB">
        <w:rPr>
          <w:rFonts w:cstheme="minorHAnsi"/>
        </w:rPr>
        <w:t xml:space="preserve">Mitschang/Reidt, in: Battis/Krautzberger/Löhr, BauGB, 13. Aufl. 2016, § 35 Rn. </w:t>
      </w:r>
      <w:r>
        <w:rPr>
          <w:rFonts w:cstheme="minorHAnsi"/>
        </w:rPr>
        <w:t>87</w:t>
      </w:r>
      <w:r w:rsidRPr="008310EB">
        <w:rPr>
          <w:rFonts w:cstheme="minorHAnsi"/>
        </w:rPr>
        <w:t>.</w:t>
      </w:r>
    </w:p>
  </w:footnote>
  <w:footnote w:id="69">
    <w:p w14:paraId="5856373A" w14:textId="77777777" w:rsidR="006D1FD1" w:rsidRDefault="006D1FD1" w:rsidP="00817B65">
      <w:pPr>
        <w:pStyle w:val="Funotentext"/>
      </w:pPr>
      <w:r>
        <w:rPr>
          <w:rStyle w:val="Funotenzeichen"/>
        </w:rPr>
        <w:footnoteRef/>
      </w:r>
      <w:r>
        <w:t xml:space="preserve"> </w:t>
      </w:r>
      <w:r w:rsidRPr="008310EB">
        <w:rPr>
          <w:rFonts w:cstheme="minorHAnsi"/>
        </w:rPr>
        <w:t>Finkelnburg/Ortloff/Kment, Öffentliches Baurecht, Band I: Bauplanungsrecht, 7. Aufl</w:t>
      </w:r>
      <w:r>
        <w:rPr>
          <w:rFonts w:cstheme="minorHAnsi"/>
        </w:rPr>
        <w:t>.</w:t>
      </w:r>
      <w:r w:rsidRPr="008310EB">
        <w:rPr>
          <w:rFonts w:cstheme="minorHAnsi"/>
        </w:rPr>
        <w:t xml:space="preserve">, 2017, </w:t>
      </w:r>
      <w:r>
        <w:rPr>
          <w:rFonts w:cstheme="minorHAnsi"/>
        </w:rPr>
        <w:t>§ 27 Rn</w:t>
      </w:r>
      <w:r w:rsidRPr="008310EB">
        <w:rPr>
          <w:rFonts w:cstheme="minorHAnsi"/>
        </w:rPr>
        <w:t>.</w:t>
      </w:r>
      <w:r>
        <w:rPr>
          <w:rFonts w:cstheme="minorHAnsi"/>
        </w:rPr>
        <w:t xml:space="preserve"> 51.</w:t>
      </w:r>
    </w:p>
  </w:footnote>
  <w:footnote w:id="70">
    <w:p w14:paraId="7E9184C8" w14:textId="77777777" w:rsidR="006D1FD1" w:rsidRPr="008310EB" w:rsidRDefault="006D1FD1" w:rsidP="00817B65">
      <w:pPr>
        <w:pStyle w:val="Funotentext"/>
        <w:rPr>
          <w:rFonts w:cstheme="minorHAnsi"/>
        </w:rPr>
      </w:pPr>
      <w:r w:rsidRPr="008310EB">
        <w:rPr>
          <w:rStyle w:val="Funotenzeichen"/>
          <w:rFonts w:cstheme="minorHAnsi"/>
        </w:rPr>
        <w:footnoteRef/>
      </w:r>
      <w:r w:rsidRPr="008310EB">
        <w:rPr>
          <w:rFonts w:cstheme="minorHAnsi"/>
        </w:rPr>
        <w:t xml:space="preserve"> </w:t>
      </w:r>
      <w:r>
        <w:t>Finkelnburg/Ortloff/Kment, Öffentliches Baurecht, Band I: Bauplanungsrecht, 7. Aufl. 2017, § 22 Rn. 11.</w:t>
      </w:r>
    </w:p>
  </w:footnote>
  <w:footnote w:id="71">
    <w:p w14:paraId="2F9FEF42" w14:textId="77777777" w:rsidR="006D1FD1" w:rsidRDefault="006D1FD1" w:rsidP="00817B65">
      <w:pPr>
        <w:pStyle w:val="Funotentext"/>
      </w:pPr>
      <w:r>
        <w:rPr>
          <w:rStyle w:val="Funotenzeichen"/>
        </w:rPr>
        <w:footnoteRef/>
      </w:r>
      <w:r>
        <w:t xml:space="preserve"> Finkelnburg/Ortloff/Kment, Öffentliches Baurecht, Band I: Bauplanungsrecht, 7. Aufl. 2017, § 27 Rn. 30.</w:t>
      </w:r>
    </w:p>
  </w:footnote>
  <w:footnote w:id="72">
    <w:p w14:paraId="25AA8188" w14:textId="09BA3ABB" w:rsidR="006D1FD1" w:rsidRPr="008310EB" w:rsidRDefault="006D1FD1" w:rsidP="00817B65">
      <w:pPr>
        <w:pStyle w:val="Funotentext"/>
        <w:rPr>
          <w:rFonts w:cstheme="minorHAnsi"/>
        </w:rPr>
      </w:pPr>
      <w:r w:rsidRPr="008310EB">
        <w:rPr>
          <w:rStyle w:val="Funotenzeichen"/>
          <w:rFonts w:cstheme="minorHAnsi"/>
        </w:rPr>
        <w:footnoteRef/>
      </w:r>
      <w:r w:rsidRPr="008310EB">
        <w:rPr>
          <w:rFonts w:cstheme="minorHAnsi"/>
        </w:rPr>
        <w:t xml:space="preserve"> </w:t>
      </w:r>
      <w:hyperlink r:id="rId63" w:history="1">
        <w:r w:rsidRPr="00E670F4">
          <w:rPr>
            <w:rStyle w:val="Hyperlink"/>
            <w:rFonts w:cstheme="minorHAnsi"/>
          </w:rPr>
          <w:t>BVerwG, Urt. v. 25.2.1977, Az.: IV C 22.75</w:t>
        </w:r>
      </w:hyperlink>
      <w:r>
        <w:rPr>
          <w:rFonts w:cstheme="minorHAnsi"/>
        </w:rPr>
        <w:t xml:space="preserve"> = BVerwG</w:t>
      </w:r>
      <w:r w:rsidRPr="008310EB">
        <w:rPr>
          <w:rFonts w:cstheme="minorHAnsi"/>
        </w:rPr>
        <w:t>E 52, 122 (127).</w:t>
      </w:r>
    </w:p>
  </w:footnote>
  <w:footnote w:id="73">
    <w:p w14:paraId="19380DFC" w14:textId="6DD21D8B" w:rsidR="006D1FD1" w:rsidRPr="008310EB" w:rsidRDefault="006D1FD1" w:rsidP="00817B65">
      <w:pPr>
        <w:pStyle w:val="Funotentext"/>
        <w:rPr>
          <w:rFonts w:cstheme="minorHAnsi"/>
        </w:rPr>
      </w:pPr>
      <w:r w:rsidRPr="008310EB">
        <w:rPr>
          <w:rStyle w:val="Funotenzeichen"/>
          <w:rFonts w:cstheme="minorHAnsi"/>
        </w:rPr>
        <w:footnoteRef/>
      </w:r>
      <w:r w:rsidRPr="008310EB">
        <w:rPr>
          <w:rFonts w:cstheme="minorHAnsi"/>
        </w:rPr>
        <w:t xml:space="preserve"> Müller, in: Maslaton, Windenergieanlagen, 2. Aufl. 2018, Kap. 1 Rn. 102.</w:t>
      </w:r>
    </w:p>
  </w:footnote>
  <w:footnote w:id="74">
    <w:p w14:paraId="167D2C47" w14:textId="4BD64578" w:rsidR="006D1FD1" w:rsidRPr="008310EB" w:rsidRDefault="006D1FD1" w:rsidP="00817B65">
      <w:pPr>
        <w:pStyle w:val="Funotentext"/>
        <w:rPr>
          <w:rFonts w:cstheme="minorHAnsi"/>
        </w:rPr>
      </w:pPr>
      <w:r w:rsidRPr="008310EB">
        <w:rPr>
          <w:rStyle w:val="Funotenzeichen"/>
          <w:rFonts w:cstheme="minorHAnsi"/>
        </w:rPr>
        <w:footnoteRef/>
      </w:r>
      <w:r>
        <w:rPr>
          <w:rFonts w:cstheme="minorHAnsi"/>
        </w:rPr>
        <w:t xml:space="preserve"> </w:t>
      </w:r>
      <w:hyperlink r:id="rId64" w:history="1">
        <w:r w:rsidRPr="00AB190B">
          <w:rPr>
            <w:rStyle w:val="Hyperlink"/>
            <w:rFonts w:cstheme="minorHAnsi"/>
          </w:rPr>
          <w:t>BVerwG, Urt. v. 18.11.2004, Az.: 4 C 1/04</w:t>
        </w:r>
      </w:hyperlink>
      <w:r>
        <w:rPr>
          <w:rFonts w:cstheme="minorHAnsi"/>
        </w:rPr>
        <w:t xml:space="preserve"> = </w:t>
      </w:r>
      <w:r w:rsidRPr="008310EB">
        <w:rPr>
          <w:rFonts w:cstheme="minorHAnsi"/>
        </w:rPr>
        <w:t>NVwZ 2005, 328 (330).</w:t>
      </w:r>
    </w:p>
  </w:footnote>
  <w:footnote w:id="75">
    <w:p w14:paraId="5B186E51" w14:textId="30C45768" w:rsidR="006D1FD1" w:rsidRDefault="006D1FD1" w:rsidP="00817B65">
      <w:pPr>
        <w:pStyle w:val="Funotentext"/>
      </w:pPr>
      <w:r w:rsidRPr="008310EB">
        <w:rPr>
          <w:rStyle w:val="Funotenzeichen"/>
          <w:rFonts w:cstheme="minorHAnsi"/>
        </w:rPr>
        <w:footnoteRef/>
      </w:r>
      <w:r w:rsidRPr="008310EB">
        <w:rPr>
          <w:rFonts w:cstheme="minorHAnsi"/>
        </w:rPr>
        <w:t xml:space="preserve"> Müller, in: Maslaton, Windenergieanlagen, 2. Aufl. 2018, Kap. 1 Rn. 102.</w:t>
      </w:r>
    </w:p>
  </w:footnote>
  <w:footnote w:id="76">
    <w:p w14:paraId="534D010D" w14:textId="77777777" w:rsidR="006D1FD1" w:rsidRDefault="006D1FD1" w:rsidP="00817B65">
      <w:pPr>
        <w:pStyle w:val="Funotentext"/>
      </w:pPr>
      <w:r>
        <w:rPr>
          <w:rStyle w:val="Funotenzeichen"/>
        </w:rPr>
        <w:footnoteRef/>
      </w:r>
      <w:r>
        <w:t xml:space="preserve"> Jäde, JuS 1999, 961 (965).</w:t>
      </w:r>
    </w:p>
  </w:footnote>
  <w:footnote w:id="77">
    <w:p w14:paraId="4D6AC882" w14:textId="6CBA3BCF" w:rsidR="006D1FD1" w:rsidRDefault="006D1FD1" w:rsidP="003F18F9">
      <w:pPr>
        <w:pStyle w:val="Funotentext"/>
      </w:pPr>
      <w:r>
        <w:rPr>
          <w:rStyle w:val="Funotenzeichen"/>
        </w:rPr>
        <w:footnoteRef/>
      </w:r>
      <w:r>
        <w:t xml:space="preserve"> Ausführlich zur Eröffnung des Verwaltungsrechtswegs </w:t>
      </w:r>
      <w:hyperlink r:id="rId65" w:history="1">
        <w:r w:rsidRPr="00C87B0D">
          <w:rPr>
            <w:rStyle w:val="Hyperlink"/>
          </w:rPr>
          <w:t>Eisentraut, in: Eisentraut, Veraltungsrecht in der Klausur, 2020, § 1 Rn. 162 ff.</w:t>
        </w:r>
      </w:hyperlink>
    </w:p>
  </w:footnote>
  <w:footnote w:id="78">
    <w:p w14:paraId="058411D1" w14:textId="5195756C" w:rsidR="006D1FD1" w:rsidRDefault="006D1FD1" w:rsidP="006635F4">
      <w:pPr>
        <w:pStyle w:val="Funotentext"/>
      </w:pPr>
      <w:r>
        <w:rPr>
          <w:rStyle w:val="Funotenzeichen"/>
        </w:rPr>
        <w:footnoteRef/>
      </w:r>
      <w:r>
        <w:t xml:space="preserve"> Ausführlich zur Verpflichtungsklage als statthafter Klageart </w:t>
      </w:r>
      <w:hyperlink r:id="rId66" w:history="1">
        <w:r w:rsidRPr="003C7CAE">
          <w:rPr>
            <w:rStyle w:val="Hyperlink"/>
          </w:rPr>
          <w:t>Lemke, in: Eisentraut, Verwaltungsrecht in der Klausur, 2020, § 3 Rn. 2 ff.</w:t>
        </w:r>
      </w:hyperlink>
    </w:p>
  </w:footnote>
  <w:footnote w:id="79">
    <w:p w14:paraId="36AC4309" w14:textId="6D0D06D3" w:rsidR="006D1FD1" w:rsidRDefault="006D1FD1" w:rsidP="006635F4">
      <w:pPr>
        <w:pStyle w:val="Funotentext"/>
      </w:pPr>
      <w:r>
        <w:rPr>
          <w:rStyle w:val="Funotenzeichen"/>
        </w:rPr>
        <w:footnoteRef/>
      </w:r>
      <w:r>
        <w:t xml:space="preserve"> Ausführlich zur Klagebefugnis bei der Verpflichtungsklage </w:t>
      </w:r>
      <w:hyperlink r:id="rId67" w:history="1">
        <w:r w:rsidRPr="003C7CAE">
          <w:rPr>
            <w:rStyle w:val="Hyperlink"/>
          </w:rPr>
          <w:t>Burbach, in: Eisentraut, Verwaltungsrecht in der Klausur, 2020, § 3 Rn. 28 ff.</w:t>
        </w:r>
      </w:hyperlink>
    </w:p>
  </w:footnote>
  <w:footnote w:id="80">
    <w:p w14:paraId="3DF5DB3F" w14:textId="64F05D54" w:rsidR="006D1FD1" w:rsidRDefault="006D1FD1">
      <w:pPr>
        <w:pStyle w:val="Funotentext"/>
      </w:pPr>
      <w:r>
        <w:rPr>
          <w:rStyle w:val="Funotenzeichen"/>
        </w:rPr>
        <w:footnoteRef/>
      </w:r>
      <w:r>
        <w:t xml:space="preserve"> Ausführlich zum Vorverfahren bei der Verpflichtungsklage </w:t>
      </w:r>
      <w:hyperlink r:id="rId68" w:history="1">
        <w:r w:rsidRPr="003C7CAE">
          <w:rPr>
            <w:rStyle w:val="Hyperlink"/>
          </w:rPr>
          <w:t>Braun, in: Eisentraut, Verwaltungsrecht in der Klausur, 2020, § 3 Rn. 31 f.</w:t>
        </w:r>
      </w:hyperlink>
    </w:p>
  </w:footnote>
  <w:footnote w:id="81">
    <w:p w14:paraId="0FF3BCC2" w14:textId="039DB281" w:rsidR="006D1FD1" w:rsidRDefault="006D1FD1">
      <w:pPr>
        <w:pStyle w:val="Funotentext"/>
      </w:pPr>
      <w:r>
        <w:rPr>
          <w:rStyle w:val="Funotenzeichen"/>
        </w:rPr>
        <w:footnoteRef/>
      </w:r>
      <w:r>
        <w:t xml:space="preserve"> Ausführlich zur Klagefrist bei der Verpflichtungsklage </w:t>
      </w:r>
      <w:hyperlink r:id="rId69" w:history="1">
        <w:r w:rsidRPr="003C7CAE">
          <w:rPr>
            <w:rStyle w:val="Hyperlink"/>
          </w:rPr>
          <w:t>Stockebrandt, in: Eisentraut, Verwaltungsrecht in der Klausur, 2020, § 3 Rn. 33 ff.</w:t>
        </w:r>
      </w:hyperlink>
    </w:p>
  </w:footnote>
  <w:footnote w:id="82">
    <w:p w14:paraId="4433798E" w14:textId="56E12FA5" w:rsidR="006D1FD1" w:rsidRDefault="006D1FD1">
      <w:pPr>
        <w:pStyle w:val="Funotentext"/>
      </w:pPr>
      <w:r>
        <w:rPr>
          <w:rStyle w:val="Funotenzeichen"/>
        </w:rPr>
        <w:footnoteRef/>
      </w:r>
      <w:r>
        <w:t xml:space="preserve">Ausführlich zu den Beteiligten bei der Verpflichtungsklage </w:t>
      </w:r>
      <w:hyperlink r:id="rId70" w:history="1">
        <w:r w:rsidRPr="003C7CAE">
          <w:rPr>
            <w:rStyle w:val="Hyperlink"/>
          </w:rPr>
          <w:t>Creemers, in: Eisentraut, Verwaltungsrecht in der Klausur, 2020, § 3 Rn. 37</w:t>
        </w:r>
      </w:hyperlink>
      <w:r>
        <w:t>.</w:t>
      </w:r>
    </w:p>
  </w:footnote>
  <w:footnote w:id="83">
    <w:p w14:paraId="187276AF" w14:textId="3F720BA9" w:rsidR="006D1FD1" w:rsidRDefault="006D1FD1">
      <w:pPr>
        <w:pStyle w:val="Funotentext"/>
      </w:pPr>
      <w:r>
        <w:rPr>
          <w:rStyle w:val="Funotenzeichen"/>
        </w:rPr>
        <w:footnoteRef/>
      </w:r>
      <w:r>
        <w:t xml:space="preserve">Ausführlich zum zuständigen Gericht bei der Verpflichtungsklage </w:t>
      </w:r>
      <w:hyperlink r:id="rId71" w:history="1">
        <w:r w:rsidRPr="003C7CAE">
          <w:rPr>
            <w:rStyle w:val="Hyperlink"/>
          </w:rPr>
          <w:t>Goldberg, in: Eisentraut, Verwaltungsrecht in der Klausur, 2020, § 3 Rn. 38 ff.</w:t>
        </w:r>
      </w:hyperlink>
    </w:p>
  </w:footnote>
  <w:footnote w:id="84">
    <w:p w14:paraId="19BC3D4D" w14:textId="4C66D051" w:rsidR="006D1FD1" w:rsidRDefault="006D1FD1">
      <w:pPr>
        <w:pStyle w:val="Funotentext"/>
      </w:pPr>
      <w:r>
        <w:rPr>
          <w:rStyle w:val="Funotenzeichen"/>
        </w:rPr>
        <w:footnoteRef/>
      </w:r>
      <w:r>
        <w:t xml:space="preserve">Ausführlich zum Rechtsschutzbedürfnis bei der Verpflichtungsklage </w:t>
      </w:r>
      <w:hyperlink r:id="rId72" w:history="1">
        <w:r w:rsidRPr="003C7CAE">
          <w:rPr>
            <w:rStyle w:val="Hyperlink"/>
          </w:rPr>
          <w:t>Valentiner, in: Eisentraut, Verwaltungsrecht in der Klausur, 2020, § 3 Rn. 42 ff.</w:t>
        </w:r>
      </w:hyperlink>
    </w:p>
  </w:footnote>
  <w:footnote w:id="85">
    <w:p w14:paraId="157B83F4" w14:textId="7CE167A9" w:rsidR="006D1FD1" w:rsidRDefault="006D1FD1">
      <w:pPr>
        <w:pStyle w:val="Funotentext"/>
      </w:pPr>
      <w:r>
        <w:rPr>
          <w:rStyle w:val="Funotenzeichen"/>
        </w:rPr>
        <w:footnoteRef/>
      </w:r>
      <w:r>
        <w:t xml:space="preserve"> Ausführlich zur Struktur der Begründetheitsprüfung der Verpflichtungsklage </w:t>
      </w:r>
      <w:hyperlink r:id="rId73" w:history="1">
        <w:r w:rsidRPr="003C7CAE">
          <w:rPr>
            <w:rStyle w:val="Hyperlink"/>
          </w:rPr>
          <w:t>Lemke, in: Eisentraut, Verwaltungsrecht in der Klausur, 2020, § 3 Rn. 47 ff.</w:t>
        </w:r>
      </w:hyperlink>
    </w:p>
  </w:footnote>
  <w:footnote w:id="86">
    <w:p w14:paraId="053636DB" w14:textId="655AAF94" w:rsidR="006D1FD1" w:rsidRDefault="006D1FD1">
      <w:pPr>
        <w:pStyle w:val="Funotentext"/>
      </w:pPr>
      <w:r>
        <w:rPr>
          <w:rStyle w:val="Funotenzeichen"/>
        </w:rPr>
        <w:footnoteRef/>
      </w:r>
      <w:r>
        <w:t xml:space="preserve"> Ausführlich zu den Anspruchsgrundlagen des Allgemeinen Verwaltun</w:t>
      </w:r>
      <w:r w:rsidRPr="00134B06">
        <w:t xml:space="preserve">gsrechts </w:t>
      </w:r>
      <w:hyperlink r:id="rId74" w:history="1">
        <w:r w:rsidRPr="003C7CAE">
          <w:rPr>
            <w:rStyle w:val="Hyperlink"/>
          </w:rPr>
          <w:t>Brings-Wiesen, in: Eisentraut, Verwaltungsrecht in der Klausur, 2020, § 3 Rn. 96 ff.</w:t>
        </w:r>
      </w:hyperlink>
      <w:r w:rsidRPr="00134B06">
        <w:t>, des Polizei- und Ordnungsrecht</w:t>
      </w:r>
      <w:r>
        <w:t xml:space="preserve">s </w:t>
      </w:r>
      <w:hyperlink r:id="rId75" w:history="1">
        <w:r w:rsidRPr="003C7CAE">
          <w:rPr>
            <w:rStyle w:val="Hyperlink"/>
          </w:rPr>
          <w:t>Eisentraut, a.a.O., § 3 Rn. 122 ff.</w:t>
        </w:r>
      </w:hyperlink>
      <w:r w:rsidRPr="00134B06">
        <w:t xml:space="preserve">, </w:t>
      </w:r>
      <w:r>
        <w:t xml:space="preserve">des </w:t>
      </w:r>
      <w:r w:rsidRPr="00134B06">
        <w:t>Baurecht</w:t>
      </w:r>
      <w:r>
        <w:t xml:space="preserve">s </w:t>
      </w:r>
      <w:hyperlink r:id="rId76" w:history="1">
        <w:r w:rsidRPr="003C7CAE">
          <w:rPr>
            <w:rStyle w:val="Hyperlink"/>
          </w:rPr>
          <w:t>Steengrafe, a.a.O., § 3 Rn. 127 ff.</w:t>
        </w:r>
      </w:hyperlink>
      <w:r w:rsidRPr="00134B06">
        <w:t xml:space="preserve"> und </w:t>
      </w:r>
      <w:r>
        <w:t xml:space="preserve">des </w:t>
      </w:r>
      <w:r w:rsidRPr="00134B06">
        <w:t>Kommunalrecht</w:t>
      </w:r>
      <w:r>
        <w:t xml:space="preserve">s </w:t>
      </w:r>
      <w:hyperlink r:id="rId77" w:history="1">
        <w:r w:rsidRPr="003C7CAE">
          <w:rPr>
            <w:rStyle w:val="Hyperlink"/>
          </w:rPr>
          <w:t>Piecha, a.a.O., § 3 Rn. 158 ff.</w:t>
        </w:r>
      </w:hyperlink>
    </w:p>
  </w:footnote>
  <w:footnote w:id="87">
    <w:p w14:paraId="0918AF91" w14:textId="40769530" w:rsidR="006D1FD1" w:rsidRDefault="006D1FD1" w:rsidP="00936764">
      <w:pPr>
        <w:pStyle w:val="Funotentext"/>
      </w:pPr>
      <w:r>
        <w:rPr>
          <w:rStyle w:val="Funotenzeichen"/>
        </w:rPr>
        <w:footnoteRef/>
      </w:r>
      <w:r>
        <w:t xml:space="preserve"> Zur modifizierten Subjektstheorie </w:t>
      </w:r>
      <w:hyperlink r:id="rId78" w:history="1">
        <w:r w:rsidRPr="00C87B0D">
          <w:rPr>
            <w:rStyle w:val="Hyperlink"/>
          </w:rPr>
          <w:t>Eisentraut, in: Eisentraut, Verwaltungsrecht in der Klausur, 2020, § 1 Rn. 171 ff.</w:t>
        </w:r>
      </w:hyperlink>
    </w:p>
  </w:footnote>
  <w:footnote w:id="88">
    <w:p w14:paraId="1314105D" w14:textId="6E7A797B" w:rsidR="006D1FD1" w:rsidRDefault="006D1FD1" w:rsidP="00936764">
      <w:pPr>
        <w:pStyle w:val="Funotentext"/>
      </w:pPr>
      <w:r>
        <w:rPr>
          <w:rStyle w:val="Funotenzeichen"/>
        </w:rPr>
        <w:footnoteRef/>
      </w:r>
      <w:r>
        <w:t xml:space="preserve"> Zur doppelten Verfassungsunmittelbarkeit </w:t>
      </w:r>
      <w:hyperlink r:id="rId79" w:history="1">
        <w:r w:rsidRPr="00C87B0D">
          <w:rPr>
            <w:rStyle w:val="Hyperlink"/>
          </w:rPr>
          <w:t>Eisentraut, in: Eisentraut, Verwaltungsrecht in der Klausur, 2020, § 1 Rn. 210 ff.</w:t>
        </w:r>
      </w:hyperlink>
    </w:p>
  </w:footnote>
  <w:footnote w:id="89">
    <w:p w14:paraId="03C48C97" w14:textId="77777777" w:rsidR="006D1FD1" w:rsidRDefault="006D1FD1" w:rsidP="00936764">
      <w:pPr>
        <w:pStyle w:val="Funotentext"/>
      </w:pPr>
      <w:r>
        <w:rPr>
          <w:rStyle w:val="Funotenzeichen"/>
        </w:rPr>
        <w:footnoteRef/>
      </w:r>
      <w:r>
        <w:t xml:space="preserve"> </w:t>
      </w:r>
      <w:r w:rsidRPr="000D0511">
        <w:t>Lindner/Struzina</w:t>
      </w:r>
      <w:r>
        <w:t>, JuS 2016, 226.</w:t>
      </w:r>
    </w:p>
  </w:footnote>
  <w:footnote w:id="90">
    <w:p w14:paraId="2652374D" w14:textId="24FFFBA8" w:rsidR="006D1FD1" w:rsidRDefault="006D1FD1" w:rsidP="00936764">
      <w:pPr>
        <w:pStyle w:val="Funotentext"/>
      </w:pPr>
      <w:r>
        <w:rPr>
          <w:rStyle w:val="Funotenzeichen"/>
        </w:rPr>
        <w:footnoteRef/>
      </w:r>
      <w:r>
        <w:t xml:space="preserve"> Clausing, in: Schoch/Schneider/Bier, VwGO, 36. EL Februar 2019, § 161 Rn. 9.</w:t>
      </w:r>
    </w:p>
  </w:footnote>
  <w:footnote w:id="91">
    <w:p w14:paraId="3B205286" w14:textId="77777777" w:rsidR="006D1FD1" w:rsidRDefault="006D1FD1" w:rsidP="00936764">
      <w:pPr>
        <w:pStyle w:val="Funotentext"/>
      </w:pPr>
      <w:r>
        <w:rPr>
          <w:rStyle w:val="Funotenzeichen"/>
        </w:rPr>
        <w:footnoteRef/>
      </w:r>
      <w:r>
        <w:t xml:space="preserve"> Dazu die Abwandlung.</w:t>
      </w:r>
    </w:p>
  </w:footnote>
  <w:footnote w:id="92">
    <w:p w14:paraId="620AB871" w14:textId="77777777" w:rsidR="006D1FD1" w:rsidRDefault="006D1FD1" w:rsidP="00936764">
      <w:pPr>
        <w:pStyle w:val="Funotentext"/>
      </w:pPr>
      <w:r>
        <w:rPr>
          <w:rStyle w:val="Funotenzeichen"/>
        </w:rPr>
        <w:footnoteRef/>
      </w:r>
      <w:r>
        <w:t xml:space="preserve"> Zu dieser Möglichkeit </w:t>
      </w:r>
      <w:r w:rsidRPr="000D0511">
        <w:t>Frenz</w:t>
      </w:r>
      <w:r>
        <w:t>, JA 2011, 917, 918.</w:t>
      </w:r>
    </w:p>
  </w:footnote>
  <w:footnote w:id="93">
    <w:p w14:paraId="5052B81E" w14:textId="77777777" w:rsidR="006D1FD1" w:rsidRDefault="006D1FD1" w:rsidP="00936764">
      <w:pPr>
        <w:pStyle w:val="Funotentext"/>
      </w:pPr>
      <w:r>
        <w:rPr>
          <w:rStyle w:val="Funotenzeichen"/>
        </w:rPr>
        <w:footnoteRef/>
      </w:r>
      <w:r>
        <w:t xml:space="preserve"> </w:t>
      </w:r>
      <w:r w:rsidRPr="000D0511">
        <w:t>Frenz</w:t>
      </w:r>
      <w:r>
        <w:t>, JA 2011, 917, 919.</w:t>
      </w:r>
    </w:p>
  </w:footnote>
  <w:footnote w:id="94">
    <w:p w14:paraId="106E346A" w14:textId="66CDD8BB" w:rsidR="006D1FD1" w:rsidRDefault="006D1FD1" w:rsidP="00936764">
      <w:pPr>
        <w:pStyle w:val="Funotentext"/>
      </w:pPr>
      <w:r>
        <w:rPr>
          <w:rStyle w:val="Funotenzeichen"/>
        </w:rPr>
        <w:footnoteRef/>
      </w:r>
      <w:r>
        <w:t xml:space="preserve"> Zur Schutznormtheorie Burbach, in: Eisentraut, Verwaltungsrecht in der Klausur, § 3 Rn. 29.</w:t>
      </w:r>
    </w:p>
  </w:footnote>
  <w:footnote w:id="95">
    <w:p w14:paraId="6EDD6DFE" w14:textId="6378C43B" w:rsidR="006D1FD1" w:rsidRDefault="006D1FD1" w:rsidP="00936764">
      <w:pPr>
        <w:pStyle w:val="Funotentext"/>
      </w:pPr>
      <w:r>
        <w:rPr>
          <w:rStyle w:val="Funotenzeichen"/>
        </w:rPr>
        <w:footnoteRef/>
      </w:r>
      <w:r>
        <w:t xml:space="preserve"> Vgl. dazu Steengrafe, in: Eisentraut, Verwaltungsrecht in der Klausur, § 3 Rn. 155.</w:t>
      </w:r>
    </w:p>
  </w:footnote>
  <w:footnote w:id="96">
    <w:p w14:paraId="3FD19EE9" w14:textId="77777777" w:rsidR="006D1FD1" w:rsidRDefault="006D1FD1" w:rsidP="00936764">
      <w:pPr>
        <w:pStyle w:val="Funotentext"/>
      </w:pPr>
      <w:r>
        <w:rPr>
          <w:rStyle w:val="Funotenzeichen"/>
        </w:rPr>
        <w:footnoteRef/>
      </w:r>
      <w:r>
        <w:t xml:space="preserve"> Zur Untätigkeitsklage </w:t>
      </w:r>
      <w:r w:rsidRPr="000D0511">
        <w:t>Wittmann</w:t>
      </w:r>
      <w:r w:rsidRPr="00D965E9">
        <w:t>, JuS 2017, 842</w:t>
      </w:r>
      <w:r>
        <w:t xml:space="preserve"> ff.</w:t>
      </w:r>
    </w:p>
  </w:footnote>
  <w:footnote w:id="97">
    <w:p w14:paraId="67CA3160" w14:textId="77777777" w:rsidR="006D1FD1" w:rsidRDefault="006D1FD1" w:rsidP="00936764">
      <w:pPr>
        <w:pStyle w:val="Funotentext"/>
      </w:pPr>
      <w:r>
        <w:rPr>
          <w:rStyle w:val="Funotenzeichen"/>
        </w:rPr>
        <w:footnoteRef/>
      </w:r>
      <w:r>
        <w:t xml:space="preserve"> </w:t>
      </w:r>
      <w:r w:rsidRPr="000D0511">
        <w:t>Wittmann</w:t>
      </w:r>
      <w:r w:rsidRPr="00D965E9">
        <w:t>, JuS 2017, 842</w:t>
      </w:r>
      <w:r>
        <w:t>, 844.</w:t>
      </w:r>
    </w:p>
  </w:footnote>
  <w:footnote w:id="98">
    <w:p w14:paraId="52D51CD2" w14:textId="699DEFA8" w:rsidR="006D1FD1" w:rsidRDefault="006D1FD1" w:rsidP="00936764">
      <w:pPr>
        <w:pStyle w:val="Funotentext"/>
      </w:pPr>
      <w:r>
        <w:rPr>
          <w:rStyle w:val="Funotenzeichen"/>
        </w:rPr>
        <w:footnoteRef/>
      </w:r>
      <w:r>
        <w:t xml:space="preserve"> </w:t>
      </w:r>
      <w:r w:rsidRPr="000D0511">
        <w:t>Dolde/Porsch</w:t>
      </w:r>
      <w:r>
        <w:t xml:space="preserve">, in: Schoch/Schneider/Bier, VwGO, 36. EL Februar 2019, § 75 Rn. 26; </w:t>
      </w:r>
      <w:r w:rsidRPr="000D0511">
        <w:t>Frenz</w:t>
      </w:r>
      <w:r>
        <w:t xml:space="preserve">, JA 2011, 917, 918; </w:t>
      </w:r>
      <w:r w:rsidRPr="000D0511">
        <w:t>Ehlers</w:t>
      </w:r>
      <w:r>
        <w:t>, JURA 2004, 310, 313.</w:t>
      </w:r>
      <w:r w:rsidRPr="005D7254">
        <w:t xml:space="preserve"> </w:t>
      </w:r>
    </w:p>
  </w:footnote>
  <w:footnote w:id="99">
    <w:p w14:paraId="54BF822C" w14:textId="77777777" w:rsidR="006D1FD1" w:rsidRDefault="006D1FD1" w:rsidP="00936764">
      <w:pPr>
        <w:pStyle w:val="Funotentext"/>
      </w:pPr>
      <w:r>
        <w:rPr>
          <w:rStyle w:val="Funotenzeichen"/>
        </w:rPr>
        <w:footnoteRef/>
      </w:r>
      <w:r>
        <w:t xml:space="preserve"> Entgegen des Wortlauts („unterlassen“) gilt § 78 VwGO gleichermaßen für die Versagungsgegen- wie die Untätigkeitsklage, </w:t>
      </w:r>
      <w:r w:rsidRPr="000D0511">
        <w:t>Ehlers</w:t>
      </w:r>
      <w:r>
        <w:t>, JURA 2004, 310. 314.</w:t>
      </w:r>
    </w:p>
  </w:footnote>
  <w:footnote w:id="100">
    <w:p w14:paraId="51F1C2AD" w14:textId="77777777" w:rsidR="006D1FD1" w:rsidRDefault="006D1FD1" w:rsidP="00936764">
      <w:pPr>
        <w:pStyle w:val="Funotentext"/>
      </w:pPr>
      <w:r>
        <w:rPr>
          <w:rStyle w:val="Funotenzeichen"/>
        </w:rPr>
        <w:footnoteRef/>
      </w:r>
      <w:r>
        <w:t xml:space="preserve"> </w:t>
      </w:r>
      <w:r w:rsidRPr="000D0511">
        <w:t>Frenz</w:t>
      </w:r>
      <w:r>
        <w:t>, JA 2011, 917, 918.</w:t>
      </w:r>
    </w:p>
  </w:footnote>
  <w:footnote w:id="101">
    <w:p w14:paraId="42C647E1" w14:textId="3EC52119" w:rsidR="006D1FD1" w:rsidRDefault="006D1FD1" w:rsidP="00936764">
      <w:pPr>
        <w:pStyle w:val="Funotentext"/>
      </w:pPr>
      <w:r>
        <w:rPr>
          <w:rStyle w:val="Funotenzeichen"/>
        </w:rPr>
        <w:footnoteRef/>
      </w:r>
      <w:r>
        <w:t xml:space="preserve"> S. Stockebrandt, in: Eisentraut, Verwaltungsrecht in der Klausur, § 3 Rn. 33 f., 36; s. auch </w:t>
      </w:r>
      <w:r w:rsidRPr="000D0511">
        <w:t>Schenke</w:t>
      </w:r>
      <w:r>
        <w:t>, Verwaltungsprozessrecht, 16. Aufl. 2019, Rn. 720. – Der weggefallene § 76 VwGO a.F. sah eine Jahresfrist für die Erhebung der Untätigkeitsklage vor.</w:t>
      </w:r>
    </w:p>
  </w:footnote>
  <w:footnote w:id="102">
    <w:p w14:paraId="4BC06532" w14:textId="0910815F" w:rsidR="006D1FD1" w:rsidRDefault="006D1FD1" w:rsidP="00936764">
      <w:pPr>
        <w:pStyle w:val="Funotentext"/>
      </w:pPr>
      <w:r>
        <w:rPr>
          <w:rStyle w:val="Funotenzeichen"/>
        </w:rPr>
        <w:footnoteRef/>
      </w:r>
      <w:r>
        <w:t xml:space="preserve"> S. Valentiner, in: Eisentraut,</w:t>
      </w:r>
      <w:r w:rsidRPr="005C3104">
        <w:t xml:space="preserve"> </w:t>
      </w:r>
      <w:r>
        <w:t xml:space="preserve">Verwaltungsrecht in der Klausur, § 3 Rn. 43; s. auch </w:t>
      </w:r>
      <w:r w:rsidRPr="000D0511">
        <w:t>Pietzcker</w:t>
      </w:r>
      <w:r>
        <w:t>, in: Schoch/Schneider/Bier, VwGO, 36. EL Februar 2019, § 42 I Rn. 96.</w:t>
      </w:r>
    </w:p>
  </w:footnote>
  <w:footnote w:id="103">
    <w:p w14:paraId="2EF6FC91" w14:textId="3531C7DB" w:rsidR="006D1FD1" w:rsidRDefault="006D1FD1" w:rsidP="00936764">
      <w:pPr>
        <w:pStyle w:val="Funotentext"/>
      </w:pPr>
      <w:r>
        <w:rPr>
          <w:rStyle w:val="Funotenzeichen"/>
        </w:rPr>
        <w:footnoteRef/>
      </w:r>
      <w:r>
        <w:t xml:space="preserve"> S. Stockebrandt, in: Eisentraut, Verwaltungsrecht in der Klausur, § 3 Rn. 36 i.V.m. § 2 Rn. 391 f., 399 ff., 501; s. auch </w:t>
      </w:r>
      <w:r w:rsidRPr="000D0511">
        <w:t>Schenke</w:t>
      </w:r>
      <w:r>
        <w:t xml:space="preserve">, Verwaltungsprozessrecht, 16. Aufl. 2019, Rn. 721; s. auch </w:t>
      </w:r>
      <w:r w:rsidRPr="000D0511">
        <w:t>Ehlers</w:t>
      </w:r>
      <w:r>
        <w:t>, JURA 2004, 310, 314.</w:t>
      </w:r>
    </w:p>
  </w:footnote>
  <w:footnote w:id="104">
    <w:p w14:paraId="54441281" w14:textId="16E4419A" w:rsidR="006D1FD1" w:rsidRDefault="006D1FD1" w:rsidP="00936764">
      <w:pPr>
        <w:pStyle w:val="Funotentext"/>
      </w:pPr>
      <w:r>
        <w:rPr>
          <w:rStyle w:val="Funotenzeichen"/>
        </w:rPr>
        <w:footnoteRef/>
      </w:r>
      <w:r>
        <w:t xml:space="preserve"> S. Creemers, in: Eisentraut, Verwaltungsrecht in der Klausur, § 3 Rn. 37 sowie Baade, a.a.O., § 1 Rn. 69 sowie Creemers, a.a.O., § 2 Rn. 450; </w:t>
      </w:r>
      <w:r w:rsidRPr="000D0511">
        <w:t>W.-R. Schenke</w:t>
      </w:r>
      <w:r w:rsidRPr="0051393B">
        <w:t>, in: Kopp/Schenke, VwGO, 2</w:t>
      </w:r>
      <w:r>
        <w:t>5</w:t>
      </w:r>
      <w:r w:rsidRPr="0051393B">
        <w:t>. Aufl. 201</w:t>
      </w:r>
      <w:r>
        <w:t>9</w:t>
      </w:r>
      <w:r w:rsidRPr="0051393B">
        <w:t>, § 65 Rn</w:t>
      </w:r>
      <w:r>
        <w:t>.</w:t>
      </w:r>
      <w:r w:rsidRPr="0051393B">
        <w:t xml:space="preserve"> </w:t>
      </w:r>
      <w:r>
        <w:t xml:space="preserve">14; </w:t>
      </w:r>
      <w:r w:rsidRPr="000D0511">
        <w:t>Guckelberger</w:t>
      </w:r>
      <w:r w:rsidRPr="00E9046D">
        <w:t>, JuS 2007, 436</w:t>
      </w:r>
      <w:r>
        <w:t>, 439.</w:t>
      </w:r>
    </w:p>
  </w:footnote>
  <w:footnote w:id="105">
    <w:p w14:paraId="5286B1CF" w14:textId="503DBCAF" w:rsidR="006D1FD1" w:rsidRDefault="006D1FD1" w:rsidP="00936764">
      <w:pPr>
        <w:pStyle w:val="Funotentext"/>
      </w:pPr>
      <w:r>
        <w:rPr>
          <w:rStyle w:val="Funotenzeichen"/>
        </w:rPr>
        <w:footnoteRef/>
      </w:r>
      <w:r>
        <w:t xml:space="preserve"> </w:t>
      </w:r>
      <w:r w:rsidRPr="000D0511">
        <w:t>Bier</w:t>
      </w:r>
      <w:r>
        <w:t>, in: Schoch/Schneider/Bier, VwGO, 36. EL Februar 2019 § 65 Rn. 24, sowie Rn. 22 für den Fall, dass der Dritte Adressat des Verwaltungsakts ist: Würde bspw. N eine Verpflichtungsklage erheben, die ein bauaufsichtliches Einschreiten gegen Bs Vorhaben zum Gegenstand hat, wäre B notwendig beizuladen.</w:t>
      </w:r>
    </w:p>
  </w:footnote>
  <w:footnote w:id="106">
    <w:p w14:paraId="14602EF7" w14:textId="423C408D" w:rsidR="006D1FD1" w:rsidRDefault="006D1FD1" w:rsidP="00936764">
      <w:pPr>
        <w:pStyle w:val="Funotentext"/>
      </w:pPr>
      <w:r>
        <w:rPr>
          <w:rStyle w:val="Funotenzeichen"/>
        </w:rPr>
        <w:footnoteRef/>
      </w:r>
      <w:r>
        <w:t xml:space="preserve"> So auch </w:t>
      </w:r>
      <w:r w:rsidRPr="000D0511">
        <w:t>Dürr</w:t>
      </w:r>
      <w:r>
        <w:t>, JuS 2007, 328, 329. - Eine andere Ansicht ist vertretbar, vgl. etwa</w:t>
      </w:r>
      <w:r w:rsidRPr="00C87107">
        <w:rPr>
          <w:i/>
        </w:rPr>
        <w:t xml:space="preserve"> </w:t>
      </w:r>
      <w:r w:rsidRPr="000D0511">
        <w:t>W.-R. Schenke</w:t>
      </w:r>
      <w:r w:rsidRPr="0051393B">
        <w:t>, in: Kopp/Schenke, VwGO, 2</w:t>
      </w:r>
      <w:r>
        <w:t>5</w:t>
      </w:r>
      <w:r w:rsidRPr="0051393B">
        <w:t>. Aufl. 201</w:t>
      </w:r>
      <w:r>
        <w:t>9</w:t>
      </w:r>
      <w:r w:rsidRPr="0051393B">
        <w:t>, § 65 Rn</w:t>
      </w:r>
      <w:r>
        <w:t>. 18, 18a.</w:t>
      </w:r>
    </w:p>
  </w:footnote>
  <w:footnote w:id="107">
    <w:p w14:paraId="48F66843" w14:textId="1127EA26" w:rsidR="006D1FD1" w:rsidRDefault="006D1FD1" w:rsidP="00936764">
      <w:pPr>
        <w:pStyle w:val="Funotentext"/>
      </w:pPr>
      <w:r>
        <w:rPr>
          <w:rStyle w:val="Funotenzeichen"/>
        </w:rPr>
        <w:footnoteRef/>
      </w:r>
      <w:r>
        <w:t xml:space="preserve"> Dafür </w:t>
      </w:r>
      <w:r w:rsidRPr="000D0511">
        <w:t>Dürr</w:t>
      </w:r>
      <w:r>
        <w:t xml:space="preserve">, JuS 2007, 328, 329; allgemein zur einfachen Beiladung </w:t>
      </w:r>
      <w:hyperlink r:id="rId80" w:history="1">
        <w:r w:rsidRPr="00645252">
          <w:rPr>
            <w:rStyle w:val="Hyperlink"/>
          </w:rPr>
          <w:t>Creemers, in: Eisentraut, Verwaltungsrecht in der Klausur, § 2 Rn. 447 f.</w:t>
        </w:r>
      </w:hyperlink>
      <w:r>
        <w:t xml:space="preserve">; s. auch </w:t>
      </w:r>
      <w:r w:rsidRPr="000D0511">
        <w:t>Guckelberger</w:t>
      </w:r>
      <w:r w:rsidRPr="00E9046D">
        <w:t>, JuS 2007, 436</w:t>
      </w:r>
      <w:r>
        <w:t xml:space="preserve"> f., 438 f</w:t>
      </w:r>
      <w:r w:rsidRPr="00E9046D">
        <w:t>.</w:t>
      </w:r>
    </w:p>
  </w:footnote>
  <w:footnote w:id="108">
    <w:p w14:paraId="300AA476" w14:textId="02465875" w:rsidR="006D1FD1" w:rsidRDefault="006D1FD1" w:rsidP="00936764">
      <w:pPr>
        <w:pStyle w:val="Funotentext"/>
      </w:pPr>
      <w:r>
        <w:rPr>
          <w:rStyle w:val="Funotenzeichen"/>
        </w:rPr>
        <w:footnoteRef/>
      </w:r>
      <w:r>
        <w:t xml:space="preserve"> Zur Spruchreife </w:t>
      </w:r>
      <w:hyperlink r:id="rId81" w:history="1">
        <w:r w:rsidRPr="00645252">
          <w:rPr>
            <w:rStyle w:val="Hyperlink"/>
          </w:rPr>
          <w:t>Lemke, in: Eisentraut, Verwaltungsrecht in der Klausur, 2020, § 3 Rn. 48 ff., 80 ff.</w:t>
        </w:r>
      </w:hyperlink>
      <w:r>
        <w:t xml:space="preserve">; s. auch </w:t>
      </w:r>
      <w:r w:rsidRPr="000D0511">
        <w:t>Riese</w:t>
      </w:r>
      <w:r w:rsidRPr="00693982">
        <w:t xml:space="preserve">, in: </w:t>
      </w:r>
      <w:r>
        <w:t>Schoch/Schneider/Bier, VwGO, 36. EL Februar 2019</w:t>
      </w:r>
      <w:r w:rsidRPr="00693982">
        <w:t>, § 113 Rn. 213 ff.</w:t>
      </w:r>
    </w:p>
  </w:footnote>
  <w:footnote w:id="109">
    <w:p w14:paraId="588FC8C7" w14:textId="74D29234" w:rsidR="006D1FD1" w:rsidRDefault="006D1FD1" w:rsidP="00936764">
      <w:pPr>
        <w:pStyle w:val="Funotentext"/>
      </w:pPr>
      <w:r>
        <w:rPr>
          <w:rStyle w:val="Funotenzeichen"/>
        </w:rPr>
        <w:footnoteRef/>
      </w:r>
      <w:r>
        <w:t xml:space="preserve"> Zum Anspruchsaufbau der Verpflichtungsklage</w:t>
      </w:r>
      <w:r w:rsidRPr="00D26311">
        <w:t xml:space="preserve"> </w:t>
      </w:r>
      <w:hyperlink r:id="rId82" w:history="1">
        <w:r w:rsidRPr="00645252">
          <w:rPr>
            <w:rStyle w:val="Hyperlink"/>
          </w:rPr>
          <w:t>Lemke, in: Eisentraut, Verwaltungsrecht in der Klausur, § 3 Rn. 58</w:t>
        </w:r>
      </w:hyperlink>
      <w:r>
        <w:t xml:space="preserve">; s. auch </w:t>
      </w:r>
      <w:r w:rsidRPr="000D0511">
        <w:t>Frenz</w:t>
      </w:r>
      <w:r w:rsidRPr="00B152B9">
        <w:t>, JA 2011, 917</w:t>
      </w:r>
      <w:r>
        <w:t xml:space="preserve">, 920 f; </w:t>
      </w:r>
      <w:r w:rsidRPr="000D0511">
        <w:t>Ehlers</w:t>
      </w:r>
      <w:r>
        <w:t>, JURA 2004, 310, 314 f.</w:t>
      </w:r>
    </w:p>
  </w:footnote>
  <w:footnote w:id="110">
    <w:p w14:paraId="6D511840" w14:textId="31F64B5C" w:rsidR="006D1FD1" w:rsidRDefault="006D1FD1" w:rsidP="00936764">
      <w:pPr>
        <w:pStyle w:val="Funotentext"/>
      </w:pPr>
      <w:r>
        <w:rPr>
          <w:rStyle w:val="Funotenzeichen"/>
        </w:rPr>
        <w:footnoteRef/>
      </w:r>
      <w:r>
        <w:t xml:space="preserve"> Zur Ermittlung der Anspruchsgrundlage Lemke, in: Eisentraut, Verwaltungsrecht in der Klausur, § 3 Rn. 63 f.; Übersicht zum Anspruch auf eine Baugenehmigung bei </w:t>
      </w:r>
      <w:hyperlink r:id="rId83" w:history="1">
        <w:r w:rsidRPr="003C7CAE">
          <w:rPr>
            <w:rStyle w:val="Hyperlink"/>
          </w:rPr>
          <w:t>Steengrafe, in: Eisentraut, Verwaltungsrecht in der Klausur, 2020, § 3 Rn. 128 ff</w:t>
        </w:r>
      </w:hyperlink>
      <w:r>
        <w:t xml:space="preserve">.; s. auch </w:t>
      </w:r>
      <w:r w:rsidRPr="000D0511">
        <w:t>Frenz</w:t>
      </w:r>
      <w:r>
        <w:t>, JuS 2009, 902, 905.</w:t>
      </w:r>
    </w:p>
  </w:footnote>
  <w:footnote w:id="111">
    <w:p w14:paraId="23EE0B50" w14:textId="307D7F74" w:rsidR="006D1FD1" w:rsidRDefault="006D1FD1" w:rsidP="00B259C2">
      <w:pPr>
        <w:pStyle w:val="Funotentext"/>
      </w:pPr>
      <w:r>
        <w:rPr>
          <w:rStyle w:val="Funotenzeichen"/>
        </w:rPr>
        <w:footnoteRef/>
      </w:r>
      <w:r>
        <w:t xml:space="preserve"> Allgemein zu den formellen Anspruchsvoraussetzungen Lemke, in: Eisentraut, Verwaltungsrecht in der Klausur, § 3 Rn. 73 f., speziell zur Baugenehmigung </w:t>
      </w:r>
      <w:hyperlink r:id="rId84" w:history="1">
        <w:r w:rsidRPr="003C7CAE">
          <w:rPr>
            <w:rStyle w:val="Hyperlink"/>
          </w:rPr>
          <w:t>Steengrafe, in: Eisentraut, Verwaltungsrecht in der Klausur, 2020, § 3 Rn. 134 f.</w:t>
        </w:r>
      </w:hyperlink>
    </w:p>
  </w:footnote>
  <w:footnote w:id="112">
    <w:p w14:paraId="5B1C439D" w14:textId="1D6E1F1D" w:rsidR="006D1FD1" w:rsidRDefault="006D1FD1" w:rsidP="00936764">
      <w:pPr>
        <w:pStyle w:val="Funotentext"/>
      </w:pPr>
      <w:r w:rsidRPr="00E02923">
        <w:rPr>
          <w:rStyle w:val="Funotenzeichen"/>
        </w:rPr>
        <w:footnoteRef/>
      </w:r>
      <w:r w:rsidRPr="00E02923">
        <w:t xml:space="preserve"> </w:t>
      </w:r>
      <w:r>
        <w:t xml:space="preserve">Dafür insbesondere </w:t>
      </w:r>
      <w:hyperlink r:id="rId85" w:history="1">
        <w:r w:rsidRPr="00066F3C">
          <w:rPr>
            <w:rStyle w:val="Hyperlink"/>
          </w:rPr>
          <w:t>BVerwG, Urt. v. 19.8.2004, Az</w:t>
        </w:r>
        <w:r>
          <w:rPr>
            <w:rStyle w:val="Hyperlink"/>
          </w:rPr>
          <w:t>.</w:t>
        </w:r>
        <w:r w:rsidRPr="00066F3C">
          <w:rPr>
            <w:rStyle w:val="Hyperlink"/>
          </w:rPr>
          <w:t>: 4 C 16.03</w:t>
        </w:r>
      </w:hyperlink>
      <w:r>
        <w:t xml:space="preserve"> = BVerwGE 121, 339, 342 = NVwZ 2005, 83, 84; a.A. </w:t>
      </w:r>
      <w:r w:rsidRPr="000D0511">
        <w:t>Dürr</w:t>
      </w:r>
      <w:r>
        <w:t>, JuS 2007. 328, 334.</w:t>
      </w:r>
    </w:p>
  </w:footnote>
  <w:footnote w:id="113">
    <w:p w14:paraId="665ABB52" w14:textId="77777777" w:rsidR="006D1FD1" w:rsidRDefault="006D1FD1" w:rsidP="00936764">
      <w:pPr>
        <w:pStyle w:val="Funotentext"/>
      </w:pPr>
      <w:r>
        <w:rPr>
          <w:rStyle w:val="Funotenzeichen"/>
        </w:rPr>
        <w:footnoteRef/>
      </w:r>
      <w:r>
        <w:t xml:space="preserve"> Dazu </w:t>
      </w:r>
      <w:r w:rsidRPr="000D0511">
        <w:t>Kerkmann</w:t>
      </w:r>
      <w:r>
        <w:t>, in: Jeromin, LBauO Rh-Pf, 4. Aufl. 2016, § 68 Rn. 41 ff., 58 ff.</w:t>
      </w:r>
    </w:p>
  </w:footnote>
  <w:footnote w:id="114">
    <w:p w14:paraId="41D11819" w14:textId="3D43611D" w:rsidR="006D1FD1" w:rsidRDefault="006D1FD1" w:rsidP="00936764">
      <w:pPr>
        <w:pStyle w:val="Funotentext"/>
      </w:pPr>
      <w:r w:rsidRPr="0090686C">
        <w:rPr>
          <w:rStyle w:val="Funotenzeichen"/>
        </w:rPr>
        <w:footnoteRef/>
      </w:r>
      <w:r w:rsidRPr="0090686C">
        <w:t xml:space="preserve"> </w:t>
      </w:r>
      <w:r w:rsidRPr="000D0511">
        <w:t>Frenz</w:t>
      </w:r>
      <w:r w:rsidRPr="0090686C">
        <w:t>, JuS 2009, 902</w:t>
      </w:r>
      <w:r>
        <w:t>, 903 f</w:t>
      </w:r>
      <w:r w:rsidRPr="0090686C">
        <w:t>.</w:t>
      </w:r>
      <w:r>
        <w:t xml:space="preserve">; allgemein zu den materiellen Anspruchsvoraussetzungen Lemke, in: Eisentraut, Verwaltungsrecht in der Klausur, § 3 Rn. 75 ff., speziell zur Baugenehmigung </w:t>
      </w:r>
      <w:hyperlink r:id="rId86" w:history="1">
        <w:r w:rsidRPr="003C7CAE">
          <w:rPr>
            <w:rStyle w:val="Hyperlink"/>
          </w:rPr>
          <w:t>Steengrafe, in: Eisentraut, Verwaltungsrecht in der Klausur, 2020, § 3 Rn. 136 ff</w:t>
        </w:r>
      </w:hyperlink>
      <w:r>
        <w:t>.</w:t>
      </w:r>
    </w:p>
  </w:footnote>
  <w:footnote w:id="115">
    <w:p w14:paraId="0D9652B9" w14:textId="16F85099" w:rsidR="006D1FD1" w:rsidRDefault="006D1FD1" w:rsidP="00936764">
      <w:pPr>
        <w:pStyle w:val="Funotentext"/>
      </w:pPr>
      <w:r>
        <w:rPr>
          <w:rStyle w:val="Funotenzeichen"/>
        </w:rPr>
        <w:footnoteRef/>
      </w:r>
      <w:r>
        <w:t xml:space="preserve"> Zur Genehmigungspflicht von Bauvorhaben </w:t>
      </w:r>
      <w:hyperlink r:id="rId87" w:history="1">
        <w:r w:rsidRPr="003C7CAE">
          <w:rPr>
            <w:rStyle w:val="Hyperlink"/>
          </w:rPr>
          <w:t>Steengrafe, in: Eisentraut, Verwaltungsrecht in der Klausur, 2020, § 3 Rn. 132 f.</w:t>
        </w:r>
      </w:hyperlink>
      <w:r>
        <w:t xml:space="preserve">; s. auch </w:t>
      </w:r>
      <w:r w:rsidRPr="000D0511">
        <w:t>Dürr</w:t>
      </w:r>
      <w:r>
        <w:t>, JuS 2007, 328, 330.</w:t>
      </w:r>
    </w:p>
  </w:footnote>
  <w:footnote w:id="116">
    <w:p w14:paraId="5AF03C4D" w14:textId="3517AFCF" w:rsidR="006D1FD1" w:rsidRDefault="006D1FD1" w:rsidP="00936764">
      <w:pPr>
        <w:pStyle w:val="Funotentext"/>
      </w:pPr>
      <w:r w:rsidRPr="00A766E5">
        <w:rPr>
          <w:rStyle w:val="Funotenzeichen"/>
        </w:rPr>
        <w:footnoteRef/>
      </w:r>
      <w:r w:rsidRPr="00A766E5">
        <w:t xml:space="preserve"> Zur bauordnungsrechtlichen Genehmigungsbedürftigkeit von Nutzungsänderungen </w:t>
      </w:r>
      <w:r w:rsidRPr="000D0511">
        <w:t>Jeromin</w:t>
      </w:r>
      <w:r>
        <w:t>, in:</w:t>
      </w:r>
      <w:r w:rsidRPr="00A766E5">
        <w:t xml:space="preserve"> Jeromin, LBauO Rh-Pf, </w:t>
      </w:r>
      <w:r>
        <w:t>4</w:t>
      </w:r>
      <w:r w:rsidRPr="00A766E5">
        <w:t>. Aufl. 2016, § 61 Rn. 13 ff.</w:t>
      </w:r>
    </w:p>
  </w:footnote>
  <w:footnote w:id="117">
    <w:p w14:paraId="4D463F8C" w14:textId="5DDD730E" w:rsidR="006D1FD1" w:rsidRDefault="006D1FD1" w:rsidP="00936764">
      <w:pPr>
        <w:pStyle w:val="Funotentext"/>
      </w:pPr>
      <w:r w:rsidRPr="00CF2553">
        <w:rPr>
          <w:rStyle w:val="Funotenzeichen"/>
        </w:rPr>
        <w:footnoteRef/>
      </w:r>
      <w:r w:rsidRPr="00CF2553">
        <w:t xml:space="preserve"> </w:t>
      </w:r>
      <w:r w:rsidRPr="000D0511">
        <w:t>Jeromin</w:t>
      </w:r>
      <w:r>
        <w:t>, in:</w:t>
      </w:r>
      <w:r w:rsidRPr="00CF2553">
        <w:t xml:space="preserve"> Jeromin, LBauO Rh-Pf, </w:t>
      </w:r>
      <w:r>
        <w:t>4</w:t>
      </w:r>
      <w:r w:rsidRPr="00CF2553">
        <w:t>. Aufl. 2016, § 62 Rn. 103 f.</w:t>
      </w:r>
    </w:p>
  </w:footnote>
  <w:footnote w:id="118">
    <w:p w14:paraId="1B00B514" w14:textId="77777777" w:rsidR="006D1FD1" w:rsidRDefault="006D1FD1" w:rsidP="00936764">
      <w:pPr>
        <w:pStyle w:val="Funotentext"/>
      </w:pPr>
      <w:r w:rsidRPr="008B3909">
        <w:rPr>
          <w:rStyle w:val="Funotenzeichen"/>
        </w:rPr>
        <w:footnoteRef/>
      </w:r>
      <w:r w:rsidRPr="008B3909">
        <w:t xml:space="preserve"> </w:t>
      </w:r>
      <w:r w:rsidRPr="000D0511">
        <w:t>Will</w:t>
      </w:r>
      <w:r w:rsidRPr="008B3909">
        <w:t>, Öffentliches Baurecht, 2019, 328 ff.</w:t>
      </w:r>
    </w:p>
  </w:footnote>
  <w:footnote w:id="119">
    <w:p w14:paraId="052F843B" w14:textId="1DE0080D" w:rsidR="006D1FD1" w:rsidRDefault="006D1FD1" w:rsidP="00936764">
      <w:pPr>
        <w:pStyle w:val="Funotentext"/>
      </w:pPr>
      <w:r>
        <w:rPr>
          <w:rStyle w:val="Funotenzeichen"/>
        </w:rPr>
        <w:footnoteRef/>
      </w:r>
      <w:r>
        <w:t xml:space="preserve"> </w:t>
      </w:r>
      <w:hyperlink r:id="rId88" w:history="1">
        <w:r w:rsidRPr="00B259C2">
          <w:rPr>
            <w:rStyle w:val="Hyperlink"/>
          </w:rPr>
          <w:t>BVerwG, Urt. v. 3.12.1992, Az.: 4 C 27/91</w:t>
        </w:r>
      </w:hyperlink>
      <w:r>
        <w:t xml:space="preserve"> = </w:t>
      </w:r>
      <w:r w:rsidRPr="00375E97">
        <w:t>BVerwGE 91, 234, 236 f.</w:t>
      </w:r>
      <w:r w:rsidRPr="00B259C2">
        <w:t xml:space="preserve"> </w:t>
      </w:r>
      <w:r>
        <w:t>= NVwZ 1993, 983, 984.</w:t>
      </w:r>
    </w:p>
  </w:footnote>
  <w:footnote w:id="120">
    <w:p w14:paraId="0AF0753F" w14:textId="77777777" w:rsidR="006D1FD1" w:rsidRDefault="006D1FD1" w:rsidP="00936764">
      <w:pPr>
        <w:pStyle w:val="Funotentext"/>
      </w:pPr>
      <w:r w:rsidRPr="008A2CD7">
        <w:rPr>
          <w:rStyle w:val="Funotenzeichen"/>
        </w:rPr>
        <w:footnoteRef/>
      </w:r>
      <w:r w:rsidRPr="008A2CD7">
        <w:t xml:space="preserve"> Zum bauplanungsrechtlichen Begriff der Nutzungsänderung </w:t>
      </w:r>
      <w:r w:rsidRPr="000D0511">
        <w:t>Will</w:t>
      </w:r>
      <w:r w:rsidRPr="008B3909">
        <w:t>, Öffentliches Baurecht, 2019,</w:t>
      </w:r>
      <w:r>
        <w:t xml:space="preserve"> Rn. 337.</w:t>
      </w:r>
    </w:p>
  </w:footnote>
  <w:footnote w:id="121">
    <w:p w14:paraId="45CEB300" w14:textId="2B60C383" w:rsidR="006D1FD1" w:rsidRDefault="006D1FD1" w:rsidP="00936764">
      <w:pPr>
        <w:pStyle w:val="Funotentext"/>
      </w:pPr>
      <w:r>
        <w:rPr>
          <w:rStyle w:val="Funotenzeichen"/>
        </w:rPr>
        <w:footnoteRef/>
      </w:r>
      <w:r>
        <w:t xml:space="preserve"> </w:t>
      </w:r>
      <w:r w:rsidRPr="007C1E45">
        <w:t>Zu den Begriffsmerkmalen des Innenbereichs</w:t>
      </w:r>
      <w:r>
        <w:t xml:space="preserve"> in Abgrenzung zum Außenbereich</w:t>
      </w:r>
      <w:r w:rsidRPr="005C3104">
        <w:t xml:space="preserve"> </w:t>
      </w:r>
      <w:hyperlink r:id="rId89" w:history="1">
        <w:r w:rsidRPr="003C7CAE">
          <w:rPr>
            <w:rStyle w:val="Hyperlink"/>
          </w:rPr>
          <w:t>Steengrafe, in: Eisentraut, Verwaltungsrecht in der Klausur, 2020, § 3 Rn. 148</w:t>
        </w:r>
      </w:hyperlink>
      <w:r>
        <w:t xml:space="preserve">; s. auch </w:t>
      </w:r>
      <w:r w:rsidRPr="000D0511">
        <w:t>Söfker</w:t>
      </w:r>
      <w:r w:rsidRPr="007C1E45">
        <w:t xml:space="preserve">, in: Ernst/Zinkahn/Bielenberg/Krautzberger, BauGB, </w:t>
      </w:r>
      <w:r>
        <w:t>133</w:t>
      </w:r>
      <w:r w:rsidRPr="007C1E45">
        <w:t xml:space="preserve">. EL </w:t>
      </w:r>
      <w:r>
        <w:t>Mai 2019</w:t>
      </w:r>
      <w:r w:rsidRPr="007C1E45">
        <w:t xml:space="preserve">, § 34 Rn. </w:t>
      </w:r>
      <w:r>
        <w:t>13 ff.</w:t>
      </w:r>
    </w:p>
  </w:footnote>
  <w:footnote w:id="122">
    <w:p w14:paraId="25B5DAEC" w14:textId="37065D92" w:rsidR="006D1FD1" w:rsidRDefault="006D1FD1" w:rsidP="00936764">
      <w:pPr>
        <w:pStyle w:val="Funotentext"/>
      </w:pPr>
      <w:r w:rsidRPr="007C1E45">
        <w:rPr>
          <w:rStyle w:val="Funotenzeichen"/>
        </w:rPr>
        <w:footnoteRef/>
      </w:r>
      <w:r w:rsidRPr="007C1E45">
        <w:t xml:space="preserve"> </w:t>
      </w:r>
      <w:r w:rsidRPr="000D0511">
        <w:t>Dürr</w:t>
      </w:r>
      <w:r>
        <w:t>, JuS 2007, 328, 331 f.</w:t>
      </w:r>
    </w:p>
  </w:footnote>
  <w:footnote w:id="123">
    <w:p w14:paraId="4C9C53FE" w14:textId="7A52DC63" w:rsidR="006D1FD1" w:rsidRDefault="006D1FD1" w:rsidP="00936764">
      <w:pPr>
        <w:pStyle w:val="Funotentext"/>
      </w:pPr>
      <w:r>
        <w:rPr>
          <w:rStyle w:val="Funotenzeichen"/>
        </w:rPr>
        <w:footnoteRef/>
      </w:r>
      <w:r>
        <w:t xml:space="preserve"> S. </w:t>
      </w:r>
      <w:hyperlink r:id="rId90" w:history="1">
        <w:r w:rsidRPr="003C7CAE">
          <w:rPr>
            <w:rStyle w:val="Hyperlink"/>
          </w:rPr>
          <w:t>Steengrafe, in: Eisentraut, Verwaltungsrecht in der Klausur, 2020, § 3 Rn. 149</w:t>
        </w:r>
      </w:hyperlink>
      <w:r>
        <w:t xml:space="preserve">; s. auch </w:t>
      </w:r>
      <w:r w:rsidRPr="000D0511">
        <w:t>Dürr</w:t>
      </w:r>
      <w:r>
        <w:t>, JuS 2007, 328, 332.</w:t>
      </w:r>
    </w:p>
  </w:footnote>
  <w:footnote w:id="124">
    <w:p w14:paraId="244F2352" w14:textId="77777777" w:rsidR="006D1FD1" w:rsidRPr="00CA0E66" w:rsidRDefault="006D1FD1" w:rsidP="00936764">
      <w:pPr>
        <w:pStyle w:val="Funotentext"/>
        <w:rPr>
          <w:rFonts w:cstheme="minorHAnsi"/>
        </w:rPr>
      </w:pPr>
      <w:r w:rsidRPr="001567B3">
        <w:rPr>
          <w:rStyle w:val="Funotenzeichen"/>
          <w:rFonts w:cstheme="minorHAnsi"/>
          <w:shd w:val="clear" w:color="auto" w:fill="FFFFFF" w:themeFill="background1"/>
        </w:rPr>
        <w:footnoteRef/>
      </w:r>
      <w:r w:rsidRPr="001567B3">
        <w:rPr>
          <w:i/>
        </w:rPr>
        <w:t xml:space="preserve"> </w:t>
      </w:r>
      <w:r w:rsidRPr="000D0511">
        <w:t>Langenfeld/Weisensee</w:t>
      </w:r>
      <w:r w:rsidRPr="001567B3">
        <w:t>, ZAR 2015, 132, 133.</w:t>
      </w:r>
    </w:p>
  </w:footnote>
  <w:footnote w:id="125">
    <w:p w14:paraId="0B0AD7C9" w14:textId="264A7E67" w:rsidR="006D1FD1" w:rsidRDefault="006D1FD1" w:rsidP="00936764">
      <w:pPr>
        <w:pStyle w:val="Funotentext"/>
      </w:pPr>
      <w:r>
        <w:rPr>
          <w:rStyle w:val="Funotenzeichen"/>
        </w:rPr>
        <w:footnoteRef/>
      </w:r>
      <w:r>
        <w:t xml:space="preserve"> </w:t>
      </w:r>
      <w:hyperlink r:id="rId91" w:history="1">
        <w:r>
          <w:rPr>
            <w:rStyle w:val="Hyperlink"/>
          </w:rPr>
          <w:t>VGH München Urt. v. 14.2.2018, Az.:</w:t>
        </w:r>
        <w:r w:rsidRPr="00677783">
          <w:rPr>
            <w:rStyle w:val="Hyperlink"/>
          </w:rPr>
          <w:t xml:space="preserve"> 9 BV16.1694</w:t>
        </w:r>
      </w:hyperlink>
      <w:r>
        <w:t xml:space="preserve"> Rn. 27.</w:t>
      </w:r>
    </w:p>
  </w:footnote>
  <w:footnote w:id="126">
    <w:p w14:paraId="3A04E913" w14:textId="344C7B79" w:rsidR="006D1FD1" w:rsidRDefault="006D1FD1" w:rsidP="00936764">
      <w:pPr>
        <w:pStyle w:val="Funotentext"/>
      </w:pPr>
      <w:r w:rsidRPr="004E606B">
        <w:rPr>
          <w:rStyle w:val="Funotenzeichen"/>
        </w:rPr>
        <w:footnoteRef/>
      </w:r>
      <w:r w:rsidRPr="004E606B">
        <w:t xml:space="preserve"> </w:t>
      </w:r>
      <w:hyperlink r:id="rId92" w:history="1">
        <w:r>
          <w:rPr>
            <w:rStyle w:val="Hyperlink"/>
          </w:rPr>
          <w:t xml:space="preserve">VGH München Urt. v. 14.2.2018, Az.: </w:t>
        </w:r>
        <w:r w:rsidRPr="00677783">
          <w:rPr>
            <w:rStyle w:val="Hyperlink"/>
          </w:rPr>
          <w:t>9 BV16.1694</w:t>
        </w:r>
      </w:hyperlink>
      <w:r>
        <w:t xml:space="preserve"> Rn. 27.</w:t>
      </w:r>
    </w:p>
  </w:footnote>
  <w:footnote w:id="127">
    <w:p w14:paraId="696E5A70" w14:textId="6C80336B" w:rsidR="006D1FD1" w:rsidRDefault="006D1FD1" w:rsidP="00936764">
      <w:pPr>
        <w:pStyle w:val="Funotentext"/>
      </w:pPr>
      <w:r w:rsidRPr="00D63F51">
        <w:rPr>
          <w:rStyle w:val="Funotenzeichen"/>
        </w:rPr>
        <w:footnoteRef/>
      </w:r>
      <w:r w:rsidRPr="00D63F51">
        <w:t xml:space="preserve"> </w:t>
      </w:r>
      <w:r>
        <w:t xml:space="preserve">Vgl. </w:t>
      </w:r>
      <w:hyperlink r:id="rId93" w:history="1">
        <w:r w:rsidRPr="00677783">
          <w:rPr>
            <w:rStyle w:val="Hyperlink"/>
          </w:rPr>
          <w:t>BR-Drs. 419/14, S. 6</w:t>
        </w:r>
      </w:hyperlink>
      <w:r>
        <w:t xml:space="preserve">; </w:t>
      </w:r>
      <w:hyperlink r:id="rId94" w:history="1">
        <w:r w:rsidRPr="00140032">
          <w:rPr>
            <w:rStyle w:val="Hyperlink"/>
          </w:rPr>
          <w:t>BT-Drs. 18/2752, S. 12</w:t>
        </w:r>
      </w:hyperlink>
      <w:r>
        <w:t xml:space="preserve">; s. auch </w:t>
      </w:r>
      <w:r w:rsidRPr="000D0511">
        <w:t>Langenfeld/Weisensee</w:t>
      </w:r>
      <w:r w:rsidRPr="001567B3">
        <w:t>, ZAR 2015, 132, 133.</w:t>
      </w:r>
    </w:p>
  </w:footnote>
  <w:footnote w:id="128">
    <w:p w14:paraId="4990610A" w14:textId="1744F065" w:rsidR="006D1FD1" w:rsidRDefault="006D1FD1" w:rsidP="00936764">
      <w:pPr>
        <w:pStyle w:val="Funotentext"/>
      </w:pPr>
      <w:r w:rsidRPr="00B143F3">
        <w:rPr>
          <w:rStyle w:val="Funotenzeichen"/>
        </w:rPr>
        <w:footnoteRef/>
      </w:r>
      <w:r w:rsidRPr="00B143F3">
        <w:t xml:space="preserve"> Zum ungeschriebenen Tatbestandsmerkmal der Gebietsverträglichkeit </w:t>
      </w:r>
      <w:r w:rsidRPr="000D0511">
        <w:t>Will</w:t>
      </w:r>
      <w:r>
        <w:t xml:space="preserve">, Öffentliches Baurecht, 2019, Rn. 363 ff.; </w:t>
      </w:r>
      <w:hyperlink r:id="rId95" w:history="1">
        <w:r w:rsidRPr="00124885">
          <w:rPr>
            <w:rStyle w:val="Hyperlink"/>
          </w:rPr>
          <w:t>BVerwG, Urt. v. 2.2.2012, Az</w:t>
        </w:r>
        <w:r>
          <w:rPr>
            <w:rStyle w:val="Hyperlink"/>
          </w:rPr>
          <w:t>.</w:t>
        </w:r>
        <w:r w:rsidRPr="00124885">
          <w:rPr>
            <w:rStyle w:val="Hyperlink"/>
          </w:rPr>
          <w:t>: 4 C 14.10</w:t>
        </w:r>
      </w:hyperlink>
      <w:r>
        <w:t xml:space="preserve"> = BVerwGE 142, 1, 5 f. = NVwZ 2012, 825, 826 f.</w:t>
      </w:r>
    </w:p>
  </w:footnote>
  <w:footnote w:id="129">
    <w:p w14:paraId="42E79B1E" w14:textId="77777777" w:rsidR="006D1FD1" w:rsidRDefault="006D1FD1" w:rsidP="00936764">
      <w:pPr>
        <w:pStyle w:val="Funotentext"/>
      </w:pPr>
      <w:r w:rsidRPr="00F51253">
        <w:rPr>
          <w:rStyle w:val="Funotenzeichen"/>
        </w:rPr>
        <w:footnoteRef/>
      </w:r>
      <w:r w:rsidRPr="00F51253">
        <w:t xml:space="preserve"> </w:t>
      </w:r>
      <w:r w:rsidRPr="000D0511">
        <w:t>Langenfeld/Weisensee</w:t>
      </w:r>
      <w:r w:rsidRPr="00F51253">
        <w:t>, ZAR 2015, 132, 134</w:t>
      </w:r>
      <w:r>
        <w:t xml:space="preserve"> f</w:t>
      </w:r>
      <w:r w:rsidRPr="00F51253">
        <w:t>.</w:t>
      </w:r>
    </w:p>
  </w:footnote>
  <w:footnote w:id="130">
    <w:p w14:paraId="4A36A99C" w14:textId="77777777" w:rsidR="006D1FD1" w:rsidRDefault="006D1FD1" w:rsidP="00936764">
      <w:pPr>
        <w:pStyle w:val="Funotentext"/>
      </w:pPr>
      <w:r w:rsidRPr="00612073">
        <w:rPr>
          <w:rStyle w:val="Funotenzeichen"/>
        </w:rPr>
        <w:footnoteRef/>
      </w:r>
      <w:r w:rsidRPr="00612073">
        <w:t xml:space="preserve"> Zum </w:t>
      </w:r>
      <w:r>
        <w:t>nicht unumstrittenen</w:t>
      </w:r>
      <w:r w:rsidRPr="00612073">
        <w:t xml:space="preserve"> Verhältnis von § 246 X-XII und § 31 II BauGB </w:t>
      </w:r>
      <w:r w:rsidRPr="000D0511">
        <w:t>Will</w:t>
      </w:r>
      <w:r w:rsidRPr="00612073">
        <w:t>, Öffent</w:t>
      </w:r>
      <w:r>
        <w:t>liches Baurecht, 2019, Rn. 400.</w:t>
      </w:r>
    </w:p>
  </w:footnote>
  <w:footnote w:id="131">
    <w:p w14:paraId="2E15AC1A" w14:textId="70246B28" w:rsidR="006D1FD1" w:rsidRDefault="006D1FD1" w:rsidP="00936764">
      <w:pPr>
        <w:pStyle w:val="Funotentext"/>
      </w:pPr>
      <w:r w:rsidRPr="00F56A2A">
        <w:rPr>
          <w:rStyle w:val="Funotenzeichen"/>
        </w:rPr>
        <w:footnoteRef/>
      </w:r>
      <w:r w:rsidRPr="00F56A2A">
        <w:t xml:space="preserve"> </w:t>
      </w:r>
      <w:hyperlink r:id="rId96" w:history="1">
        <w:r w:rsidRPr="00124885">
          <w:rPr>
            <w:rStyle w:val="Hyperlink"/>
          </w:rPr>
          <w:t>BVerwG, Urt. v. 27.2.2018, Az</w:t>
        </w:r>
        <w:r>
          <w:rPr>
            <w:rStyle w:val="Hyperlink"/>
          </w:rPr>
          <w:t>.</w:t>
        </w:r>
        <w:r w:rsidRPr="00124885">
          <w:rPr>
            <w:rStyle w:val="Hyperlink"/>
          </w:rPr>
          <w:t>: 4 B 39.17</w:t>
        </w:r>
      </w:hyperlink>
      <w:r>
        <w:t xml:space="preserve"> = </w:t>
      </w:r>
      <w:r w:rsidRPr="000C2DA2">
        <w:t>NVwZ 2018, 836</w:t>
      </w:r>
      <w:r>
        <w:t xml:space="preserve"> </w:t>
      </w:r>
      <w:r w:rsidRPr="00F56A2A">
        <w:t>Rn. 7 f.</w:t>
      </w:r>
    </w:p>
  </w:footnote>
  <w:footnote w:id="132">
    <w:p w14:paraId="1078208A" w14:textId="2038A886" w:rsidR="006D1FD1" w:rsidRDefault="006D1FD1" w:rsidP="00936764">
      <w:pPr>
        <w:pStyle w:val="Funotentext"/>
      </w:pPr>
      <w:r>
        <w:rPr>
          <w:rStyle w:val="Funotenzeichen"/>
        </w:rPr>
        <w:footnoteRef/>
      </w:r>
      <w:r>
        <w:t xml:space="preserve"> </w:t>
      </w:r>
      <w:hyperlink r:id="rId97" w:history="1">
        <w:r w:rsidRPr="004336F8">
          <w:rPr>
            <w:rStyle w:val="Hyperlink"/>
          </w:rPr>
          <w:t>VGH München Urt. v. 14.2.2018</w:t>
        </w:r>
        <w:r>
          <w:rPr>
            <w:rStyle w:val="Hyperlink"/>
          </w:rPr>
          <w:t xml:space="preserve">, Az.: </w:t>
        </w:r>
        <w:r w:rsidRPr="004336F8">
          <w:rPr>
            <w:rStyle w:val="Hyperlink"/>
          </w:rPr>
          <w:t>9 BV 16.1694</w:t>
        </w:r>
      </w:hyperlink>
      <w:r>
        <w:t xml:space="preserve"> Rn. 28 f.</w:t>
      </w:r>
    </w:p>
  </w:footnote>
  <w:footnote w:id="133">
    <w:p w14:paraId="6B84FF5C" w14:textId="2E499B91" w:rsidR="006D1FD1" w:rsidRDefault="006D1FD1" w:rsidP="00936764">
      <w:pPr>
        <w:pStyle w:val="Funotentext"/>
      </w:pPr>
      <w:r>
        <w:rPr>
          <w:rStyle w:val="Funotenzeichen"/>
        </w:rPr>
        <w:footnoteRef/>
      </w:r>
      <w:r>
        <w:t xml:space="preserve"> </w:t>
      </w:r>
      <w:hyperlink r:id="rId98" w:history="1">
        <w:r w:rsidRPr="004336F8">
          <w:rPr>
            <w:rStyle w:val="Hyperlink"/>
          </w:rPr>
          <w:t>VGH München Urt. v. 14.2.2018</w:t>
        </w:r>
        <w:r>
          <w:rPr>
            <w:rStyle w:val="Hyperlink"/>
          </w:rPr>
          <w:t xml:space="preserve">, </w:t>
        </w:r>
        <w:r w:rsidRPr="00EF0786">
          <w:rPr>
            <w:rStyle w:val="Hyperlink"/>
          </w:rPr>
          <w:t xml:space="preserve">Az.: </w:t>
        </w:r>
        <w:r w:rsidRPr="004336F8">
          <w:rPr>
            <w:rStyle w:val="Hyperlink"/>
          </w:rPr>
          <w:t>9 BV 16.1694</w:t>
        </w:r>
      </w:hyperlink>
      <w:r>
        <w:t xml:space="preserve"> Rn. 58.</w:t>
      </w:r>
    </w:p>
  </w:footnote>
  <w:footnote w:id="134">
    <w:p w14:paraId="68455339" w14:textId="05EE2C28" w:rsidR="006D1FD1" w:rsidRDefault="006D1FD1" w:rsidP="00936764">
      <w:pPr>
        <w:pStyle w:val="Funotentext"/>
      </w:pPr>
      <w:r>
        <w:rPr>
          <w:rStyle w:val="Funotenzeichen"/>
        </w:rPr>
        <w:footnoteRef/>
      </w:r>
      <w:r>
        <w:t xml:space="preserve"> </w:t>
      </w:r>
      <w:r w:rsidRPr="000D0511">
        <w:t>Blechschmidt</w:t>
      </w:r>
      <w:r w:rsidRPr="007C1E45">
        <w:t>, in: Ernst/Zinkahn/Bielenberg/Krautzberger, BauGB, 13</w:t>
      </w:r>
      <w:r>
        <w:t>3.</w:t>
      </w:r>
      <w:r w:rsidRPr="007C1E45">
        <w:t xml:space="preserve"> EL </w:t>
      </w:r>
      <w:r>
        <w:t>Mai 2019</w:t>
      </w:r>
      <w:r w:rsidRPr="007C1E45">
        <w:t xml:space="preserve">, § </w:t>
      </w:r>
      <w:r>
        <w:t>246 Rn, 59a.</w:t>
      </w:r>
    </w:p>
  </w:footnote>
  <w:footnote w:id="135">
    <w:p w14:paraId="469693A3" w14:textId="77777777" w:rsidR="006D1FD1" w:rsidRDefault="006D1FD1" w:rsidP="00936764">
      <w:pPr>
        <w:pStyle w:val="Funotentext"/>
      </w:pPr>
      <w:r>
        <w:rPr>
          <w:rStyle w:val="Funotenzeichen"/>
        </w:rPr>
        <w:footnoteRef/>
      </w:r>
      <w:r>
        <w:t xml:space="preserve"> </w:t>
      </w:r>
      <w:r w:rsidRPr="000D0511">
        <w:t>Dürr</w:t>
      </w:r>
      <w:r>
        <w:t>, JuS 2007, 328, 332.</w:t>
      </w:r>
    </w:p>
  </w:footnote>
  <w:footnote w:id="136">
    <w:p w14:paraId="19AABD91" w14:textId="582FCE6D" w:rsidR="006D1FD1" w:rsidRDefault="006D1FD1" w:rsidP="00936764">
      <w:pPr>
        <w:pStyle w:val="Funotentext"/>
      </w:pPr>
      <w:r>
        <w:rPr>
          <w:rStyle w:val="Funotenzeichen"/>
        </w:rPr>
        <w:footnoteRef/>
      </w:r>
      <w:r>
        <w:t xml:space="preserve"> Zur Spruchreife </w:t>
      </w:r>
      <w:hyperlink r:id="rId99" w:history="1">
        <w:r w:rsidRPr="003C7CAE">
          <w:rPr>
            <w:rStyle w:val="Hyperlink"/>
          </w:rPr>
          <w:t>Lemke, in: Eisentraut, Verwaltungsrecht in der Klausur, 2020, § 3 Rn. 48 ff., 52 ff., 80 ff., 83 f.</w:t>
        </w:r>
      </w:hyperlink>
      <w:r>
        <w:t xml:space="preserve">; s. auch </w:t>
      </w:r>
      <w:r w:rsidRPr="000D0511">
        <w:t>Schenke</w:t>
      </w:r>
      <w:r>
        <w:t>, Verwaltungsprozessrecht, 16. Aufl. 2019, Rn. 837 ff.</w:t>
      </w:r>
    </w:p>
  </w:footnote>
  <w:footnote w:id="137">
    <w:p w14:paraId="463725FD" w14:textId="77777777" w:rsidR="006D1FD1" w:rsidRDefault="006D1FD1" w:rsidP="00936764">
      <w:pPr>
        <w:pStyle w:val="Funotentext"/>
      </w:pPr>
      <w:r>
        <w:rPr>
          <w:rStyle w:val="Funotenzeichen"/>
        </w:rPr>
        <w:footnoteRef/>
      </w:r>
      <w:r>
        <w:t xml:space="preserve"> Allgemein zu § 31 II BauGB </w:t>
      </w:r>
      <w:r w:rsidRPr="000D0511">
        <w:t>Dürr</w:t>
      </w:r>
      <w:r>
        <w:t>, JuS 2007, 328, 330.</w:t>
      </w:r>
    </w:p>
  </w:footnote>
  <w:footnote w:id="138">
    <w:p w14:paraId="4CB92B3C" w14:textId="43A27AE6" w:rsidR="006D1FD1" w:rsidRDefault="006D1FD1" w:rsidP="00936764">
      <w:pPr>
        <w:pStyle w:val="Funotentext"/>
      </w:pPr>
      <w:r>
        <w:rPr>
          <w:rStyle w:val="Funotenzeichen"/>
        </w:rPr>
        <w:footnoteRef/>
      </w:r>
      <w:r>
        <w:t xml:space="preserve"> S. </w:t>
      </w:r>
      <w:hyperlink r:id="rId100" w:history="1">
        <w:r w:rsidRPr="003C7CAE">
          <w:rPr>
            <w:rStyle w:val="Hyperlink"/>
          </w:rPr>
          <w:t>Lemke, in: Eisentraut, Verwaltungsrecht in der Klausur, 2020, § 3 Rn. 14</w:t>
        </w:r>
      </w:hyperlink>
      <w:r>
        <w:t xml:space="preserve">; s. auch </w:t>
      </w:r>
      <w:r w:rsidRPr="000D0511">
        <w:t>Wittmann</w:t>
      </w:r>
      <w:r>
        <w:t>, JuS 2017, 842, 843.</w:t>
      </w:r>
    </w:p>
  </w:footnote>
  <w:footnote w:id="139">
    <w:p w14:paraId="76BC6BD8" w14:textId="776F320A" w:rsidR="006D1FD1" w:rsidRDefault="006D1FD1" w:rsidP="00936764">
      <w:pPr>
        <w:pStyle w:val="Funotentext"/>
      </w:pPr>
      <w:r>
        <w:rPr>
          <w:rStyle w:val="Funotenzeichen"/>
        </w:rPr>
        <w:footnoteRef/>
      </w:r>
      <w:r>
        <w:t xml:space="preserve"> S. </w:t>
      </w:r>
      <w:hyperlink r:id="rId101" w:history="1">
        <w:r w:rsidRPr="003C7CAE">
          <w:rPr>
            <w:rStyle w:val="Hyperlink"/>
          </w:rPr>
          <w:t>Lemke, in: Eisentraut, Verwaltungsrecht in der Klausur, 2020, § 3 Rn. 14</w:t>
        </w:r>
      </w:hyperlink>
      <w:r>
        <w:t xml:space="preserve">; vgl. auch </w:t>
      </w:r>
      <w:r w:rsidRPr="0006110A">
        <w:t>Wittmann</w:t>
      </w:r>
      <w:r>
        <w:t xml:space="preserve">, JuS 2017, 842 f.; </w:t>
      </w:r>
      <w:r w:rsidRPr="0006110A">
        <w:t>Ehlers</w:t>
      </w:r>
      <w:r>
        <w:t>, JURA 2004, 310, 315. – Die Klage ist bereits dann begründet, wenn kein zureichender Grund nach § 75 VwGO besteht.</w:t>
      </w:r>
      <w:r w:rsidRPr="00130E71">
        <w:rPr>
          <w:i/>
        </w:rPr>
        <w:t xml:space="preserve"> </w:t>
      </w:r>
    </w:p>
  </w:footnote>
  <w:footnote w:id="140">
    <w:p w14:paraId="04B5AE3D" w14:textId="75BACA9A" w:rsidR="006D1FD1" w:rsidRPr="002C6282" w:rsidRDefault="006D1FD1" w:rsidP="002C6282">
      <w:pPr>
        <w:pStyle w:val="Funotentext"/>
        <w:rPr>
          <w:rStyle w:val="Funotenanker"/>
          <w:vertAlign w:val="baseline"/>
        </w:rPr>
      </w:pPr>
      <w:r w:rsidRPr="002C6282">
        <w:rPr>
          <w:rStyle w:val="Funotenzeichen"/>
        </w:rPr>
        <w:footnoteRef/>
      </w:r>
      <w:r w:rsidRPr="002C6282">
        <w:rPr>
          <w:rStyle w:val="Funotenanker"/>
          <w:vertAlign w:val="baseline"/>
        </w:rPr>
        <w:t xml:space="preserve"> Seit </w:t>
      </w:r>
      <w:r>
        <w:rPr>
          <w:rStyle w:val="Funotenanker"/>
          <w:vertAlign w:val="baseline"/>
        </w:rPr>
        <w:t>dem 28.12.</w:t>
      </w:r>
      <w:r w:rsidRPr="002C6282">
        <w:rPr>
          <w:rStyle w:val="Funotenanker"/>
          <w:vertAlign w:val="baseline"/>
        </w:rPr>
        <w:t>2018 ist die Landeszentrale für Medien und Kommunikation die zuständige Aufsichtsbehörde. Für die Bearbeitung des Falls soll jedoch von der Zuständigkeit der ADD für die Durchsetzung der Bestimmungen für Telemedien des RStV mit Ausnahme des Jugendmedienschutzes ausgegangen werden.</w:t>
      </w:r>
    </w:p>
  </w:footnote>
  <w:footnote w:id="141">
    <w:p w14:paraId="4C9E377C" w14:textId="6935A0E2" w:rsidR="006D1FD1" w:rsidRDefault="006D1FD1" w:rsidP="00B855DA">
      <w:pPr>
        <w:pStyle w:val="Funotentext"/>
      </w:pPr>
      <w:r>
        <w:rPr>
          <w:rStyle w:val="Funotenzeichen"/>
        </w:rPr>
        <w:footnoteRef/>
      </w:r>
      <w:r>
        <w:t xml:space="preserve"> S. </w:t>
      </w:r>
      <w:hyperlink r:id="rId102" w:history="1">
        <w:r w:rsidRPr="00C87B0D">
          <w:rPr>
            <w:rStyle w:val="Hyperlink"/>
          </w:rPr>
          <w:t>Eisentraut, in: Eisentraut, Verwaltungsrecht in der Klausur, 2020, § 1 Rn. 171.</w:t>
        </w:r>
      </w:hyperlink>
    </w:p>
  </w:footnote>
  <w:footnote w:id="142">
    <w:p w14:paraId="12561163" w14:textId="4BA195A4" w:rsidR="006D1FD1" w:rsidRDefault="006D1FD1" w:rsidP="00FD1D5D">
      <w:pPr>
        <w:pStyle w:val="Funotentext"/>
      </w:pPr>
      <w:r>
        <w:rPr>
          <w:rStyle w:val="Funotenzeichen"/>
        </w:rPr>
        <w:footnoteRef/>
      </w:r>
      <w:r>
        <w:t xml:space="preserve"> S. </w:t>
      </w:r>
      <w:r w:rsidRPr="00865DFB">
        <w:t>R. P. Schenke</w:t>
      </w:r>
      <w:r>
        <w:t xml:space="preserve">, in: Kopp/Schenke, VwGO, 25. Aufl. 2019, § 42 Rn. 83 f.; </w:t>
      </w:r>
      <w:r w:rsidRPr="00865DFB">
        <w:t>W.-R. Schenke</w:t>
      </w:r>
      <w:r>
        <w:t xml:space="preserve">, Verwaltungsprozessrecht, 16. Aufl. 2019, </w:t>
      </w:r>
      <w:r w:rsidRPr="009F6C93">
        <w:t>Rn. 49</w:t>
      </w:r>
      <w:r>
        <w:t>8</w:t>
      </w:r>
      <w:r w:rsidRPr="009F6C93">
        <w:t xml:space="preserve"> ff.</w:t>
      </w:r>
    </w:p>
  </w:footnote>
  <w:footnote w:id="143">
    <w:p w14:paraId="0AE5CC06" w14:textId="40FE195E" w:rsidR="006D1FD1" w:rsidRDefault="006D1FD1" w:rsidP="00FD1D5D">
      <w:pPr>
        <w:pStyle w:val="Funotentext"/>
      </w:pPr>
      <w:r>
        <w:rPr>
          <w:rStyle w:val="Funotenzeichen"/>
        </w:rPr>
        <w:footnoteRef/>
      </w:r>
      <w:r>
        <w:t xml:space="preserve"> S.</w:t>
      </w:r>
      <w:r w:rsidRPr="00E958EF">
        <w:t xml:space="preserve"> </w:t>
      </w:r>
      <w:hyperlink r:id="rId103" w:history="1">
        <w:r w:rsidRPr="003C7CAE">
          <w:rPr>
            <w:rStyle w:val="Hyperlink"/>
          </w:rPr>
          <w:t>Eisentraut, in: Eisentraut, Verwaltungsrecht in der Klausur, 2020, § 3 Rn. 122 ff.</w:t>
        </w:r>
      </w:hyperlink>
      <w:r>
        <w:t xml:space="preserve"> sowie </w:t>
      </w:r>
      <w:r w:rsidRPr="00C46B50">
        <w:t>W.-R. Schenke</w:t>
      </w:r>
      <w:r>
        <w:t>, Polizei und Or</w:t>
      </w:r>
      <w:r w:rsidRPr="00142DB0">
        <w:t xml:space="preserve">dnungsrecht, 10. Aufl. 2018, </w:t>
      </w:r>
      <w:r>
        <w:t>Rn. 104.</w:t>
      </w:r>
    </w:p>
  </w:footnote>
  <w:footnote w:id="144">
    <w:p w14:paraId="2CD0B97A" w14:textId="420F6B64" w:rsidR="006D1FD1" w:rsidRDefault="006D1FD1" w:rsidP="00FD1D5D">
      <w:pPr>
        <w:pStyle w:val="Funotentext"/>
      </w:pPr>
      <w:r>
        <w:rPr>
          <w:rStyle w:val="Funotenzeichen"/>
        </w:rPr>
        <w:footnoteRef/>
      </w:r>
      <w:r>
        <w:t xml:space="preserve"> </w:t>
      </w:r>
      <w:r w:rsidRPr="00C46B50">
        <w:t>Schulz</w:t>
      </w:r>
      <w:r>
        <w:t>, in: Binder/Vesting, Beck’scher Kommentar zum Rundfunkrecht, 4. Aufl. 2018, § 59 RStV Rn. 44, 47.</w:t>
      </w:r>
    </w:p>
  </w:footnote>
  <w:footnote w:id="145">
    <w:p w14:paraId="5E68591B" w14:textId="4BB98713" w:rsidR="006D1FD1" w:rsidRDefault="006D1FD1" w:rsidP="00FD1D5D">
      <w:pPr>
        <w:pStyle w:val="Funotentext"/>
      </w:pPr>
      <w:r>
        <w:rPr>
          <w:rStyle w:val="Funotenzeichen"/>
        </w:rPr>
        <w:footnoteRef/>
      </w:r>
      <w:r>
        <w:t xml:space="preserve"> </w:t>
      </w:r>
      <w:r w:rsidRPr="00C46B50">
        <w:t>Bier/Steinbeiß-Winkelmann</w:t>
      </w:r>
      <w:r>
        <w:t xml:space="preserve">, in: Schoch/Schneider/Bier, VwGO, 36. EL Februar 2019, § 60 Rn. 66; </w:t>
      </w:r>
      <w:r w:rsidRPr="00C46B50">
        <w:t>W.-R. Schenke</w:t>
      </w:r>
      <w:r>
        <w:t>,</w:t>
      </w:r>
      <w:r w:rsidRPr="0089764E">
        <w:t xml:space="preserve"> in</w:t>
      </w:r>
      <w:r>
        <w:t>:</w:t>
      </w:r>
      <w:r w:rsidRPr="0089764E">
        <w:t xml:space="preserve"> Kopp/Schenke</w:t>
      </w:r>
      <w:r>
        <w:t xml:space="preserve"> VwGO, 25. Aufl. 2019, § 60 </w:t>
      </w:r>
      <w:r w:rsidRPr="0089764E">
        <w:t>Rn. 24</w:t>
      </w:r>
      <w:r>
        <w:t>.</w:t>
      </w:r>
    </w:p>
  </w:footnote>
  <w:footnote w:id="146">
    <w:p w14:paraId="06BC0CED" w14:textId="76D214C7" w:rsidR="006D1FD1" w:rsidRPr="00842299" w:rsidRDefault="006D1FD1" w:rsidP="00B855DA">
      <w:pPr>
        <w:pStyle w:val="Funotentext"/>
      </w:pPr>
      <w:r>
        <w:rPr>
          <w:rStyle w:val="Funotenzeichen"/>
        </w:rPr>
        <w:footnoteRef/>
      </w:r>
      <w:r>
        <w:t xml:space="preserve"> </w:t>
      </w:r>
      <w:r w:rsidRPr="00842299">
        <w:rPr>
          <w:rStyle w:val="Hyperlink"/>
        </w:rPr>
        <w:t>BVerwG, Urt. v. 8.3.1983, Az.: 1 C 34/80</w:t>
      </w:r>
      <w:r w:rsidRPr="00842299">
        <w:t xml:space="preserve"> = NJW 1983, 1923 (1923 f.); </w:t>
      </w:r>
      <w:r w:rsidRPr="00842299">
        <w:rPr>
          <w:rStyle w:val="Hyperlink"/>
        </w:rPr>
        <w:t>Urt. v. 9.12.1988, Az.: 8 C 38/86</w:t>
      </w:r>
      <w:r w:rsidRPr="00842299">
        <w:t xml:space="preserve"> = NVwZ 1989, 648 (650); </w:t>
      </w:r>
      <w:r w:rsidRPr="00842299">
        <w:rPr>
          <w:rStyle w:val="Hyperlink"/>
        </w:rPr>
        <w:t>Beschl. v. 14. 9. 1998, Az.: 8 B 154–98</w:t>
      </w:r>
      <w:r w:rsidRPr="00842299">
        <w:t xml:space="preserve"> = NVwZ-RR 1999, 538 (539); Dolde/Porsch, in: Schoch/Schneider/Bier, VwGO, 36. EL Februar 2019, § 70 Rn. 33; W.-R. Schenke, in: Kopp/Schenke, VwGO, 2</w:t>
      </w:r>
      <w:r>
        <w:t>5</w:t>
      </w:r>
      <w:r w:rsidRPr="00842299">
        <w:t>. Aufl. 201</w:t>
      </w:r>
      <w:r>
        <w:t>9</w:t>
      </w:r>
      <w:r w:rsidRPr="00842299">
        <w:t xml:space="preserve">, § 70 Rn. 13; a.A.: </w:t>
      </w:r>
      <w:r w:rsidRPr="00842299">
        <w:rPr>
          <w:rStyle w:val="Hyperlink"/>
        </w:rPr>
        <w:t>VGH Mannheim, Urt. v. 3.10.1972, Az.: V 134/72</w:t>
      </w:r>
      <w:r w:rsidRPr="00842299">
        <w:t xml:space="preserve"> = NJW 1973, 273.</w:t>
      </w:r>
    </w:p>
  </w:footnote>
  <w:footnote w:id="147">
    <w:p w14:paraId="584C3E71" w14:textId="5EA43E66" w:rsidR="006D1FD1" w:rsidRDefault="006D1FD1">
      <w:pPr>
        <w:pStyle w:val="Funotentext"/>
      </w:pPr>
      <w:r w:rsidRPr="00842299">
        <w:rPr>
          <w:rStyle w:val="Funotenzeichen"/>
        </w:rPr>
        <w:footnoteRef/>
      </w:r>
      <w:r w:rsidRPr="00842299">
        <w:t xml:space="preserve"> </w:t>
      </w:r>
      <w:r>
        <w:t>S</w:t>
      </w:r>
      <w:r w:rsidRPr="00842299">
        <w:t>. zum Strei</w:t>
      </w:r>
      <w:r>
        <w:t>t</w:t>
      </w:r>
      <w:r w:rsidRPr="00842299">
        <w:t>stand</w:t>
      </w:r>
      <w:r>
        <w:t xml:space="preserve"> </w:t>
      </w:r>
      <w:hyperlink r:id="rId104" w:history="1">
        <w:r w:rsidRPr="00144A4A">
          <w:rPr>
            <w:rStyle w:val="Hyperlink"/>
          </w:rPr>
          <w:t>Creemers, in: Eisentraut, Verwaltungsrecht in der Klausur, 2020, § 2 Rn. 4</w:t>
        </w:r>
        <w:r>
          <w:rPr>
            <w:rStyle w:val="Hyperlink"/>
          </w:rPr>
          <w:t>16</w:t>
        </w:r>
        <w:r w:rsidRPr="00144A4A">
          <w:rPr>
            <w:rStyle w:val="Hyperlink"/>
          </w:rPr>
          <w:t> ff.</w:t>
        </w:r>
      </w:hyperlink>
    </w:p>
  </w:footnote>
  <w:footnote w:id="148">
    <w:p w14:paraId="05D8023A" w14:textId="37986358" w:rsidR="006D1FD1" w:rsidRDefault="006D1FD1" w:rsidP="00FD1D5D">
      <w:pPr>
        <w:pStyle w:val="Funotentext"/>
      </w:pPr>
      <w:r>
        <w:rPr>
          <w:rStyle w:val="Funotenzeichen"/>
        </w:rPr>
        <w:footnoteRef/>
      </w:r>
      <w:r>
        <w:t xml:space="preserve"> J könnte nach § 62 I Nr. 2 VwGO prozessfähig sein, wenn aus ihrer Grundrechtsmündigkeit eine entsprechende Prozessfähigkeit abgeleitet wird, dafür: </w:t>
      </w:r>
      <w:hyperlink r:id="rId105" w:history="1">
        <w:r w:rsidRPr="000A4EE4">
          <w:rPr>
            <w:rStyle w:val="Hyperlink"/>
          </w:rPr>
          <w:t>Creemers, in: Eisentraut, Verwaltungsrecht in der Klausur, 2020, § 2 Rn. 437</w:t>
        </w:r>
      </w:hyperlink>
      <w:r w:rsidRPr="000A4EE4">
        <w:t xml:space="preserve"> </w:t>
      </w:r>
      <w:r>
        <w:t xml:space="preserve">sowie </w:t>
      </w:r>
      <w:r w:rsidRPr="00C46B50">
        <w:t>Bier/Steinbeiß-Winkelmann</w:t>
      </w:r>
      <w:r>
        <w:t>, in: Schoch/Schneider/Bier, VwGO, 36. EL Februar 2019, § 62 Rn. 10. Hierauf kommt es jedoch nicht an, da J wirksam von ihren Eltern vertreten wurde.</w:t>
      </w:r>
    </w:p>
  </w:footnote>
  <w:footnote w:id="149">
    <w:p w14:paraId="4ADA1CAC" w14:textId="65B6C42E" w:rsidR="006D1FD1" w:rsidRDefault="006D1FD1" w:rsidP="00FD1D5D">
      <w:pPr>
        <w:pStyle w:val="Funotentext"/>
      </w:pPr>
      <w:r>
        <w:rPr>
          <w:rStyle w:val="Funotenzeichen"/>
        </w:rPr>
        <w:footnoteRef/>
      </w:r>
      <w:r>
        <w:t xml:space="preserve"> </w:t>
      </w:r>
      <w:hyperlink r:id="rId106" w:history="1">
        <w:r w:rsidRPr="00AF39C2">
          <w:rPr>
            <w:rStyle w:val="Hyperlink"/>
          </w:rPr>
          <w:t>VGH Mannheim, Beschl. v. 21.7.2014, A</w:t>
        </w:r>
        <w:r>
          <w:rPr>
            <w:rStyle w:val="Hyperlink"/>
          </w:rPr>
          <w:t>z.</w:t>
        </w:r>
        <w:r w:rsidRPr="00AF39C2">
          <w:rPr>
            <w:rStyle w:val="Hyperlink"/>
          </w:rPr>
          <w:t>: 10 S 1663/11</w:t>
        </w:r>
      </w:hyperlink>
      <w:r w:rsidRPr="000F3535">
        <w:t>;</w:t>
      </w:r>
      <w:r>
        <w:t xml:space="preserve"> </w:t>
      </w:r>
      <w:r w:rsidRPr="00953FA5">
        <w:t>Kintz</w:t>
      </w:r>
      <w:r>
        <w:t xml:space="preserve">, in: Posser/Wolff, VwGO; 50. Ed., Stand: 1.7.2019, § 65 Rn. 16; </w:t>
      </w:r>
      <w:r w:rsidRPr="00953FA5">
        <w:t>Bier</w:t>
      </w:r>
      <w:r>
        <w:t>, in: Schoch/Schneider/Bier, VwGO, 36. EL Februar 2019, § 65 Rn. 22.</w:t>
      </w:r>
    </w:p>
  </w:footnote>
  <w:footnote w:id="150">
    <w:p w14:paraId="77F27E62" w14:textId="21EC969D" w:rsidR="006D1FD1" w:rsidRDefault="006D1FD1" w:rsidP="00B855DA">
      <w:pPr>
        <w:pStyle w:val="Funotentext"/>
      </w:pPr>
      <w:r>
        <w:rPr>
          <w:rStyle w:val="Funotenzeichen"/>
        </w:rPr>
        <w:footnoteRef/>
      </w:r>
      <w:r>
        <w:t xml:space="preserve"> S. dazu </w:t>
      </w:r>
      <w:hyperlink r:id="rId107" w:history="1">
        <w:r w:rsidRPr="003C7CAE">
          <w:rPr>
            <w:rStyle w:val="Hyperlink"/>
          </w:rPr>
          <w:t>Lemke, in: Eisentraut, Verwaltungsrecht in der Klausur, 2020, § 3 Rn. 58 ff.</w:t>
        </w:r>
      </w:hyperlink>
    </w:p>
  </w:footnote>
  <w:footnote w:id="151">
    <w:p w14:paraId="2C8AD5C4" w14:textId="4AFD85FE" w:rsidR="006D1FD1" w:rsidRDefault="006D1FD1" w:rsidP="00FD1D5D">
      <w:pPr>
        <w:pStyle w:val="Funotentext"/>
      </w:pPr>
      <w:r>
        <w:rPr>
          <w:rStyle w:val="Funotenzeichen"/>
        </w:rPr>
        <w:footnoteRef/>
      </w:r>
      <w:r>
        <w:t xml:space="preserve"> Es wird angenommen</w:t>
      </w:r>
      <w:r w:rsidRPr="001E25A1">
        <w:t>, dass es sich beim Ausschluss des gesamten § 54 RStV in § 59 III RStV um ein in der Anwendung zu berichtigendes Redaktionsversehen des Gesetzgebers handelt und Eingriffsbefugnisse der Aufsichtsbehörde nur bei Verstößen gegen § 54 II und III RStV ausgeschlossen sein sollten</w:t>
      </w:r>
      <w:r>
        <w:t xml:space="preserve"> (so </w:t>
      </w:r>
      <w:hyperlink r:id="rId108" w:history="1">
        <w:r w:rsidRPr="00316EA5">
          <w:rPr>
            <w:rStyle w:val="Hyperlink"/>
          </w:rPr>
          <w:t>VG Gelsenkirchen, Urt. v. 20.11.2007, A</w:t>
        </w:r>
        <w:r>
          <w:rPr>
            <w:rStyle w:val="Hyperlink"/>
          </w:rPr>
          <w:t>z.</w:t>
        </w:r>
        <w:r w:rsidRPr="00316EA5">
          <w:rPr>
            <w:rStyle w:val="Hyperlink"/>
          </w:rPr>
          <w:t>: 14 K 171/07</w:t>
        </w:r>
      </w:hyperlink>
      <w:r>
        <w:t xml:space="preserve"> = ZUM-RD 2008, 377 (380 ff.); </w:t>
      </w:r>
      <w:r w:rsidRPr="00953FA5">
        <w:t>Volkmann</w:t>
      </w:r>
      <w:r>
        <w:t xml:space="preserve">, in: Spindler/Schuster, Recht der elektronischen Medien, 4. Aufl. 2019, § 59 RStV Rn. 31; </w:t>
      </w:r>
      <w:r w:rsidRPr="00953FA5">
        <w:t>Schulz</w:t>
      </w:r>
      <w:r>
        <w:t>, in: Binder/Vesting Beck’scher Kommentar zum Rundfunkrecht, 4. Aufl. 2018, § 59 RStV Rn. 42)</w:t>
      </w:r>
      <w:r w:rsidRPr="001E25A1">
        <w:t>. Hierfür spricht, dass die Rechtslage nach § 22 II des altem MDStV, nach dem nur Verstöße gegen die § 54 II und III RStV entsprechenden Normen und gerade nicht Verstöße gegen allgemeine Gesetze und gesetzliche Bestimmungen zum Schutz der persönlichen Ehre von der Aufsichtsbefugnis ausgenommen waren, mit Einführung des § 59 RStV nicht geändert werden sollte. Allerdings hat der Gesetzgeber reagiert, indem er § 59 III 7 RStV erlassen hat, wonach Befugnisse der Aufsichtsbehörde zur Durchsetzung der Vorschriften der allgemeinen Gesetze und der gesetzlichen Bestimmungen zum Schutz der persönlichen Ehre von § 59 III RStV unberührt bleiben. Daraus lässt sich schließen, dass die Durchsetzung dieser Vorschriften gerade nicht nach § 59 RStV, sondern nach dem allgemeinen Ordnungsrecht, erfolgen soll</w:t>
      </w:r>
      <w:r>
        <w:t xml:space="preserve"> (</w:t>
      </w:r>
      <w:hyperlink r:id="rId109" w:history="1">
        <w:r w:rsidRPr="00B74E52">
          <w:rPr>
            <w:rStyle w:val="Hyperlink"/>
          </w:rPr>
          <w:t>VG Düsseldorf, Urt. v. 24.6.2014, A</w:t>
        </w:r>
        <w:r>
          <w:rPr>
            <w:rStyle w:val="Hyperlink"/>
          </w:rPr>
          <w:t>z.</w:t>
        </w:r>
        <w:r w:rsidRPr="00B74E52">
          <w:rPr>
            <w:rStyle w:val="Hyperlink"/>
          </w:rPr>
          <w:t>: 27 K 7499/13</w:t>
        </w:r>
      </w:hyperlink>
      <w:r>
        <w:t xml:space="preserve"> = MMR 2015, 352 (353); </w:t>
      </w:r>
      <w:r w:rsidRPr="00633F90">
        <w:t>Kniesel/Braun/Keller</w:t>
      </w:r>
      <w:r>
        <w:t xml:space="preserve">, Besonderes Polizei und Ordnungsrecht, 2018, 3. Teil 2. Kapitel Rn. 1737). </w:t>
      </w:r>
      <w:r>
        <w:rPr>
          <w:rFonts w:eastAsia="Times New Roman" w:cs="Times New Roman"/>
          <w:color w:val="000000"/>
          <w:szCs w:val="24"/>
          <w:shd w:val="clear" w:color="auto" w:fill="FFFFFF"/>
          <w:lang w:eastAsia="en-GB"/>
        </w:rPr>
        <w:t>Laut der Begründung zum 10. Rundfunkänderungsstaatsvertrag sollen sich die Befugnisse der Aufsichtsbehörden zur Durchsetzung der allgemeinen Gesetze nach den dort genannten Regelungen richten und keine eigene rundfunkvertragliche Ermächtigungsgrundlage geschaffen werden (</w:t>
      </w:r>
      <w:r>
        <w:t xml:space="preserve">s. </w:t>
      </w:r>
      <w:hyperlink r:id="rId110" w:history="1">
        <w:r w:rsidRPr="00B855DA">
          <w:rPr>
            <w:rStyle w:val="Hyperlink"/>
          </w:rPr>
          <w:t>http://www.urheberrecht.org/law/normen/rstv/RStV-10/materialien/</w:t>
        </w:r>
      </w:hyperlink>
      <w:r>
        <w:t>).</w:t>
      </w:r>
    </w:p>
  </w:footnote>
  <w:footnote w:id="152">
    <w:p w14:paraId="65378D87" w14:textId="1E436635" w:rsidR="006D1FD1" w:rsidRDefault="006D1FD1" w:rsidP="00FD1D5D">
      <w:pPr>
        <w:pStyle w:val="Funotentext"/>
      </w:pPr>
      <w:r>
        <w:rPr>
          <w:rStyle w:val="Funotenzeichen"/>
        </w:rPr>
        <w:footnoteRef/>
      </w:r>
      <w:r>
        <w:t xml:space="preserve"> </w:t>
      </w:r>
      <w:r w:rsidRPr="0006316E">
        <w:t>Schenke</w:t>
      </w:r>
      <w:r>
        <w:t>, Polizei- und Ordnungsrecht, 8. Aufl. 2013, Rn. 387.</w:t>
      </w:r>
    </w:p>
  </w:footnote>
  <w:footnote w:id="153">
    <w:p w14:paraId="1F3D5F45" w14:textId="2702D255" w:rsidR="006D1FD1" w:rsidRDefault="006D1FD1" w:rsidP="00FD1D5D">
      <w:pPr>
        <w:pStyle w:val="Funotentext"/>
      </w:pPr>
      <w:r>
        <w:rPr>
          <w:rStyle w:val="Funotenzeichen"/>
        </w:rPr>
        <w:footnoteRef/>
      </w:r>
      <w:r>
        <w:t xml:space="preserve"> </w:t>
      </w:r>
      <w:hyperlink r:id="rId111" w:history="1">
        <w:r w:rsidRPr="00B855DA">
          <w:rPr>
            <w:rStyle w:val="Hyperlink"/>
          </w:rPr>
          <w:t>http://www.urheberrecht.org/law/normen/rstv/RStV-10/materialien/</w:t>
        </w:r>
      </w:hyperlink>
      <w:r>
        <w:t>;</w:t>
      </w:r>
    </w:p>
    <w:p w14:paraId="107C8AC6" w14:textId="77777777" w:rsidR="006D1FD1" w:rsidRDefault="006D1FD1" w:rsidP="00FD1D5D">
      <w:pPr>
        <w:pStyle w:val="Funotentext"/>
      </w:pPr>
      <w:r w:rsidRPr="00633F90">
        <w:t>Kniesel/Braun/Keller</w:t>
      </w:r>
      <w:r>
        <w:t>, Besonderes Polizei und Ordnungsrecht, 2018, 3. Teil 2. Kapitel Rn. 1730, 1737.</w:t>
      </w:r>
    </w:p>
  </w:footnote>
  <w:footnote w:id="154">
    <w:p w14:paraId="14E483F5" w14:textId="0C0D6C1C" w:rsidR="006D1FD1" w:rsidRDefault="006D1FD1" w:rsidP="00FD1D5D">
      <w:pPr>
        <w:pStyle w:val="Funotentext"/>
      </w:pPr>
      <w:r>
        <w:rPr>
          <w:rStyle w:val="Funotenzeichen"/>
        </w:rPr>
        <w:footnoteRef/>
      </w:r>
      <w:r>
        <w:t xml:space="preserve"> </w:t>
      </w:r>
      <w:hyperlink r:id="rId112" w:history="1">
        <w:r w:rsidRPr="00B74E52">
          <w:rPr>
            <w:rStyle w:val="Hyperlink"/>
          </w:rPr>
          <w:t>VG Düsseldorf, Urt. v. 24.6.2014, A</w:t>
        </w:r>
        <w:r>
          <w:rPr>
            <w:rStyle w:val="Hyperlink"/>
          </w:rPr>
          <w:t>z.</w:t>
        </w:r>
        <w:r w:rsidRPr="00B74E52">
          <w:rPr>
            <w:rStyle w:val="Hyperlink"/>
          </w:rPr>
          <w:t>: 27 K 7499/13</w:t>
        </w:r>
      </w:hyperlink>
      <w:r>
        <w:t xml:space="preserve"> = MMR 2015, 352 (353); </w:t>
      </w:r>
      <w:r w:rsidRPr="00633F90">
        <w:t>Kniesel/Braun/Keller</w:t>
      </w:r>
      <w:r>
        <w:t>, Besonderes Polizei und Ordnungsrecht, 2018, 3. Teil 2. Kapitel Rn. 1730, 1737.</w:t>
      </w:r>
    </w:p>
  </w:footnote>
  <w:footnote w:id="155">
    <w:p w14:paraId="1DA7000F" w14:textId="3378CC29" w:rsidR="006D1FD1" w:rsidRDefault="006D1FD1" w:rsidP="00FD1D5D">
      <w:pPr>
        <w:pStyle w:val="Funotentext"/>
      </w:pPr>
      <w:r>
        <w:rPr>
          <w:rStyle w:val="Funotenzeichen"/>
        </w:rPr>
        <w:footnoteRef/>
      </w:r>
      <w:r>
        <w:t xml:space="preserve"> Zur Privatrechtsklausel im Polizei- und Ordnungsrecht s. auch </w:t>
      </w:r>
      <w:hyperlink r:id="rId113" w:history="1">
        <w:r w:rsidRPr="00144A4A">
          <w:rPr>
            <w:rStyle w:val="Hyperlink"/>
          </w:rPr>
          <w:t>Eisentraut, in: Eisentraut, Verwaltungsrecht in der Klausur, 2020, § 2 Rn. 1068</w:t>
        </w:r>
      </w:hyperlink>
      <w:r>
        <w:t>.</w:t>
      </w:r>
    </w:p>
  </w:footnote>
  <w:footnote w:id="156">
    <w:p w14:paraId="2AB9FFD0" w14:textId="77777777" w:rsidR="006D1FD1" w:rsidRDefault="006D1FD1" w:rsidP="00FD1D5D">
      <w:pPr>
        <w:pStyle w:val="Funotentext"/>
      </w:pPr>
      <w:r>
        <w:rPr>
          <w:rStyle w:val="Funotenzeichen"/>
        </w:rPr>
        <w:footnoteRef/>
      </w:r>
      <w:r>
        <w:t xml:space="preserve"> </w:t>
      </w:r>
      <w:r w:rsidRPr="0006316E">
        <w:t>Schoch</w:t>
      </w:r>
      <w:r>
        <w:t>, Jura 2013, 468 (469 f.).</w:t>
      </w:r>
    </w:p>
  </w:footnote>
  <w:footnote w:id="157">
    <w:p w14:paraId="3C97A987" w14:textId="745A2C90" w:rsidR="006D1FD1" w:rsidRDefault="006D1FD1" w:rsidP="00FD1D5D">
      <w:pPr>
        <w:pStyle w:val="Funotentext"/>
      </w:pPr>
      <w:r>
        <w:rPr>
          <w:rStyle w:val="Funotenzeichen"/>
        </w:rPr>
        <w:footnoteRef/>
      </w:r>
      <w:r>
        <w:t xml:space="preserve"> </w:t>
      </w:r>
      <w:r w:rsidRPr="0006316E">
        <w:t>Kniesel/Braun/Keller</w:t>
      </w:r>
      <w:r>
        <w:t>,</w:t>
      </w:r>
      <w:r w:rsidRPr="000F0262">
        <w:t xml:space="preserve"> Besonderes Polizei und Ordnungsrecht</w:t>
      </w:r>
      <w:r>
        <w:t>, 2018,</w:t>
      </w:r>
      <w:r w:rsidRPr="000F0262">
        <w:t xml:space="preserve"> 3. Teil 2. Kapitel Rn. </w:t>
      </w:r>
      <w:r>
        <w:t xml:space="preserve">1745; </w:t>
      </w:r>
      <w:r w:rsidRPr="0006316E">
        <w:t>Ruthig</w:t>
      </w:r>
      <w:r>
        <w:t xml:space="preserve">, in: Hufen/Jutzi/Proelß, Landesrecht Rheinland-Pfalz, 8. Aufl. 2018, § 4 Polizei- und Ordnungsrecht Rn. 32; </w:t>
      </w:r>
      <w:r w:rsidRPr="0006316E">
        <w:t>Pieroth/Schlink/Kniesel/Kingreen/Poscher</w:t>
      </w:r>
      <w:r>
        <w:t xml:space="preserve">, Polizei- und Ordnungsrecht, 10. Aufl. 2018, § 3 Rn. 41 ff.; zweifelnd: </w:t>
      </w:r>
      <w:r w:rsidRPr="0006316E">
        <w:t>Muckel</w:t>
      </w:r>
      <w:r>
        <w:t>,</w:t>
      </w:r>
      <w:r w:rsidRPr="00616612">
        <w:rPr>
          <w:i/>
        </w:rPr>
        <w:t xml:space="preserve"> </w:t>
      </w:r>
      <w:r>
        <w:t>Fälle zum Besonderen Verwaltungsrecht, 7. Aufl. 2019, S. 140 f.</w:t>
      </w:r>
    </w:p>
  </w:footnote>
  <w:footnote w:id="158">
    <w:p w14:paraId="214F6727" w14:textId="19055313" w:rsidR="006D1FD1" w:rsidRDefault="006D1FD1" w:rsidP="00FD1D5D">
      <w:pPr>
        <w:pStyle w:val="Funotentext"/>
      </w:pPr>
      <w:r>
        <w:rPr>
          <w:rStyle w:val="Funotenzeichen"/>
        </w:rPr>
        <w:footnoteRef/>
      </w:r>
      <w:r>
        <w:t xml:space="preserve"> </w:t>
      </w:r>
      <w:r w:rsidRPr="0006316E">
        <w:t>Schulz</w:t>
      </w:r>
      <w:r>
        <w:t xml:space="preserve">, in: Binder/Vesting, Beck’scher Kommentar zum Rundfunkrecht, 4. Aufl. 2018, § 59 RStV Rn. 75; a.A. </w:t>
      </w:r>
      <w:r w:rsidRPr="0006316E">
        <w:t>Fiedler</w:t>
      </w:r>
      <w:r>
        <w:t>, in: Beck’scher Onlinekommentar zum Informations- und Medienrecht, 25. Ed. 2019, § 59 RStV Rn. 40.</w:t>
      </w:r>
    </w:p>
  </w:footnote>
  <w:footnote w:id="159">
    <w:p w14:paraId="7E35051A" w14:textId="45121C98" w:rsidR="006D1FD1" w:rsidRDefault="006D1FD1" w:rsidP="00FD1D5D">
      <w:pPr>
        <w:pStyle w:val="Funotentext"/>
      </w:pPr>
      <w:r>
        <w:rPr>
          <w:rStyle w:val="Funotenzeichen"/>
        </w:rPr>
        <w:footnoteRef/>
      </w:r>
      <w:r>
        <w:t xml:space="preserve"> Diesen Weg wählt z.B. </w:t>
      </w:r>
      <w:r w:rsidRPr="0006316E">
        <w:t>Wernsmann</w:t>
      </w:r>
      <w:r>
        <w:t>, JuS 2002, 582 (583); ein entsprechendes Vorgehen schlägt auch Thiel, Polizei- und Ordnungsrecht, 3. Aufl. 2016, § 4 Rn. 28 vor.</w:t>
      </w:r>
    </w:p>
  </w:footnote>
  <w:footnote w:id="160">
    <w:p w14:paraId="5311B0A7" w14:textId="45ADA6B8" w:rsidR="006D1FD1" w:rsidRDefault="006D1FD1" w:rsidP="00FD1D5D">
      <w:pPr>
        <w:pStyle w:val="Funotentext"/>
      </w:pPr>
      <w:r>
        <w:rPr>
          <w:rStyle w:val="Funotenzeichen"/>
        </w:rPr>
        <w:footnoteRef/>
      </w:r>
      <w:r>
        <w:t xml:space="preserve"> S. näher </w:t>
      </w:r>
      <w:hyperlink r:id="rId114" w:history="1">
        <w:r w:rsidRPr="00144A4A">
          <w:rPr>
            <w:rStyle w:val="Hyperlink"/>
          </w:rPr>
          <w:t>Eisentraut, in: Eisentraut, Verwaltungsrecht in der Klausur, 2020, § 2 Rn. 1087</w:t>
        </w:r>
      </w:hyperlink>
      <w:r>
        <w:t xml:space="preserve"> sowie </w:t>
      </w:r>
      <w:r w:rsidRPr="0006316E">
        <w:t>Schoch</w:t>
      </w:r>
      <w:r>
        <w:t>, Jura 2013, 468 (468).</w:t>
      </w:r>
    </w:p>
  </w:footnote>
  <w:footnote w:id="161">
    <w:p w14:paraId="68B2DA65" w14:textId="77777777" w:rsidR="006D1FD1" w:rsidRDefault="006D1FD1" w:rsidP="00FD1D5D">
      <w:pPr>
        <w:pStyle w:val="Funotentext"/>
      </w:pPr>
      <w:r>
        <w:rPr>
          <w:rStyle w:val="Funotenzeichen"/>
        </w:rPr>
        <w:footnoteRef/>
      </w:r>
      <w:r>
        <w:t xml:space="preserve"> S. dazu </w:t>
      </w:r>
      <w:r w:rsidRPr="0006316E">
        <w:t>Fahl</w:t>
      </w:r>
      <w:r>
        <w:t xml:space="preserve">, </w:t>
      </w:r>
      <w:r w:rsidRPr="00583D08">
        <w:t>NStZ 2016, 313</w:t>
      </w:r>
      <w:r>
        <w:t xml:space="preserve"> (315); </w:t>
      </w:r>
      <w:r w:rsidRPr="0006316E">
        <w:t>Roxin</w:t>
      </w:r>
      <w:r>
        <w:t>,</w:t>
      </w:r>
      <w:r w:rsidRPr="00583D08">
        <w:t xml:space="preserve"> Strafrecht AT I, 4. Aufl. 2006, § 18 Rn. 50</w:t>
      </w:r>
      <w:r>
        <w:t>.</w:t>
      </w:r>
    </w:p>
  </w:footnote>
  <w:footnote w:id="162">
    <w:p w14:paraId="30714BD4" w14:textId="07F46137" w:rsidR="006D1FD1" w:rsidRDefault="006D1FD1" w:rsidP="00FD1D5D">
      <w:pPr>
        <w:pStyle w:val="Funotentext"/>
      </w:pPr>
      <w:r>
        <w:rPr>
          <w:rStyle w:val="Funotenzeichen"/>
        </w:rPr>
        <w:footnoteRef/>
      </w:r>
      <w:r>
        <w:t xml:space="preserve"> </w:t>
      </w:r>
      <w:hyperlink r:id="rId115" w:history="1">
        <w:r w:rsidRPr="00316EA5">
          <w:rPr>
            <w:rStyle w:val="Hyperlink"/>
          </w:rPr>
          <w:t>BVerfG, Beschl. v. 26.6.1990, A</w:t>
        </w:r>
        <w:r>
          <w:rPr>
            <w:rStyle w:val="Hyperlink"/>
          </w:rPr>
          <w:t>z.</w:t>
        </w:r>
        <w:r w:rsidRPr="00316EA5">
          <w:rPr>
            <w:rStyle w:val="Hyperlink"/>
          </w:rPr>
          <w:t>: 1 BvR 1165/89</w:t>
        </w:r>
      </w:hyperlink>
      <w:r>
        <w:t xml:space="preserve"> = BVerfGE 82, 272 (284); </w:t>
      </w:r>
      <w:hyperlink r:id="rId116" w:history="1">
        <w:r w:rsidRPr="00316EA5">
          <w:rPr>
            <w:rStyle w:val="Hyperlink"/>
          </w:rPr>
          <w:t>Beschl. v. 10.10.1995, A</w:t>
        </w:r>
        <w:r>
          <w:rPr>
            <w:rStyle w:val="Hyperlink"/>
          </w:rPr>
          <w:t>z.</w:t>
        </w:r>
        <w:r w:rsidRPr="00316EA5">
          <w:rPr>
            <w:rStyle w:val="Hyperlink"/>
          </w:rPr>
          <w:t>: 1 BvR 1476/91</w:t>
        </w:r>
      </w:hyperlink>
      <w:r w:rsidRPr="0016243B">
        <w:t xml:space="preserve"> </w:t>
      </w:r>
      <w:r>
        <w:t>=</w:t>
      </w:r>
      <w:r w:rsidRPr="0016243B">
        <w:t xml:space="preserve"> BVerfGE </w:t>
      </w:r>
      <w:r>
        <w:t xml:space="preserve">93, 266 (294); </w:t>
      </w:r>
      <w:hyperlink r:id="rId117" w:history="1">
        <w:r w:rsidRPr="001C2455">
          <w:rPr>
            <w:rStyle w:val="Hyperlink"/>
          </w:rPr>
          <w:t>Beschl. v. 29.7.2003, A</w:t>
        </w:r>
        <w:r>
          <w:rPr>
            <w:rStyle w:val="Hyperlink"/>
          </w:rPr>
          <w:t>z.</w:t>
        </w:r>
        <w:r w:rsidRPr="001C2455">
          <w:rPr>
            <w:rStyle w:val="Hyperlink"/>
          </w:rPr>
          <w:t>: 1 BvR 2145/02</w:t>
        </w:r>
      </w:hyperlink>
      <w:r>
        <w:t xml:space="preserve"> = </w:t>
      </w:r>
      <w:r w:rsidRPr="00F55967">
        <w:t>NJW 2003, 3760</w:t>
      </w:r>
      <w:r>
        <w:t xml:space="preserve"> (3760); </w:t>
      </w:r>
      <w:hyperlink r:id="rId118" w:history="1">
        <w:r w:rsidRPr="001C2455">
          <w:rPr>
            <w:rStyle w:val="Hyperlink"/>
          </w:rPr>
          <w:t>Beschl. v. 29.6.2016, A</w:t>
        </w:r>
        <w:r>
          <w:rPr>
            <w:rStyle w:val="Hyperlink"/>
          </w:rPr>
          <w:t>z.</w:t>
        </w:r>
        <w:r w:rsidRPr="001C2455">
          <w:rPr>
            <w:rStyle w:val="Hyperlink"/>
          </w:rPr>
          <w:t>: 1 BvR 2646/15</w:t>
        </w:r>
      </w:hyperlink>
      <w:r>
        <w:t xml:space="preserve"> = NJW 2016, </w:t>
      </w:r>
      <w:r w:rsidRPr="00C061EC">
        <w:t>2870</w:t>
      </w:r>
      <w:r>
        <w:t xml:space="preserve"> (2870 f.).</w:t>
      </w:r>
    </w:p>
  </w:footnote>
  <w:footnote w:id="163">
    <w:p w14:paraId="0576D684" w14:textId="4262E40D" w:rsidR="006D1FD1" w:rsidRDefault="006D1FD1" w:rsidP="00FD1D5D">
      <w:pPr>
        <w:pStyle w:val="Funotentext"/>
      </w:pPr>
      <w:r>
        <w:rPr>
          <w:rStyle w:val="Funotenzeichen"/>
        </w:rPr>
        <w:footnoteRef/>
      </w:r>
      <w:r>
        <w:t xml:space="preserve"> S. zum Gefahrenbegriff im Polizei- und Ordnungsrecht </w:t>
      </w:r>
      <w:hyperlink r:id="rId119" w:history="1">
        <w:r w:rsidRPr="00144A4A">
          <w:rPr>
            <w:rStyle w:val="Hyperlink"/>
          </w:rPr>
          <w:t>Eisentraut, in: Eisentraut, Verwaltungsrecht in der Klausur, 2020, § 2 Rn. 1102, 1107</w:t>
        </w:r>
      </w:hyperlink>
      <w:r>
        <w:t xml:space="preserve"> sowie </w:t>
      </w:r>
      <w:r w:rsidRPr="0006316E">
        <w:t>Schenke</w:t>
      </w:r>
      <w:r>
        <w:t>, Polizei- und Ordnungsrecht, 10. Aufl. 2018, Rn. 69.</w:t>
      </w:r>
    </w:p>
  </w:footnote>
  <w:footnote w:id="164">
    <w:p w14:paraId="3B1038E8" w14:textId="5AE07688" w:rsidR="006D1FD1" w:rsidRDefault="006D1FD1" w:rsidP="00FD1D5D">
      <w:pPr>
        <w:pStyle w:val="Funotentext"/>
      </w:pPr>
      <w:r>
        <w:rPr>
          <w:rStyle w:val="Funotenzeichen"/>
        </w:rPr>
        <w:footnoteRef/>
      </w:r>
      <w:r>
        <w:t xml:space="preserve"> </w:t>
      </w:r>
      <w:hyperlink r:id="rId120" w:history="1">
        <w:r w:rsidRPr="00144A4A">
          <w:rPr>
            <w:rStyle w:val="Hyperlink"/>
          </w:rPr>
          <w:t>Eisentraut, in: Eisentraut, Verwaltungsrecht in der Klausur, 2020, § 2 Rn. 1115</w:t>
        </w:r>
      </w:hyperlink>
      <w:r>
        <w:t xml:space="preserve">; </w:t>
      </w:r>
      <w:r w:rsidRPr="0006316E">
        <w:t>Schenke</w:t>
      </w:r>
      <w:r>
        <w:t>, Polizei- und Ordnungsrecht, 10. Aufl. 2018, Rn. 92; Götz/Geis, Allgemeines Polizei- und Ordnungsrecht, 16. Aufl. 2017, § 7 Rn. 15.</w:t>
      </w:r>
    </w:p>
  </w:footnote>
  <w:footnote w:id="165">
    <w:p w14:paraId="7863E389" w14:textId="4E01BDDD" w:rsidR="006D1FD1" w:rsidRDefault="006D1FD1" w:rsidP="00FD1D5D">
      <w:pPr>
        <w:pStyle w:val="Funotentext"/>
      </w:pPr>
      <w:r>
        <w:rPr>
          <w:rStyle w:val="Funotenzeichen"/>
        </w:rPr>
        <w:footnoteRef/>
      </w:r>
      <w:r>
        <w:t xml:space="preserve"> </w:t>
      </w:r>
      <w:r w:rsidRPr="0006316E">
        <w:t>Schenke</w:t>
      </w:r>
      <w:r>
        <w:t>, Polizei- und Ordnungsrecht, 8. Aufl. 2013, Rn. 394.</w:t>
      </w:r>
    </w:p>
  </w:footnote>
  <w:footnote w:id="166">
    <w:p w14:paraId="2B1CF502" w14:textId="0F9A4FBD" w:rsidR="006D1FD1" w:rsidRDefault="006D1FD1" w:rsidP="00FD1D5D">
      <w:pPr>
        <w:pStyle w:val="Funotentext"/>
      </w:pPr>
      <w:r>
        <w:rPr>
          <w:rStyle w:val="Funotenzeichen"/>
        </w:rPr>
        <w:footnoteRef/>
      </w:r>
      <w:r>
        <w:t xml:space="preserve"> S. </w:t>
      </w:r>
      <w:hyperlink r:id="rId121" w:history="1">
        <w:r w:rsidRPr="00144A4A">
          <w:rPr>
            <w:rStyle w:val="Hyperlink"/>
          </w:rPr>
          <w:t>Eisentraut, in: Eisentraut, Verwaltungsrecht in der Klausur, 2020, § 2 Rn. 1121 ff.</w:t>
        </w:r>
      </w:hyperlink>
      <w:r>
        <w:t>; Gusy, Polizei- und Ordnungsrecht, 10. Aufl. 2017, § 5 Rn. 335 ff.</w:t>
      </w:r>
    </w:p>
  </w:footnote>
  <w:footnote w:id="167">
    <w:p w14:paraId="10F0197B" w14:textId="54C90BF3" w:rsidR="006D1FD1" w:rsidRDefault="006D1FD1" w:rsidP="00FD1D5D">
      <w:pPr>
        <w:pStyle w:val="Funotentext"/>
      </w:pPr>
      <w:r>
        <w:rPr>
          <w:rStyle w:val="Funotenzeichen"/>
        </w:rPr>
        <w:footnoteRef/>
      </w:r>
      <w:r>
        <w:t xml:space="preserve"> Hoffmann/Volkmann, in: Spindler/Schuster, Recht der elektronischen Medien, 4. Aufl. 2019, § 7 TMG Rn. 32.</w:t>
      </w:r>
    </w:p>
  </w:footnote>
  <w:footnote w:id="168">
    <w:p w14:paraId="660E4FA9" w14:textId="167E213E" w:rsidR="006D1FD1" w:rsidRDefault="006D1FD1" w:rsidP="00FD1D5D">
      <w:pPr>
        <w:pStyle w:val="Funotentext"/>
      </w:pPr>
      <w:r>
        <w:rPr>
          <w:rStyle w:val="Funotenzeichen"/>
        </w:rPr>
        <w:footnoteRef/>
      </w:r>
      <w:r>
        <w:t xml:space="preserve"> </w:t>
      </w:r>
      <w:r w:rsidRPr="0006316E">
        <w:t>Schenke</w:t>
      </w:r>
      <w:r>
        <w:t>, Polizei- und Ordnungsrecht, 8. Aufl. 2013, Rn. 395.</w:t>
      </w:r>
    </w:p>
  </w:footnote>
  <w:footnote w:id="169">
    <w:p w14:paraId="4E12E747" w14:textId="597181DF" w:rsidR="006D1FD1" w:rsidRDefault="006D1FD1" w:rsidP="00FD1D5D">
      <w:pPr>
        <w:pStyle w:val="Funotentext"/>
      </w:pPr>
      <w:r>
        <w:rPr>
          <w:rStyle w:val="Funotenzeichen"/>
        </w:rPr>
        <w:footnoteRef/>
      </w:r>
      <w:r>
        <w:t xml:space="preserve"> </w:t>
      </w:r>
      <w:r w:rsidRPr="0006316E">
        <w:t>Ruthig</w:t>
      </w:r>
      <w:r>
        <w:t>, in: Hufen/Jutzi/Proelß, Landesrecht Rheinland-Pfalz, 8. Aufl. 2018, § 4 Polizei- und Ordnungsrecht Rn. 82; Goldhammer, in: Beck’scher Onlinekommentar Sicherheitsrecht Bayern, 10. Ed. 2019, Art. 5 PAG Rn. 16.</w:t>
      </w:r>
    </w:p>
  </w:footnote>
  <w:footnote w:id="170">
    <w:p w14:paraId="463F6350" w14:textId="77777777" w:rsidR="006D1FD1" w:rsidRDefault="006D1FD1" w:rsidP="00FD1D5D">
      <w:pPr>
        <w:pStyle w:val="Funotentext"/>
      </w:pPr>
      <w:r>
        <w:rPr>
          <w:rStyle w:val="Funotenzeichen"/>
        </w:rPr>
        <w:footnoteRef/>
      </w:r>
      <w:r>
        <w:t xml:space="preserve"> So Thiel, Polizei- und Ordnungsrecht, 3. Aufl. 2016, § 8 Rn. 160.</w:t>
      </w:r>
    </w:p>
  </w:footnote>
  <w:footnote w:id="171">
    <w:p w14:paraId="53683B23" w14:textId="04B257F8" w:rsidR="006D1FD1" w:rsidRDefault="006D1FD1" w:rsidP="0046185C">
      <w:pPr>
        <w:pStyle w:val="Funotentext"/>
      </w:pPr>
      <w:r>
        <w:rPr>
          <w:rStyle w:val="Funotenzeichen"/>
        </w:rPr>
        <w:footnoteRef/>
      </w:r>
      <w:r>
        <w:t xml:space="preserve"> So </w:t>
      </w:r>
      <w:hyperlink r:id="rId122" w:history="1">
        <w:r w:rsidRPr="00144A4A">
          <w:rPr>
            <w:rStyle w:val="Hyperlink"/>
          </w:rPr>
          <w:t>Eisentraut, in: Eisentraut, Verwaltungsrecht in der Klausur, 2020, § 2 Rn. 1137</w:t>
        </w:r>
      </w:hyperlink>
      <w:r>
        <w:t>.</w:t>
      </w:r>
    </w:p>
  </w:footnote>
  <w:footnote w:id="172">
    <w:p w14:paraId="155688CB" w14:textId="77777777" w:rsidR="006D1FD1" w:rsidRDefault="006D1FD1" w:rsidP="0046185C">
      <w:pPr>
        <w:pStyle w:val="Funotentext"/>
      </w:pPr>
      <w:r>
        <w:rPr>
          <w:rStyle w:val="Funotenzeichen"/>
        </w:rPr>
        <w:footnoteRef/>
      </w:r>
      <w:r>
        <w:t xml:space="preserve"> </w:t>
      </w:r>
      <w:hyperlink r:id="rId123" w:history="1">
        <w:r w:rsidRPr="002A445A">
          <w:rPr>
            <w:rStyle w:val="Hyperlink"/>
          </w:rPr>
          <w:t>BVerfG, Beschl. v. 4.2.2010, A</w:t>
        </w:r>
        <w:r>
          <w:rPr>
            <w:rStyle w:val="Hyperlink"/>
          </w:rPr>
          <w:t>z.</w:t>
        </w:r>
        <w:r w:rsidRPr="002A445A">
          <w:rPr>
            <w:rStyle w:val="Hyperlink"/>
          </w:rPr>
          <w:t>: 1 BvR 369/04</w:t>
        </w:r>
      </w:hyperlink>
      <w:r>
        <w:t xml:space="preserve"> = </w:t>
      </w:r>
      <w:r w:rsidRPr="00F22DA5">
        <w:t>NJW 2010, 2193</w:t>
      </w:r>
      <w:r>
        <w:t xml:space="preserve"> (2195).</w:t>
      </w:r>
    </w:p>
  </w:footnote>
  <w:footnote w:id="173">
    <w:p w14:paraId="33CA8700" w14:textId="3E28AFEE" w:rsidR="006D1FD1" w:rsidRDefault="006D1FD1" w:rsidP="0046185C">
      <w:pPr>
        <w:pStyle w:val="Funotentext"/>
      </w:pPr>
      <w:r>
        <w:rPr>
          <w:rStyle w:val="Funotenzeichen"/>
        </w:rPr>
        <w:footnoteRef/>
      </w:r>
      <w:r>
        <w:t xml:space="preserve"> </w:t>
      </w:r>
      <w:hyperlink r:id="rId124" w:history="1">
        <w:r w:rsidRPr="002A445A">
          <w:rPr>
            <w:rStyle w:val="Hyperlink"/>
          </w:rPr>
          <w:t>BVerfG, Beschl. v. 4.2.2010, A</w:t>
        </w:r>
        <w:r>
          <w:rPr>
            <w:rStyle w:val="Hyperlink"/>
          </w:rPr>
          <w:t>z.</w:t>
        </w:r>
        <w:r w:rsidRPr="002A445A">
          <w:rPr>
            <w:rStyle w:val="Hyperlink"/>
          </w:rPr>
          <w:t>: 1 BvR 369/04</w:t>
        </w:r>
      </w:hyperlink>
      <w:r w:rsidRPr="002A445A">
        <w:t xml:space="preserve"> = NJW 2010, 2193 (219</w:t>
      </w:r>
      <w:r>
        <w:t>4 f.</w:t>
      </w:r>
      <w:r w:rsidRPr="002A445A">
        <w:t>).</w:t>
      </w:r>
    </w:p>
  </w:footnote>
  <w:footnote w:id="174">
    <w:p w14:paraId="7BA9C7C3" w14:textId="4224D926" w:rsidR="006D1FD1" w:rsidRDefault="006D1FD1" w:rsidP="0046185C">
      <w:pPr>
        <w:pStyle w:val="Funotentext"/>
      </w:pPr>
      <w:r>
        <w:rPr>
          <w:rStyle w:val="Funotenzeichen"/>
        </w:rPr>
        <w:footnoteRef/>
      </w:r>
      <w:r>
        <w:t xml:space="preserve"> </w:t>
      </w:r>
      <w:hyperlink r:id="rId125" w:history="1">
        <w:r w:rsidRPr="00591B8E">
          <w:rPr>
            <w:rStyle w:val="Hyperlink"/>
          </w:rPr>
          <w:t>BVerfG, Beschl. v. 3.10.1969, A</w:t>
        </w:r>
        <w:r>
          <w:rPr>
            <w:rStyle w:val="Hyperlink"/>
          </w:rPr>
          <w:t>z.</w:t>
        </w:r>
        <w:r w:rsidRPr="00591B8E">
          <w:rPr>
            <w:rStyle w:val="Hyperlink"/>
          </w:rPr>
          <w:t>: 1 BvR 46/65</w:t>
        </w:r>
      </w:hyperlink>
      <w:r w:rsidRPr="00CF0DFB">
        <w:t xml:space="preserve"> </w:t>
      </w:r>
      <w:r>
        <w:t>=</w:t>
      </w:r>
      <w:r w:rsidRPr="00CF0DFB">
        <w:t xml:space="preserve"> </w:t>
      </w:r>
      <w:r w:rsidRPr="009101E5">
        <w:t>BVerfG</w:t>
      </w:r>
      <w:r>
        <w:t xml:space="preserve">E 27, 71 (85 f.); </w:t>
      </w:r>
      <w:r w:rsidRPr="00775EC1">
        <w:t>Volkmann</w:t>
      </w:r>
      <w:r>
        <w:t>, in: Spindler/Schuster, Recht der elektronischen Medien, 4. Aufl. 2019, § 59 RStV Rn. 18.</w:t>
      </w:r>
    </w:p>
  </w:footnote>
  <w:footnote w:id="175">
    <w:p w14:paraId="3B618FF5" w14:textId="1DDB4969" w:rsidR="006D1FD1" w:rsidRDefault="006D1FD1" w:rsidP="0046185C">
      <w:pPr>
        <w:pStyle w:val="Funotentext"/>
      </w:pPr>
      <w:r>
        <w:rPr>
          <w:rStyle w:val="Funotenzeichen"/>
        </w:rPr>
        <w:footnoteRef/>
      </w:r>
      <w:r>
        <w:t xml:space="preserve"> </w:t>
      </w:r>
      <w:r w:rsidRPr="003A78E2">
        <w:t>Volkmann</w:t>
      </w:r>
      <w:r>
        <w:t>, in: Spindler/Schuster, Recht der elektronischen Medien, 4. Aufl. 2019, § 59 RStV Rn. 18.</w:t>
      </w:r>
    </w:p>
  </w:footnote>
  <w:footnote w:id="176">
    <w:p w14:paraId="28DC7742" w14:textId="05FB9733" w:rsidR="006D1FD1" w:rsidRDefault="006D1FD1" w:rsidP="0046185C">
      <w:pPr>
        <w:pStyle w:val="Funotentext"/>
      </w:pPr>
      <w:r>
        <w:rPr>
          <w:rStyle w:val="Funotenzeichen"/>
        </w:rPr>
        <w:footnoteRef/>
      </w:r>
      <w:r>
        <w:t xml:space="preserve"> S. </w:t>
      </w:r>
      <w:hyperlink r:id="rId126" w:history="1">
        <w:r w:rsidRPr="00591B8E">
          <w:rPr>
            <w:rStyle w:val="Hyperlink"/>
          </w:rPr>
          <w:t>BVerfG, Beschl. v. 25.10.2005, A</w:t>
        </w:r>
        <w:r>
          <w:rPr>
            <w:rStyle w:val="Hyperlink"/>
          </w:rPr>
          <w:t>z.</w:t>
        </w:r>
        <w:r w:rsidRPr="00591B8E">
          <w:rPr>
            <w:rStyle w:val="Hyperlink"/>
          </w:rPr>
          <w:t>: 1 BvR 1696/98</w:t>
        </w:r>
      </w:hyperlink>
      <w:r>
        <w:t xml:space="preserve"> = BVerfGE 114, 339 (346); </w:t>
      </w:r>
      <w:hyperlink r:id="rId127" w:history="1">
        <w:r w:rsidRPr="00B74E52">
          <w:rPr>
            <w:rStyle w:val="Hyperlink"/>
          </w:rPr>
          <w:t>VG Düsseldorf, Urt. v. 24.6.2014, A</w:t>
        </w:r>
        <w:r>
          <w:rPr>
            <w:rStyle w:val="Hyperlink"/>
          </w:rPr>
          <w:t>z.</w:t>
        </w:r>
        <w:r w:rsidRPr="00B74E52">
          <w:rPr>
            <w:rStyle w:val="Hyperlink"/>
          </w:rPr>
          <w:t>: 27 K 7499/13</w:t>
        </w:r>
      </w:hyperlink>
      <w:r>
        <w:t xml:space="preserve"> = MMR 2015, 352 (354).</w:t>
      </w:r>
    </w:p>
  </w:footnote>
  <w:footnote w:id="177">
    <w:p w14:paraId="2CD7DCDE" w14:textId="77777777" w:rsidR="006D1FD1" w:rsidRDefault="006D1FD1" w:rsidP="0046185C">
      <w:pPr>
        <w:pStyle w:val="Funotentext"/>
      </w:pPr>
      <w:r>
        <w:rPr>
          <w:rStyle w:val="Funotenzeichen"/>
        </w:rPr>
        <w:footnoteRef/>
      </w:r>
      <w:r>
        <w:t xml:space="preserve"> </w:t>
      </w:r>
      <w:hyperlink r:id="rId128" w:history="1">
        <w:r w:rsidRPr="00591B8E">
          <w:rPr>
            <w:rStyle w:val="Hyperlink"/>
          </w:rPr>
          <w:t>BVerfG, Beschl. v. 3.6.1980, A</w:t>
        </w:r>
        <w:r>
          <w:rPr>
            <w:rStyle w:val="Hyperlink"/>
          </w:rPr>
          <w:t>z.</w:t>
        </w:r>
        <w:r w:rsidRPr="00591B8E">
          <w:rPr>
            <w:rStyle w:val="Hyperlink"/>
          </w:rPr>
          <w:t>: 1 BvR 797/78</w:t>
        </w:r>
      </w:hyperlink>
      <w:r w:rsidRPr="00CF0DFB">
        <w:t xml:space="preserve"> </w:t>
      </w:r>
      <w:r>
        <w:t>=</w:t>
      </w:r>
      <w:r w:rsidRPr="00CF0DFB">
        <w:t xml:space="preserve"> </w:t>
      </w:r>
      <w:r>
        <w:t xml:space="preserve">BVerfGE 54, 208 (219); </w:t>
      </w:r>
      <w:hyperlink r:id="rId129" w:history="1">
        <w:r w:rsidRPr="00B34732">
          <w:rPr>
            <w:rStyle w:val="Hyperlink"/>
          </w:rPr>
          <w:t>Beschl. v. 13.4.1994, A</w:t>
        </w:r>
        <w:r>
          <w:rPr>
            <w:rStyle w:val="Hyperlink"/>
          </w:rPr>
          <w:t>z.</w:t>
        </w:r>
        <w:r w:rsidRPr="00B34732">
          <w:rPr>
            <w:rStyle w:val="Hyperlink"/>
          </w:rPr>
          <w:t>: 1 BvR 23/94</w:t>
        </w:r>
      </w:hyperlink>
      <w:r>
        <w:t xml:space="preserve"> = BVerfGE 90, 241 (249), ständige Rechtsprechung.</w:t>
      </w:r>
    </w:p>
  </w:footnote>
  <w:footnote w:id="178">
    <w:p w14:paraId="4CB6FEFD" w14:textId="6FC3381E" w:rsidR="006D1FD1" w:rsidRDefault="006D1FD1" w:rsidP="00FD1D5D">
      <w:pPr>
        <w:pStyle w:val="Funotentext"/>
      </w:pPr>
      <w:r>
        <w:rPr>
          <w:rStyle w:val="Funotenzeichen"/>
        </w:rPr>
        <w:footnoteRef/>
      </w:r>
      <w:r>
        <w:t xml:space="preserve"> </w:t>
      </w:r>
      <w:hyperlink r:id="rId130" w:history="1">
        <w:r w:rsidRPr="0046185C">
          <w:rPr>
            <w:rStyle w:val="Hyperlink"/>
          </w:rPr>
          <w:t>BVerwG, Urt. v. 18.8.1960, Az.: I C 42.59</w:t>
        </w:r>
      </w:hyperlink>
      <w:r w:rsidRPr="0046185C">
        <w:t xml:space="preserve"> = </w:t>
      </w:r>
      <w:r>
        <w:t xml:space="preserve">BVerwGE 11, 95 (97); </w:t>
      </w:r>
      <w:r w:rsidRPr="003A78E2">
        <w:t>W.-R. Schenke</w:t>
      </w:r>
      <w:r>
        <w:t>, Polizei- und Ordnungsrecht, 10. Aufl. 2018, Rn. 100 f.</w:t>
      </w:r>
    </w:p>
  </w:footnote>
  <w:footnote w:id="179">
    <w:p w14:paraId="23611B5C" w14:textId="77777777" w:rsidR="006D1FD1" w:rsidRDefault="006D1FD1" w:rsidP="00FD1D5D">
      <w:pPr>
        <w:pStyle w:val="Funotentext"/>
      </w:pPr>
      <w:r>
        <w:rPr>
          <w:rStyle w:val="Funotenzeichen"/>
        </w:rPr>
        <w:footnoteRef/>
      </w:r>
      <w:r>
        <w:t xml:space="preserve"> Gusy, Polizei- und Ordnungsrecht, 10 Aufl. 2017, § 6 Rn. 395 verlangt für eine Ermessenreduzierung auf Null dass keine anderweitige Schutzmöglichkeit besteht.</w:t>
      </w:r>
    </w:p>
  </w:footnote>
  <w:footnote w:id="180">
    <w:p w14:paraId="5F635E07" w14:textId="5B1D86D7" w:rsidR="006D1FD1" w:rsidRDefault="006D1FD1" w:rsidP="00FD1D5D">
      <w:pPr>
        <w:pStyle w:val="Funotentext"/>
      </w:pPr>
      <w:r>
        <w:rPr>
          <w:rStyle w:val="Funotenzeichen"/>
        </w:rPr>
        <w:footnoteRef/>
      </w:r>
      <w:r>
        <w:t xml:space="preserve"> Rachor/Graulich, in: Lisken/Denninger, Handbuch des Po</w:t>
      </w:r>
      <w:r w:rsidRPr="0046185C">
        <w:t>lizeirechts, 6. Aufl. 2018,</w:t>
      </w:r>
      <w:r>
        <w:t xml:space="preserve"> Kap. E Rn. 116 nehmen bei Betroffenheit der Menschwürde stets eine Pflicht zum polizeilichen Einschreiten an.</w:t>
      </w:r>
    </w:p>
  </w:footnote>
  <w:footnote w:id="181">
    <w:p w14:paraId="021B28EF" w14:textId="67EC78A8" w:rsidR="006D1FD1" w:rsidRDefault="006D1FD1" w:rsidP="00FD1D5D">
      <w:pPr>
        <w:pStyle w:val="Funotentext"/>
      </w:pPr>
      <w:r w:rsidRPr="00EE4CEB">
        <w:rPr>
          <w:rStyle w:val="Funotenzeichen"/>
        </w:rPr>
        <w:footnoteRef/>
      </w:r>
      <w:r w:rsidRPr="00EE4CEB">
        <w:t xml:space="preserve"> </w:t>
      </w:r>
      <w:r w:rsidRPr="00EE4CEB">
        <w:rPr>
          <w:rStyle w:val="Hyperlink"/>
        </w:rPr>
        <w:t>VG Berlin, Beschl. v. 6.4.1981, Az.: 1 A 87/81</w:t>
      </w:r>
      <w:r w:rsidRPr="00EE4CEB">
        <w:t xml:space="preserve"> = </w:t>
      </w:r>
      <w:r>
        <w:t>NJW 1981, 1748 (1749) hält eine Ermessensreduzierung auf Null grundsätzlich nur bei Gefahren für Leib und Leben für möglich.</w:t>
      </w:r>
    </w:p>
  </w:footnote>
  <w:footnote w:id="182">
    <w:p w14:paraId="66FE0C00" w14:textId="3BB44CB2" w:rsidR="006D1FD1" w:rsidRDefault="006D1FD1" w:rsidP="00FD1D5D">
      <w:pPr>
        <w:pStyle w:val="Funotentext"/>
      </w:pPr>
      <w:r>
        <w:rPr>
          <w:rStyle w:val="Funotenzeichen"/>
        </w:rPr>
        <w:footnoteRef/>
      </w:r>
      <w:r>
        <w:t xml:space="preserve"> </w:t>
      </w:r>
      <w:r w:rsidRPr="003A78E2">
        <w:t>Pieroth/Schlink/Kniesel/Kingreen/Poscher</w:t>
      </w:r>
      <w:r>
        <w:t xml:space="preserve">, Polizei- und Ordnungsrecht, </w:t>
      </w:r>
      <w:r w:rsidRPr="0046185C">
        <w:t>10. Aufl. 2018, § 10 Rn. 41 ff.; zu den vertretenen Meinungen: Rachor/Graulich, in: Lisken/Denninger, Handbuch des Polizeirechts, 6. Aufl. 2018,</w:t>
      </w:r>
      <w:r>
        <w:t xml:space="preserve"> </w:t>
      </w:r>
      <w:r w:rsidRPr="0046185C">
        <w:t>Kap. E Rn. 115.</w:t>
      </w:r>
    </w:p>
  </w:footnote>
  <w:footnote w:id="183">
    <w:p w14:paraId="568196A6" w14:textId="6B41D141" w:rsidR="006D1FD1" w:rsidRDefault="006D1FD1" w:rsidP="003F18F9">
      <w:pPr>
        <w:pStyle w:val="Funotentext"/>
      </w:pPr>
      <w:r>
        <w:rPr>
          <w:rStyle w:val="Funotenzeichen"/>
        </w:rPr>
        <w:footnoteRef/>
      </w:r>
      <w:r>
        <w:t xml:space="preserve"> Ausführlich zur Eröffnung des Verwaltungsrechtswegs </w:t>
      </w:r>
      <w:hyperlink r:id="rId131" w:history="1">
        <w:r w:rsidRPr="00C87B0D">
          <w:rPr>
            <w:rStyle w:val="Hyperlink"/>
          </w:rPr>
          <w:t>Eisentraut, in: Eisentraut, Veraltungsrecht in der Klausur, 2020, § 1 Rn. 162 ff.</w:t>
        </w:r>
      </w:hyperlink>
    </w:p>
  </w:footnote>
  <w:footnote w:id="184">
    <w:p w14:paraId="202EFDCF" w14:textId="3AA71CAA" w:rsidR="006D1FD1" w:rsidRDefault="006D1FD1" w:rsidP="0058118F">
      <w:pPr>
        <w:pStyle w:val="Funotentext"/>
      </w:pPr>
      <w:r>
        <w:rPr>
          <w:rStyle w:val="Funotenzeichen"/>
        </w:rPr>
        <w:footnoteRef/>
      </w:r>
      <w:r>
        <w:t xml:space="preserve"> Ausführlich zur Fortsetzungsfeststellungsklage als statthafter Klageart </w:t>
      </w:r>
      <w:hyperlink r:id="rId132" w:history="1">
        <w:r w:rsidRPr="00290A57">
          <w:rPr>
            <w:rStyle w:val="Hyperlink"/>
          </w:rPr>
          <w:t>Senders, in: Eisentraut, Verwaltungsrecht in der Klausur, 2020, § 4 Rn. 2 ff.</w:t>
        </w:r>
      </w:hyperlink>
    </w:p>
  </w:footnote>
  <w:footnote w:id="185">
    <w:p w14:paraId="40B5E31F" w14:textId="6FE1BC51" w:rsidR="006D1FD1" w:rsidRDefault="006D1FD1">
      <w:pPr>
        <w:pStyle w:val="Funotentext"/>
      </w:pPr>
      <w:r>
        <w:rPr>
          <w:rStyle w:val="Funotenzeichen"/>
        </w:rPr>
        <w:footnoteRef/>
      </w:r>
      <w:r>
        <w:t xml:space="preserve"> Ausführlich zur Klagebefugnis bei der Fortsetzungsfeststellungsklage </w:t>
      </w:r>
      <w:hyperlink r:id="rId133" w:history="1">
        <w:r w:rsidRPr="00290A57">
          <w:rPr>
            <w:rStyle w:val="Hyperlink"/>
          </w:rPr>
          <w:t>Burbach, in: Eisentraut, Verwaltungsrecht in der Klausur, 2020, § 4 Rn. 33 ff.</w:t>
        </w:r>
      </w:hyperlink>
    </w:p>
  </w:footnote>
  <w:footnote w:id="186">
    <w:p w14:paraId="6688CB6F" w14:textId="3545DA6A" w:rsidR="006D1FD1" w:rsidRDefault="006D1FD1">
      <w:pPr>
        <w:pStyle w:val="Funotentext"/>
      </w:pPr>
      <w:r>
        <w:rPr>
          <w:rStyle w:val="Funotenzeichen"/>
        </w:rPr>
        <w:footnoteRef/>
      </w:r>
      <w:r>
        <w:t xml:space="preserve"> Ausführlich zum Vorverfahren bei der Fortsetzungsfeststellungsklage </w:t>
      </w:r>
      <w:hyperlink r:id="rId134" w:history="1">
        <w:r w:rsidRPr="00290A57">
          <w:rPr>
            <w:rStyle w:val="Hyperlink"/>
          </w:rPr>
          <w:t>Braun, in: Eisentraut, Verwaltungsrecht in der Klausur, 2020, § 4 Rn. 36 ff.</w:t>
        </w:r>
      </w:hyperlink>
    </w:p>
  </w:footnote>
  <w:footnote w:id="187">
    <w:p w14:paraId="76A55F17" w14:textId="057E6934" w:rsidR="006D1FD1" w:rsidRDefault="006D1FD1">
      <w:pPr>
        <w:pStyle w:val="Funotentext"/>
      </w:pPr>
      <w:r>
        <w:rPr>
          <w:rStyle w:val="Funotenzeichen"/>
        </w:rPr>
        <w:footnoteRef/>
      </w:r>
      <w:r>
        <w:t xml:space="preserve"> Ausführlich zur Klagefrist bei der Fortsetzungsfeststellungsklage </w:t>
      </w:r>
      <w:hyperlink r:id="rId135" w:history="1">
        <w:r w:rsidRPr="00290A57">
          <w:rPr>
            <w:rStyle w:val="Hyperlink"/>
          </w:rPr>
          <w:t>Stockebrandt, in: Eisentraut, Verwaltungsrecht in der Klausur, 2020, § 4 Rn. 40 ff.</w:t>
        </w:r>
      </w:hyperlink>
    </w:p>
  </w:footnote>
  <w:footnote w:id="188">
    <w:p w14:paraId="3B2A9162" w14:textId="2C586EC5" w:rsidR="006D1FD1" w:rsidRDefault="006D1FD1">
      <w:pPr>
        <w:pStyle w:val="Funotentext"/>
      </w:pPr>
      <w:r>
        <w:rPr>
          <w:rStyle w:val="Funotenzeichen"/>
        </w:rPr>
        <w:footnoteRef/>
      </w:r>
      <w:r>
        <w:t xml:space="preserve"> Ausführlich zu den Beteiligten bei der Fortsetzungsfeststellungsklage </w:t>
      </w:r>
      <w:hyperlink r:id="rId136" w:history="1">
        <w:r w:rsidRPr="00290A57">
          <w:rPr>
            <w:rStyle w:val="Hyperlink"/>
          </w:rPr>
          <w:t>Creemers, in: Eisentraut, Verwaltungsrecht in der Klausur, 2020, § 4 Rn. 44</w:t>
        </w:r>
      </w:hyperlink>
      <w:r>
        <w:t>.</w:t>
      </w:r>
    </w:p>
  </w:footnote>
  <w:footnote w:id="189">
    <w:p w14:paraId="512D2358" w14:textId="615FB8D7" w:rsidR="006D1FD1" w:rsidRDefault="006D1FD1">
      <w:pPr>
        <w:pStyle w:val="Funotentext"/>
      </w:pPr>
      <w:r>
        <w:rPr>
          <w:rStyle w:val="Funotenzeichen"/>
        </w:rPr>
        <w:footnoteRef/>
      </w:r>
      <w:r>
        <w:t xml:space="preserve"> Ausführlich zum zuständigen Gericht bei der Fortsetzungsfeststellungsklage </w:t>
      </w:r>
      <w:hyperlink r:id="rId137" w:history="1">
        <w:r w:rsidRPr="00290A57">
          <w:rPr>
            <w:rStyle w:val="Hyperlink"/>
          </w:rPr>
          <w:t>Goldberg, in: Eisentraut, Verwaltungsrecht in der Klausur, 2020, § 4 Rn. 45 ff.</w:t>
        </w:r>
      </w:hyperlink>
    </w:p>
  </w:footnote>
  <w:footnote w:id="190">
    <w:p w14:paraId="3A1EE4D9" w14:textId="34C02AFD" w:rsidR="006D1FD1" w:rsidRDefault="006D1FD1">
      <w:pPr>
        <w:pStyle w:val="Funotentext"/>
      </w:pPr>
      <w:r>
        <w:rPr>
          <w:rStyle w:val="Funotenzeichen"/>
        </w:rPr>
        <w:footnoteRef/>
      </w:r>
      <w:r>
        <w:t xml:space="preserve"> Ausführlich zum Rechtsschutzbedürfnis und zum Fortsetzungsfeststellungsinteresse bei der Fortsetzungsfeststellungsklage </w:t>
      </w:r>
      <w:hyperlink r:id="rId138" w:history="1">
        <w:r w:rsidRPr="00290A57">
          <w:rPr>
            <w:rStyle w:val="Hyperlink"/>
          </w:rPr>
          <w:t>Valentiner, in: Eisentraut, Verwaltungsrecht in der Klausur, 2020, § 4 Rn. 50 ff.</w:t>
        </w:r>
      </w:hyperlink>
    </w:p>
  </w:footnote>
  <w:footnote w:id="191">
    <w:p w14:paraId="73EE52E9" w14:textId="2E876B21" w:rsidR="006D1FD1" w:rsidRDefault="006D1FD1">
      <w:pPr>
        <w:pStyle w:val="Funotentext"/>
      </w:pPr>
      <w:r>
        <w:rPr>
          <w:rStyle w:val="Funotenzeichen"/>
        </w:rPr>
        <w:footnoteRef/>
      </w:r>
      <w:r>
        <w:t xml:space="preserve"> Ausführlich zur Struktur der Begründetheitsprüfung der Fortsetzungsfeststellungsklage </w:t>
      </w:r>
      <w:hyperlink r:id="rId139" w:history="1">
        <w:r w:rsidRPr="00290A57">
          <w:rPr>
            <w:rStyle w:val="Hyperlink"/>
          </w:rPr>
          <w:t>Senders, in: Eisentraut, Verwaltungsrecht in der Klausur, 2020, § 4 Rn. 59 ff.</w:t>
        </w:r>
      </w:hyperlink>
      <w:r>
        <w:t xml:space="preserve">; zur Fortsetzungsfeststellungsklage im Polizei- und Ordnungsrecht </w:t>
      </w:r>
      <w:hyperlink r:id="rId140" w:history="1">
        <w:r w:rsidRPr="00290A57">
          <w:rPr>
            <w:rStyle w:val="Hyperlink"/>
          </w:rPr>
          <w:t>Eisentraut, a.a.O., § 4 Rn. 62 ff.</w:t>
        </w:r>
      </w:hyperlink>
      <w:r>
        <w:t xml:space="preserve"> und im Kommunalrecht </w:t>
      </w:r>
      <w:hyperlink r:id="rId141" w:history="1">
        <w:r w:rsidRPr="00290A57">
          <w:rPr>
            <w:rStyle w:val="Hyperlink"/>
          </w:rPr>
          <w:t>Piecha, a.a.O., § 4 Rn. 65 ff.</w:t>
        </w:r>
      </w:hyperlink>
    </w:p>
  </w:footnote>
  <w:footnote w:id="192">
    <w:p w14:paraId="5A2C6A44" w14:textId="3126DA91" w:rsidR="006D1FD1" w:rsidRDefault="006D1FD1">
      <w:pPr>
        <w:pStyle w:val="Funotentext"/>
      </w:pPr>
      <w:r>
        <w:rPr>
          <w:rStyle w:val="Funotenzeichen"/>
        </w:rPr>
        <w:footnoteRef/>
      </w:r>
      <w:r>
        <w:t xml:space="preserve"> </w:t>
      </w:r>
      <w:r w:rsidRPr="00290A57">
        <w:t xml:space="preserve">Hessen hat ein eigenständiges VwVfG erlassen, wobei die Normen im </w:t>
      </w:r>
      <w:r>
        <w:t>w</w:t>
      </w:r>
      <w:r w:rsidRPr="00290A57">
        <w:t xml:space="preserve">esentlichen mit denen des VwVfG des Bundes übereinstimmen. Zur Anwendbarkeit des Landesrechts näher </w:t>
      </w:r>
      <w:hyperlink r:id="rId142" w:history="1">
        <w:r w:rsidRPr="00290A57">
          <w:rPr>
            <w:rStyle w:val="Hyperlink"/>
          </w:rPr>
          <w:t>Senders, in: Eisentraut, Verwaltungsrecht in der Klausur, 2020, § 2 Rn. 621</w:t>
        </w:r>
      </w:hyperlink>
      <w:r>
        <w:t>.</w:t>
      </w:r>
    </w:p>
  </w:footnote>
  <w:footnote w:id="193">
    <w:p w14:paraId="3D632692" w14:textId="79AEBB02" w:rsidR="006D1FD1" w:rsidRPr="00FB39CD" w:rsidRDefault="006D1FD1" w:rsidP="00CC7995">
      <w:pPr>
        <w:pStyle w:val="Funotentext"/>
      </w:pPr>
      <w:r>
        <w:rPr>
          <w:rStyle w:val="Funotenzeichen"/>
        </w:rPr>
        <w:footnoteRef/>
      </w:r>
      <w:r>
        <w:t xml:space="preserve"> </w:t>
      </w:r>
      <w:hyperlink r:id="rId143" w:history="1">
        <w:r w:rsidRPr="00377DC3">
          <w:rPr>
            <w:rStyle w:val="Hyperlink"/>
          </w:rPr>
          <w:t>VG Darmstadt, Beschl. v. 28.4.2016, Az.: 3 L 642/16.DA, Rn. 7</w:t>
        </w:r>
      </w:hyperlink>
      <w:r>
        <w:t>.</w:t>
      </w:r>
    </w:p>
  </w:footnote>
  <w:footnote w:id="194">
    <w:p w14:paraId="67717781" w14:textId="2EDED0F3" w:rsidR="006D1FD1" w:rsidRDefault="006D1FD1">
      <w:pPr>
        <w:pStyle w:val="Funotentext"/>
      </w:pPr>
      <w:r>
        <w:rPr>
          <w:rStyle w:val="Funotenzeichen"/>
        </w:rPr>
        <w:footnoteRef/>
      </w:r>
      <w:r>
        <w:t xml:space="preserve"> Dazu näher </w:t>
      </w:r>
      <w:hyperlink r:id="rId144" w:history="1">
        <w:r w:rsidRPr="00144A4A">
          <w:rPr>
            <w:rStyle w:val="Hyperlink"/>
          </w:rPr>
          <w:t>Milker, in: Eisentraut, Verwaltungsrecht in der Klausur, 2020, § 2 Rn. 78 ff.</w:t>
        </w:r>
      </w:hyperlink>
    </w:p>
  </w:footnote>
  <w:footnote w:id="195">
    <w:p w14:paraId="1FCB7480" w14:textId="77777777" w:rsidR="006D1FD1" w:rsidRDefault="006D1FD1" w:rsidP="00CC7995">
      <w:pPr>
        <w:pStyle w:val="Funotentext"/>
      </w:pPr>
      <w:r>
        <w:rPr>
          <w:rStyle w:val="Funotenzeichen"/>
        </w:rPr>
        <w:footnoteRef/>
      </w:r>
      <w:r>
        <w:t xml:space="preserve"> Hebeler, JA 2016, 878 (879).</w:t>
      </w:r>
    </w:p>
  </w:footnote>
  <w:footnote w:id="196">
    <w:p w14:paraId="5B411496" w14:textId="3F493243" w:rsidR="006D1FD1" w:rsidRDefault="006D1FD1" w:rsidP="00CC7995">
      <w:pPr>
        <w:pStyle w:val="Funotentext"/>
      </w:pPr>
      <w:r>
        <w:rPr>
          <w:rStyle w:val="Funotenzeichen"/>
        </w:rPr>
        <w:footnoteRef/>
      </w:r>
      <w:r>
        <w:t xml:space="preserve"> Maurer/Waldhoff, Allgemeines Verwaltungsrecht, 19. Aufl. 2017, § 9 Rn. 31.</w:t>
      </w:r>
    </w:p>
  </w:footnote>
  <w:footnote w:id="197">
    <w:p w14:paraId="6ABFA045" w14:textId="5D7719CD" w:rsidR="006D1FD1" w:rsidRDefault="006D1FD1" w:rsidP="00CC7995">
      <w:pPr>
        <w:pStyle w:val="Funotentext"/>
      </w:pPr>
      <w:r>
        <w:rPr>
          <w:rStyle w:val="Funotenzeichen"/>
        </w:rPr>
        <w:footnoteRef/>
      </w:r>
      <w:r>
        <w:t xml:space="preserve"> Im VwVfG des Bundes findet sich eine entsprechende Regelung in § 43.</w:t>
      </w:r>
    </w:p>
  </w:footnote>
  <w:footnote w:id="198">
    <w:p w14:paraId="547478D7" w14:textId="06CB0FAA" w:rsidR="006D1FD1" w:rsidRDefault="006D1FD1" w:rsidP="00CC7995">
      <w:pPr>
        <w:pStyle w:val="Funotentext"/>
      </w:pPr>
      <w:r>
        <w:rPr>
          <w:rStyle w:val="Funotenzeichen"/>
        </w:rPr>
        <w:footnoteRef/>
      </w:r>
      <w:r>
        <w:t xml:space="preserve"> S. zum Vorrang der Standardbefugnisse vor der Generalklausel </w:t>
      </w:r>
      <w:hyperlink r:id="rId145" w:history="1">
        <w:r w:rsidRPr="00144A4A">
          <w:rPr>
            <w:rStyle w:val="Hyperlink"/>
          </w:rPr>
          <w:t>Eisentraut, in: Eisentraut, Verwaltungsrecht in der Klausur, 2020, § 2 Rn. 1032</w:t>
        </w:r>
      </w:hyperlink>
      <w:r>
        <w:t>; dazu auch Hecker, NVwZ 2016, 1301 (1302).</w:t>
      </w:r>
    </w:p>
  </w:footnote>
  <w:footnote w:id="199">
    <w:p w14:paraId="134CC107" w14:textId="69F595E5" w:rsidR="006D1FD1" w:rsidRDefault="006D1FD1" w:rsidP="00CC7995">
      <w:pPr>
        <w:pStyle w:val="Funotentext"/>
      </w:pPr>
      <w:r>
        <w:rPr>
          <w:rStyle w:val="Funotenzeichen"/>
        </w:rPr>
        <w:footnoteRef/>
      </w:r>
      <w:r>
        <w:t xml:space="preserve"> </w:t>
      </w:r>
      <w:hyperlink r:id="rId146" w:history="1">
        <w:r w:rsidRPr="00377DC3">
          <w:rPr>
            <w:rStyle w:val="Hyperlink"/>
          </w:rPr>
          <w:t>VG Darmstadt, Beschl. v. 28.4.2016, Az.: 3 L 642/16.DA, Rn. 9</w:t>
        </w:r>
      </w:hyperlink>
      <w:r>
        <w:t>.</w:t>
      </w:r>
    </w:p>
  </w:footnote>
  <w:footnote w:id="200">
    <w:p w14:paraId="0295D2C2" w14:textId="33BA8A6E" w:rsidR="006D1FD1" w:rsidRDefault="006D1FD1" w:rsidP="00CC7995">
      <w:pPr>
        <w:pStyle w:val="Funotentext"/>
      </w:pPr>
      <w:r>
        <w:rPr>
          <w:rStyle w:val="Funotenzeichen"/>
        </w:rPr>
        <w:footnoteRef/>
      </w:r>
      <w:r>
        <w:t xml:space="preserve"> Schoch, in: Schoch, Besonderes Verwaltungsrecht, 15. Aufl. 2013, 2. Kap. Rn. 96.</w:t>
      </w:r>
    </w:p>
  </w:footnote>
  <w:footnote w:id="201">
    <w:p w14:paraId="48C30C35" w14:textId="12894F71" w:rsidR="006D1FD1" w:rsidRDefault="006D1FD1" w:rsidP="00CC7995">
      <w:pPr>
        <w:pStyle w:val="Funotentext"/>
      </w:pPr>
      <w:r>
        <w:rPr>
          <w:rStyle w:val="Funotenzeichen"/>
        </w:rPr>
        <w:footnoteRef/>
      </w:r>
      <w:r>
        <w:t xml:space="preserve"> M.w.N. Büscher, JA 2010, 791 (794).</w:t>
      </w:r>
    </w:p>
  </w:footnote>
  <w:footnote w:id="202">
    <w:p w14:paraId="7DB81BC7" w14:textId="77777777" w:rsidR="006D1FD1" w:rsidRPr="00684EB8" w:rsidRDefault="006D1FD1" w:rsidP="00CC7995">
      <w:pPr>
        <w:pStyle w:val="Funotentext"/>
      </w:pPr>
      <w:r>
        <w:rPr>
          <w:rStyle w:val="Funotenzeichen"/>
        </w:rPr>
        <w:footnoteRef/>
      </w:r>
      <w:r>
        <w:t xml:space="preserve"> Im Bundes-VwVf</w:t>
      </w:r>
      <w:r w:rsidRPr="00684EB8">
        <w:t>G findet sich eine entsprechende Regelung in § 28.</w:t>
      </w:r>
    </w:p>
  </w:footnote>
  <w:footnote w:id="203">
    <w:p w14:paraId="1B0E9FED" w14:textId="0B8BD336" w:rsidR="006D1FD1" w:rsidRDefault="006D1FD1" w:rsidP="00CC7995">
      <w:pPr>
        <w:pStyle w:val="Funotentext"/>
      </w:pPr>
      <w:r w:rsidRPr="00684EB8">
        <w:rPr>
          <w:rStyle w:val="Funotenzeichen"/>
        </w:rPr>
        <w:footnoteRef/>
      </w:r>
      <w:r w:rsidRPr="00684EB8">
        <w:t xml:space="preserve"> Schenke, JuS 2000, 230 (231); vgl. auch Pünder, in: Ehlers/Pünder, Allgemeines Verwaltungsrecht, 15. Aufl. 2016, § 14 Rn. 71.</w:t>
      </w:r>
    </w:p>
  </w:footnote>
  <w:footnote w:id="204">
    <w:p w14:paraId="1B19F9AD" w14:textId="77777777" w:rsidR="006D1FD1" w:rsidRDefault="006D1FD1" w:rsidP="00CC7995">
      <w:pPr>
        <w:pStyle w:val="Funotentext"/>
      </w:pPr>
      <w:r>
        <w:rPr>
          <w:rStyle w:val="Funotenzeichen"/>
        </w:rPr>
        <w:footnoteRef/>
      </w:r>
      <w:r>
        <w:t xml:space="preserve"> Eine entsprechende Regelung findet sich auch in § 41 Bundes-VwVfG.</w:t>
      </w:r>
    </w:p>
  </w:footnote>
  <w:footnote w:id="205">
    <w:p w14:paraId="4E8C2CA0" w14:textId="77777777" w:rsidR="006D1FD1" w:rsidRDefault="006D1FD1" w:rsidP="00CC7995">
      <w:pPr>
        <w:pStyle w:val="Funotentext"/>
      </w:pPr>
      <w:r>
        <w:rPr>
          <w:rStyle w:val="Funotenzeichen"/>
        </w:rPr>
        <w:footnoteRef/>
      </w:r>
      <w:r>
        <w:t xml:space="preserve"> Froese, JuS 2017, 50 (54).</w:t>
      </w:r>
    </w:p>
  </w:footnote>
  <w:footnote w:id="206">
    <w:p w14:paraId="7298DA9A" w14:textId="464FC1C7" w:rsidR="006D1FD1" w:rsidRDefault="006D1FD1" w:rsidP="00CC7995">
      <w:pPr>
        <w:pStyle w:val="Funotentext"/>
      </w:pPr>
      <w:r>
        <w:rPr>
          <w:rStyle w:val="Funotenzeichen"/>
        </w:rPr>
        <w:footnoteRef/>
      </w:r>
      <w:r>
        <w:t xml:space="preserve"> Hornmann, in: Hornmann, HSOG, 2. Aufl. 2008, § 31 Rn. 66; Hecker, NVwZ 2016, 1301 (1302); Froese, JuS 2017, 50 (54); offen lassend: </w:t>
      </w:r>
      <w:hyperlink r:id="rId147" w:history="1">
        <w:r w:rsidRPr="00377DC3">
          <w:rPr>
            <w:rStyle w:val="Hyperlink"/>
          </w:rPr>
          <w:t>VG Darmstadt, Beschl. v. 28.4.2016, Az.: 3 L 642/16.DA, Rn. 9</w:t>
        </w:r>
      </w:hyperlink>
      <w:r>
        <w:t>; Hebeler, JA 2016, 878 (880).</w:t>
      </w:r>
    </w:p>
  </w:footnote>
  <w:footnote w:id="207">
    <w:p w14:paraId="6D073609" w14:textId="7D08070A" w:rsidR="006D1FD1" w:rsidRDefault="006D1FD1" w:rsidP="00CC7995">
      <w:pPr>
        <w:pStyle w:val="Funotentext"/>
      </w:pPr>
      <w:r>
        <w:rPr>
          <w:rStyle w:val="Funotenzeichen"/>
        </w:rPr>
        <w:footnoteRef/>
      </w:r>
      <w:r>
        <w:t xml:space="preserve"> </w:t>
      </w:r>
      <w:hyperlink r:id="rId148" w:history="1">
        <w:r w:rsidRPr="00377DC3">
          <w:rPr>
            <w:rStyle w:val="Hyperlink"/>
          </w:rPr>
          <w:t>VG Darmstadt, Beschl. v. 28.4.2016, Az.: 3 L 642/16.DA, Rn. 12</w:t>
        </w:r>
      </w:hyperlink>
      <w:r>
        <w:t>.</w:t>
      </w:r>
    </w:p>
  </w:footnote>
  <w:footnote w:id="208">
    <w:p w14:paraId="48B0ED48" w14:textId="77777777" w:rsidR="006D1FD1" w:rsidRDefault="006D1FD1" w:rsidP="00CC7995">
      <w:pPr>
        <w:pStyle w:val="Funotentext"/>
      </w:pPr>
      <w:r>
        <w:rPr>
          <w:rStyle w:val="Funotenzeichen"/>
        </w:rPr>
        <w:footnoteRef/>
      </w:r>
      <w:r>
        <w:t xml:space="preserve"> Pieroth/Schlink/Kniesel, Polizei- und Ordnungsrecht, 9. Aufl. 2016, § 16 Rn. 25.</w:t>
      </w:r>
    </w:p>
  </w:footnote>
  <w:footnote w:id="209">
    <w:p w14:paraId="468BC04B" w14:textId="2F1B8BCF" w:rsidR="006D1FD1" w:rsidRDefault="006D1FD1" w:rsidP="00CC7995">
      <w:pPr>
        <w:pStyle w:val="Funotentext"/>
      </w:pPr>
      <w:r>
        <w:rPr>
          <w:rStyle w:val="Funotenzeichen"/>
        </w:rPr>
        <w:footnoteRef/>
      </w:r>
      <w:r>
        <w:t xml:space="preserve"> </w:t>
      </w:r>
      <w:hyperlink r:id="rId149" w:history="1">
        <w:r w:rsidRPr="00173FBA">
          <w:rPr>
            <w:rStyle w:val="Hyperlink"/>
          </w:rPr>
          <w:t>VG Darmstadt, Beschl. v. 28.4.2016, Az.: 3 L 642/16.DA, Rn. 14 f.</w:t>
        </w:r>
      </w:hyperlink>
    </w:p>
  </w:footnote>
  <w:footnote w:id="210">
    <w:p w14:paraId="7A5CCE9D" w14:textId="77777777" w:rsidR="006D1FD1" w:rsidRDefault="006D1FD1" w:rsidP="00CC7995">
      <w:pPr>
        <w:pStyle w:val="Funotentext"/>
      </w:pPr>
      <w:r>
        <w:rPr>
          <w:rStyle w:val="Funotenzeichen"/>
        </w:rPr>
        <w:footnoteRef/>
      </w:r>
      <w:r>
        <w:t xml:space="preserve"> Näher Pieroth/Schlink/Kniesel, Polizei- und Ordnungsrecht, 9. Aufl. 2016, § 16 Rn. 21.</w:t>
      </w:r>
    </w:p>
  </w:footnote>
  <w:footnote w:id="211">
    <w:p w14:paraId="556F6747" w14:textId="5DC00C9E" w:rsidR="006D1FD1" w:rsidRDefault="006D1FD1" w:rsidP="00CC7995">
      <w:pPr>
        <w:pStyle w:val="Funotentext"/>
      </w:pPr>
      <w:r>
        <w:rPr>
          <w:rStyle w:val="Funotenzeichen"/>
        </w:rPr>
        <w:footnoteRef/>
      </w:r>
      <w:r>
        <w:t xml:space="preserve"> Zu den Kriterien zur Bestimmung des Schutzbereichs von Art. 11 I GG</w:t>
      </w:r>
      <w:r w:rsidRPr="008B2BF1">
        <w:rPr>
          <w:i/>
        </w:rPr>
        <w:t xml:space="preserve"> </w:t>
      </w:r>
      <w:r w:rsidRPr="00377DC3">
        <w:rPr>
          <w:rStyle w:val="Hervorhebung"/>
          <w:i w:val="0"/>
        </w:rPr>
        <w:t>Durner,</w:t>
      </w:r>
      <w:r w:rsidRPr="00377DC3">
        <w:rPr>
          <w:i/>
        </w:rPr>
        <w:t xml:space="preserve"> </w:t>
      </w:r>
      <w:r w:rsidRPr="00377DC3">
        <w:t xml:space="preserve">in: </w:t>
      </w:r>
      <w:r w:rsidRPr="00377DC3">
        <w:rPr>
          <w:rStyle w:val="Hervorhebung"/>
          <w:i w:val="0"/>
        </w:rPr>
        <w:t>Maunz/Dürig</w:t>
      </w:r>
      <w:r w:rsidRPr="00377DC3">
        <w:rPr>
          <w:i/>
        </w:rPr>
        <w:t xml:space="preserve">, </w:t>
      </w:r>
      <w:r w:rsidRPr="00783ECC">
        <w:rPr>
          <w:iCs/>
        </w:rPr>
        <w:t>G</w:t>
      </w:r>
      <w:r>
        <w:t>G, 85. EL, Stand: November 2018, Art. 11 Rn. 77 ff.</w:t>
      </w:r>
    </w:p>
  </w:footnote>
  <w:footnote w:id="212">
    <w:p w14:paraId="4424C027" w14:textId="576EF644" w:rsidR="006D1FD1" w:rsidRDefault="006D1FD1">
      <w:pPr>
        <w:pStyle w:val="Funotentext"/>
      </w:pPr>
      <w:r>
        <w:rPr>
          <w:rStyle w:val="Funotenzeichen"/>
        </w:rPr>
        <w:footnoteRef/>
      </w:r>
      <w:r>
        <w:t xml:space="preserve"> </w:t>
      </w:r>
      <w:r w:rsidRPr="00783ECC">
        <w:t xml:space="preserve">Nach h.M. ist bei der Bestimmung der statthaften Klageart auf die bundesrechtliche Norm des VwVfG abzustellen, s. </w:t>
      </w:r>
      <w:hyperlink r:id="rId150" w:history="1">
        <w:r w:rsidRPr="00783ECC">
          <w:rPr>
            <w:rStyle w:val="Hyperlink"/>
          </w:rPr>
          <w:t>Milker, in: Eisentraut, Verwaltungsrecht in der Klausur, 2020, § 2 Rn. 10</w:t>
        </w:r>
      </w:hyperlink>
      <w:r w:rsidRPr="00783ECC">
        <w:t>.</w:t>
      </w:r>
    </w:p>
  </w:footnote>
  <w:footnote w:id="213">
    <w:p w14:paraId="5E2D01DC" w14:textId="1FE4AB6D" w:rsidR="006D1FD1" w:rsidRDefault="006D1FD1">
      <w:pPr>
        <w:pStyle w:val="Funotentext"/>
      </w:pPr>
      <w:r>
        <w:rPr>
          <w:rStyle w:val="Funotenzeichen"/>
        </w:rPr>
        <w:footnoteRef/>
      </w:r>
      <w:r>
        <w:t xml:space="preserve"> Näher zu diesem Problem Braun, in: Eisentraut, Verwaltungsrecht in der Klausur, § 4 Rn. 37.</w:t>
      </w:r>
    </w:p>
  </w:footnote>
  <w:footnote w:id="214">
    <w:p w14:paraId="1C09676E" w14:textId="524B7DFF" w:rsidR="006D1FD1" w:rsidRDefault="006D1FD1" w:rsidP="00CC7995">
      <w:pPr>
        <w:pStyle w:val="Funotentext"/>
      </w:pPr>
      <w:r>
        <w:rPr>
          <w:rStyle w:val="Funotenzeichen"/>
        </w:rPr>
        <w:footnoteRef/>
      </w:r>
      <w:r>
        <w:t xml:space="preserve"> Näher Detterbeck, Allgemeines Verwaltungsrecht, 17. Aufl. 2019, § 32 Rn. 1428 ff.</w:t>
      </w:r>
    </w:p>
  </w:footnote>
  <w:footnote w:id="215">
    <w:p w14:paraId="361AD782" w14:textId="3001C48B" w:rsidR="006D1FD1" w:rsidRDefault="006D1FD1">
      <w:pPr>
        <w:pStyle w:val="Funotentext"/>
      </w:pPr>
      <w:r>
        <w:rPr>
          <w:rStyle w:val="Funotenzeichen"/>
        </w:rPr>
        <w:footnoteRef/>
      </w:r>
      <w:r>
        <w:t xml:space="preserve"> Näher zu diesem Problem Stockebrandt, in: Eisentraut, Verwaltungsrecht in der Klausur, § 4 Rn. 40 ff.</w:t>
      </w:r>
    </w:p>
  </w:footnote>
  <w:footnote w:id="216">
    <w:p w14:paraId="2CF10094" w14:textId="11324255" w:rsidR="006D1FD1" w:rsidRDefault="006D1FD1">
      <w:pPr>
        <w:pStyle w:val="Funotentext"/>
      </w:pPr>
      <w:r>
        <w:rPr>
          <w:rStyle w:val="Funotenzeichen"/>
        </w:rPr>
        <w:footnoteRef/>
      </w:r>
      <w:r>
        <w:t xml:space="preserve"> Näher </w:t>
      </w:r>
      <w:hyperlink r:id="rId151" w:history="1">
        <w:r w:rsidRPr="00144A4A">
          <w:rPr>
            <w:rStyle w:val="Hyperlink"/>
          </w:rPr>
          <w:t>Eickenjäger, in: Eisentraut, Verwaltungsrecht in der Klausur, 2020, § 2 Rn. 1151 ff.</w:t>
        </w:r>
      </w:hyperlink>
    </w:p>
  </w:footnote>
  <w:footnote w:id="217">
    <w:p w14:paraId="3C5CD20D" w14:textId="7214DBD6" w:rsidR="006D1FD1" w:rsidRDefault="006D1FD1">
      <w:pPr>
        <w:pStyle w:val="Funotentext"/>
      </w:pPr>
      <w:r>
        <w:rPr>
          <w:rStyle w:val="Funotenzeichen"/>
        </w:rPr>
        <w:footnoteRef/>
      </w:r>
      <w:r>
        <w:t xml:space="preserve"> </w:t>
      </w:r>
      <w:r w:rsidRPr="00783ECC">
        <w:t xml:space="preserve">Hessen hat ein eigenständiges VwVfG erlassen, wobei die Normen im </w:t>
      </w:r>
      <w:r>
        <w:t>W</w:t>
      </w:r>
      <w:r w:rsidRPr="00783ECC">
        <w:t xml:space="preserve">esentlichen mit denen des VwVfG des Bundes übereinstimmen. Zur Anwendbarkeit des Landesrechts näher </w:t>
      </w:r>
      <w:hyperlink r:id="rId152" w:history="1">
        <w:r w:rsidRPr="00783ECC">
          <w:rPr>
            <w:rStyle w:val="Hyperlink"/>
          </w:rPr>
          <w:t>Senders, in: Eisentraut, Verwaltungsrecht in der Klausur, 2020, § 2 Rn. 621</w:t>
        </w:r>
      </w:hyperlink>
      <w:r w:rsidRPr="00783ECC">
        <w:t>.</w:t>
      </w:r>
    </w:p>
  </w:footnote>
  <w:footnote w:id="218">
    <w:p w14:paraId="4F2C8DEA" w14:textId="56BD82CD" w:rsidR="006D1FD1" w:rsidRDefault="006D1FD1" w:rsidP="001C6B07">
      <w:pPr>
        <w:pStyle w:val="Funotentext"/>
      </w:pPr>
      <w:r>
        <w:rPr>
          <w:rStyle w:val="Funotenzeichen"/>
        </w:rPr>
        <w:footnoteRef/>
      </w:r>
      <w:r>
        <w:t xml:space="preserve"> Dazu auch Eickenjäger, in: Eisentraut, Verwaltungsrecht in der Klausur, § 2 Rn. 1164 sowie Eisentraut, a.a.O., § 2 Rn. 1040.</w:t>
      </w:r>
    </w:p>
  </w:footnote>
  <w:footnote w:id="219">
    <w:p w14:paraId="0FE67B0D" w14:textId="47EADEF4" w:rsidR="006D1FD1" w:rsidRDefault="006D1FD1" w:rsidP="00C97686">
      <w:pPr>
        <w:pStyle w:val="Funotentext"/>
      </w:pPr>
      <w:r>
        <w:rPr>
          <w:rStyle w:val="Funotenzeichen"/>
        </w:rPr>
        <w:footnoteRef/>
      </w:r>
      <w:r>
        <w:t xml:space="preserve"> S. </w:t>
      </w:r>
      <w:hyperlink r:id="rId153" w:history="1">
        <w:r w:rsidRPr="00C87B0D">
          <w:rPr>
            <w:rStyle w:val="Hyperlink"/>
          </w:rPr>
          <w:t>Eisentraut, in: Eisentraut, Verwaltungsrecht in der Klausur, 2020, § 1 Rn. 200</w:t>
        </w:r>
      </w:hyperlink>
      <w:r>
        <w:t>.</w:t>
      </w:r>
    </w:p>
  </w:footnote>
  <w:footnote w:id="220">
    <w:p w14:paraId="180B6623" w14:textId="58DA2530" w:rsidR="006D1FD1" w:rsidRDefault="006D1FD1" w:rsidP="00C97686">
      <w:pPr>
        <w:pStyle w:val="Funotentext"/>
      </w:pPr>
      <w:r>
        <w:rPr>
          <w:rStyle w:val="Funotenzeichen"/>
        </w:rPr>
        <w:footnoteRef/>
      </w:r>
      <w:r>
        <w:t xml:space="preserve"> </w:t>
      </w:r>
      <w:hyperlink r:id="rId154" w:history="1">
        <w:r w:rsidRPr="003C7CAE">
          <w:rPr>
            <w:rStyle w:val="Hyperlink"/>
          </w:rPr>
          <w:t>Piecha, in: Eisentraut, Verwaltungsrecht in der Klausur, 2020, § 3 Rn. 158 ff</w:t>
        </w:r>
      </w:hyperlink>
      <w:r>
        <w:t xml:space="preserve">.; Detterbeck, Allgemeines Verwaltungsrecht, 17. Auflage 2019, Rn. 1423, Burgi, Kommunalrecht, 6. Auflage 2019, § 16 Rn. 35. </w:t>
      </w:r>
    </w:p>
  </w:footnote>
  <w:footnote w:id="221">
    <w:p w14:paraId="0859F9FA" w14:textId="77777777" w:rsidR="006D1FD1" w:rsidRDefault="006D1FD1" w:rsidP="00C97686">
      <w:pPr>
        <w:pStyle w:val="Funotentext"/>
      </w:pPr>
      <w:r>
        <w:rPr>
          <w:rStyle w:val="Funotenzeichen"/>
        </w:rPr>
        <w:footnoteRef/>
      </w:r>
      <w:r>
        <w:t xml:space="preserve"> Eine entsprechende Regelung findet sich auch in § 43 II VwVfG des Bundes.</w:t>
      </w:r>
    </w:p>
  </w:footnote>
  <w:footnote w:id="222">
    <w:p w14:paraId="7ED79434" w14:textId="4FBF2A77" w:rsidR="006D1FD1" w:rsidRDefault="006D1FD1" w:rsidP="00C97686">
      <w:pPr>
        <w:pStyle w:val="Funotentext"/>
      </w:pPr>
      <w:r>
        <w:rPr>
          <w:rStyle w:val="Funotenzeichen"/>
        </w:rPr>
        <w:footnoteRef/>
      </w:r>
      <w:r>
        <w:t xml:space="preserve"> Ganz h.M.; zum Streit darum s. </w:t>
      </w:r>
      <w:hyperlink r:id="rId155" w:history="1">
        <w:r w:rsidRPr="00290A57">
          <w:rPr>
            <w:rStyle w:val="Hyperlink"/>
          </w:rPr>
          <w:t>Burbach, in: Eisentraut, Verwaltungsrecht in der Klausur, 2020, § 4 Rn. 33</w:t>
        </w:r>
      </w:hyperlink>
      <w:r>
        <w:t>.</w:t>
      </w:r>
    </w:p>
  </w:footnote>
  <w:footnote w:id="223">
    <w:p w14:paraId="2F5D8B6C" w14:textId="20040D3F" w:rsidR="006D1FD1" w:rsidRDefault="006D1FD1" w:rsidP="00C97686">
      <w:pPr>
        <w:pStyle w:val="Funotentext"/>
      </w:pPr>
      <w:r>
        <w:rPr>
          <w:rStyle w:val="Funotenzeichen"/>
        </w:rPr>
        <w:footnoteRef/>
      </w:r>
      <w:r>
        <w:t xml:space="preserve"> </w:t>
      </w:r>
      <w:r w:rsidRPr="00B341FF">
        <w:t xml:space="preserve">Riese, in: Schoch/Schneider/Bier, VwGO, </w:t>
      </w:r>
      <w:r>
        <w:t xml:space="preserve">36. EL Februar 2019, </w:t>
      </w:r>
      <w:r w:rsidRPr="00B341FF">
        <w:t>§ 113 Rn. 137.</w:t>
      </w:r>
    </w:p>
  </w:footnote>
  <w:footnote w:id="224">
    <w:p w14:paraId="32BA83E1" w14:textId="77777777" w:rsidR="006D1FD1" w:rsidRDefault="006D1FD1" w:rsidP="00C97686">
      <w:pPr>
        <w:pStyle w:val="Funotentext"/>
      </w:pPr>
      <w:r>
        <w:rPr>
          <w:rStyle w:val="Funotenzeichen"/>
        </w:rPr>
        <w:footnoteRef/>
      </w:r>
      <w:r>
        <w:t xml:space="preserve"> M.w.N. Siegel/Hartwig, NVwZ 2017, 590 (596).</w:t>
      </w:r>
    </w:p>
  </w:footnote>
  <w:footnote w:id="225">
    <w:p w14:paraId="386219D1" w14:textId="48D19FDA" w:rsidR="006D1FD1" w:rsidRDefault="006D1FD1" w:rsidP="00C97686">
      <w:pPr>
        <w:pStyle w:val="Funotentext"/>
      </w:pPr>
      <w:r>
        <w:rPr>
          <w:rStyle w:val="Funotenzeichen"/>
        </w:rPr>
        <w:footnoteRef/>
      </w:r>
      <w:r>
        <w:t xml:space="preserve"> </w:t>
      </w:r>
      <w:hyperlink r:id="rId156" w:history="1">
        <w:r w:rsidRPr="003C7CAE">
          <w:rPr>
            <w:rStyle w:val="Hyperlink"/>
          </w:rPr>
          <w:t>Piecha, in: Eisentraut, Verwaltungsrecht in der Klausur, 2020, § 3 Rn. 161</w:t>
        </w:r>
      </w:hyperlink>
      <w:r>
        <w:t>; Burgi, Kommunalrecht, 6. Aufl. 2019, § 16 Rn. 5.</w:t>
      </w:r>
    </w:p>
  </w:footnote>
  <w:footnote w:id="226">
    <w:p w14:paraId="268540EB" w14:textId="6B378B7F" w:rsidR="006D1FD1" w:rsidRDefault="006D1FD1" w:rsidP="00C97686">
      <w:pPr>
        <w:pStyle w:val="Funotentext"/>
      </w:pPr>
      <w:r>
        <w:rPr>
          <w:rStyle w:val="Funotenzeichen"/>
        </w:rPr>
        <w:footnoteRef/>
      </w:r>
      <w:r>
        <w:t xml:space="preserve"> Traub, in: BeckOK Kommunalrecht Hessen, 8. Edition, Stand: 1.2.2019, § 20 HKO Rn. 9.</w:t>
      </w:r>
    </w:p>
  </w:footnote>
  <w:footnote w:id="227">
    <w:p w14:paraId="6118309D" w14:textId="7A53B90E" w:rsidR="006D1FD1" w:rsidRDefault="006D1FD1" w:rsidP="00C97686">
      <w:pPr>
        <w:pStyle w:val="Funotentext"/>
      </w:pPr>
      <w:r>
        <w:rPr>
          <w:rStyle w:val="Funotenzeichen"/>
        </w:rPr>
        <w:footnoteRef/>
      </w:r>
      <w:r>
        <w:t xml:space="preserve"> Burgi, Kommunalrecht, 6. Aufl. 2019, § 17 Rn. 76.</w:t>
      </w:r>
    </w:p>
  </w:footnote>
  <w:footnote w:id="228">
    <w:p w14:paraId="780DEE8B" w14:textId="77777777" w:rsidR="006D1FD1" w:rsidRDefault="006D1FD1" w:rsidP="00C97686">
      <w:pPr>
        <w:pStyle w:val="Funotentext"/>
      </w:pPr>
      <w:r>
        <w:rPr>
          <w:rStyle w:val="Funotenzeichen"/>
        </w:rPr>
        <w:footnoteRef/>
      </w:r>
      <w:r>
        <w:t xml:space="preserve"> Traub, in: BeckOK Kommunalrecht Hessen, 8. Edition, Stand: 01.02.2019, § 20 HKO Rn. 4.</w:t>
      </w:r>
    </w:p>
  </w:footnote>
  <w:footnote w:id="229">
    <w:p w14:paraId="7D50491E" w14:textId="13232DE1" w:rsidR="006D1FD1" w:rsidRDefault="006D1FD1">
      <w:pPr>
        <w:pStyle w:val="Funotentext"/>
      </w:pPr>
      <w:r>
        <w:rPr>
          <w:rStyle w:val="Funotenzeichen"/>
        </w:rPr>
        <w:footnoteRef/>
      </w:r>
      <w:r>
        <w:t xml:space="preserve"> </w:t>
      </w:r>
      <w:hyperlink r:id="rId157" w:history="1">
        <w:r w:rsidRPr="003C7CAE">
          <w:rPr>
            <w:rStyle w:val="Hyperlink"/>
          </w:rPr>
          <w:t>Piecha, in: Eisentraut, Verwaltungsrecht in der Klausur, 2020, § 3 Rn. 169</w:t>
        </w:r>
      </w:hyperlink>
      <w:r>
        <w:t>.</w:t>
      </w:r>
    </w:p>
  </w:footnote>
  <w:footnote w:id="230">
    <w:p w14:paraId="49853FD5" w14:textId="77777777" w:rsidR="006D1FD1" w:rsidRDefault="006D1FD1" w:rsidP="00C97686">
      <w:pPr>
        <w:pStyle w:val="Funotentext"/>
      </w:pPr>
      <w:r>
        <w:rPr>
          <w:rStyle w:val="Funotenzeichen"/>
        </w:rPr>
        <w:footnoteRef/>
      </w:r>
      <w:r>
        <w:t xml:space="preserve"> </w:t>
      </w:r>
      <w:r w:rsidRPr="00900EA4">
        <w:t>VG Gießen, Beschl. v. 20.12.2017, Az.: 8 L 9187/17.GI</w:t>
      </w:r>
      <w:r>
        <w:t>,</w:t>
      </w:r>
      <w:r w:rsidRPr="00900EA4">
        <w:t xml:space="preserve"> </w:t>
      </w:r>
      <w:r>
        <w:t>Rn. 33.</w:t>
      </w:r>
    </w:p>
  </w:footnote>
  <w:footnote w:id="231">
    <w:p w14:paraId="17EEB99B" w14:textId="77777777" w:rsidR="006D1FD1" w:rsidRDefault="006D1FD1" w:rsidP="00C97686">
      <w:pPr>
        <w:pStyle w:val="Funotentext"/>
      </w:pPr>
      <w:r>
        <w:rPr>
          <w:rStyle w:val="Funotenzeichen"/>
        </w:rPr>
        <w:footnoteRef/>
      </w:r>
      <w:r>
        <w:t xml:space="preserve"> Näher Siegel/Hartwig, NVwZ 2017, 590 (596).</w:t>
      </w:r>
    </w:p>
  </w:footnote>
  <w:footnote w:id="232">
    <w:p w14:paraId="3C532003" w14:textId="77777777" w:rsidR="006D1FD1" w:rsidRDefault="006D1FD1" w:rsidP="00C97686">
      <w:pPr>
        <w:pStyle w:val="Funotentext"/>
      </w:pPr>
      <w:r>
        <w:rPr>
          <w:rStyle w:val="Funotenzeichen"/>
        </w:rPr>
        <w:footnoteRef/>
      </w:r>
      <w:r>
        <w:t xml:space="preserve"> Näher Siegel/Hartwig, NVwZ 2017, 590 (593f.).</w:t>
      </w:r>
    </w:p>
  </w:footnote>
  <w:footnote w:id="233">
    <w:p w14:paraId="5BFFEF7A" w14:textId="77777777" w:rsidR="006D1FD1" w:rsidRDefault="006D1FD1" w:rsidP="00C97686">
      <w:pPr>
        <w:pStyle w:val="Funotentext"/>
      </w:pPr>
      <w:r>
        <w:rPr>
          <w:rStyle w:val="Funotenzeichen"/>
        </w:rPr>
        <w:footnoteRef/>
      </w:r>
      <w:r>
        <w:t xml:space="preserve"> </w:t>
      </w:r>
      <w:r w:rsidRPr="00B341FF">
        <w:t>VG Gießen, Beschl. v. 20.12.2017, Az.: 8 L 9187/17.GI</w:t>
      </w:r>
      <w:r>
        <w:t>,</w:t>
      </w:r>
      <w:r w:rsidRPr="00B341FF">
        <w:t xml:space="preserve"> </w:t>
      </w:r>
      <w:r>
        <w:t>Rn. 36.</w:t>
      </w:r>
    </w:p>
  </w:footnote>
  <w:footnote w:id="234">
    <w:p w14:paraId="0492F3BD" w14:textId="77777777" w:rsidR="006D1FD1" w:rsidRDefault="006D1FD1" w:rsidP="00C97686">
      <w:pPr>
        <w:pStyle w:val="Funotentext"/>
      </w:pPr>
      <w:r>
        <w:rPr>
          <w:rStyle w:val="Funotenzeichen"/>
        </w:rPr>
        <w:footnoteRef/>
      </w:r>
      <w:r>
        <w:t xml:space="preserve"> Pieroth/Schlink/Kniesel, Polizei- und Ordnungsrecht, 9. Aufl. 2016, § 8 Rn. 12.</w:t>
      </w:r>
    </w:p>
  </w:footnote>
  <w:footnote w:id="235">
    <w:p w14:paraId="149D5A07" w14:textId="0658FF20" w:rsidR="006D1FD1" w:rsidRDefault="006D1FD1" w:rsidP="00C97686">
      <w:pPr>
        <w:pStyle w:val="Funotentext"/>
      </w:pPr>
      <w:r>
        <w:rPr>
          <w:rStyle w:val="Funotenzeichen"/>
        </w:rPr>
        <w:footnoteRef/>
      </w:r>
      <w:r>
        <w:t xml:space="preserve"> Jeweils m.w.N. </w:t>
      </w:r>
      <w:hyperlink r:id="rId158" w:history="1">
        <w:r w:rsidRPr="00377DC3">
          <w:rPr>
            <w:rStyle w:val="Hyperlink"/>
          </w:rPr>
          <w:t>HessVGH, Beschl. v. 26.3.1987, Az.: 2 TG 820/87, Rn. 2 ff.</w:t>
        </w:r>
      </w:hyperlink>
      <w:r>
        <w:t xml:space="preserve">; </w:t>
      </w:r>
      <w:hyperlink r:id="rId159" w:history="1">
        <w:r w:rsidRPr="00377DC3">
          <w:rPr>
            <w:rStyle w:val="Hyperlink"/>
          </w:rPr>
          <w:t>HessVGH, Beschl. v.24.2.1993, Az.: 6 TG 414/93, Rn. 2</w:t>
        </w:r>
      </w:hyperlink>
      <w:r>
        <w:t>.</w:t>
      </w:r>
    </w:p>
  </w:footnote>
  <w:footnote w:id="236">
    <w:p w14:paraId="73937324" w14:textId="77777777" w:rsidR="006D1FD1" w:rsidRDefault="006D1FD1" w:rsidP="00C97686">
      <w:pPr>
        <w:pStyle w:val="Funotentext"/>
      </w:pPr>
      <w:r>
        <w:rPr>
          <w:rStyle w:val="Funotenzeichen"/>
        </w:rPr>
        <w:footnoteRef/>
      </w:r>
      <w:r>
        <w:t xml:space="preserve"> Dazu Ossenbühl/Cornils, Staatshaftungsrecht, 6. Aufl. 2012, S. 384f.; Baldus/Grzeszieck/Wienhus, Staatshaftungsrecht, 5. Aufl. 2018, Rn. 58 ff.</w:t>
      </w:r>
    </w:p>
  </w:footnote>
  <w:footnote w:id="237">
    <w:p w14:paraId="7AB5198C" w14:textId="77777777" w:rsidR="006D1FD1" w:rsidRDefault="006D1FD1" w:rsidP="00C97686">
      <w:pPr>
        <w:pStyle w:val="Funotentext"/>
      </w:pPr>
      <w:r>
        <w:rPr>
          <w:rStyle w:val="Funotenzeichen"/>
        </w:rPr>
        <w:footnoteRef/>
      </w:r>
      <w:r>
        <w:t xml:space="preserve"> Birkenfeld, Kommunalrecht Hessen, 6. Aufl. 2016, Rn. 205.</w:t>
      </w:r>
    </w:p>
  </w:footnote>
  <w:footnote w:id="238">
    <w:p w14:paraId="2C258A74" w14:textId="2FDE37CE" w:rsidR="006D1FD1" w:rsidRDefault="006D1FD1">
      <w:pPr>
        <w:pStyle w:val="Funotentext"/>
      </w:pPr>
      <w:r>
        <w:rPr>
          <w:rStyle w:val="Funotenzeichen"/>
        </w:rPr>
        <w:footnoteRef/>
      </w:r>
      <w:r>
        <w:t xml:space="preserve"> Zur Rechtsfolge näher </w:t>
      </w:r>
      <w:hyperlink r:id="rId160" w:history="1">
        <w:r w:rsidRPr="003C7CAE">
          <w:rPr>
            <w:rStyle w:val="Hyperlink"/>
          </w:rPr>
          <w:t>Piecha, in: Eisentraut, Verwaltungsrecht in der Klausur, 2020, § 3 Rn. 170</w:t>
        </w:r>
      </w:hyperlink>
      <w:r>
        <w:t>.</w:t>
      </w:r>
    </w:p>
  </w:footnote>
  <w:footnote w:id="239">
    <w:p w14:paraId="31D044B5" w14:textId="5B1A4A88" w:rsidR="006D1FD1" w:rsidRDefault="006D1FD1" w:rsidP="003F18F9">
      <w:pPr>
        <w:pStyle w:val="Funotentext"/>
      </w:pPr>
      <w:r>
        <w:rPr>
          <w:rStyle w:val="Funotenzeichen"/>
        </w:rPr>
        <w:footnoteRef/>
      </w:r>
      <w:r>
        <w:t xml:space="preserve"> Ausführlich zur Eröffnung des Verwaltungsrechtswegs </w:t>
      </w:r>
      <w:hyperlink r:id="rId161" w:history="1">
        <w:r w:rsidRPr="00C87B0D">
          <w:rPr>
            <w:rStyle w:val="Hyperlink"/>
          </w:rPr>
          <w:t>Eisentraut, in: Eisentraut, Veraltungsrecht in der Klausur, 2020, § 1 Rn. 162 ff.</w:t>
        </w:r>
      </w:hyperlink>
    </w:p>
  </w:footnote>
  <w:footnote w:id="240">
    <w:p w14:paraId="2D53FDA5" w14:textId="0D8637B5" w:rsidR="006D1FD1" w:rsidRDefault="006D1FD1" w:rsidP="00F24734">
      <w:pPr>
        <w:pStyle w:val="Funotentext"/>
      </w:pPr>
      <w:r>
        <w:rPr>
          <w:rStyle w:val="Funotenzeichen"/>
        </w:rPr>
        <w:footnoteRef/>
      </w:r>
      <w:r>
        <w:t xml:space="preserve"> Ausführlich zur allgemeinen Leistungsklage als statthafter Klageart </w:t>
      </w:r>
      <w:hyperlink r:id="rId162" w:history="1">
        <w:r w:rsidRPr="00AA1753">
          <w:rPr>
            <w:rStyle w:val="Hyperlink"/>
          </w:rPr>
          <w:t>Weidinger, in: Eisentraut, Verwaltungsrecht in der Klausur, 2020, § 5 Rn. 2 ff.</w:t>
        </w:r>
      </w:hyperlink>
    </w:p>
  </w:footnote>
  <w:footnote w:id="241">
    <w:p w14:paraId="3CDC681A" w14:textId="497939B3" w:rsidR="006D1FD1" w:rsidRDefault="006D1FD1">
      <w:pPr>
        <w:pStyle w:val="Funotentext"/>
      </w:pPr>
      <w:r>
        <w:rPr>
          <w:rStyle w:val="Funotenzeichen"/>
        </w:rPr>
        <w:footnoteRef/>
      </w:r>
      <w:r>
        <w:t xml:space="preserve"> Ausführlich zur Klagebefugnis bei der allgemeinen Leistungsklage </w:t>
      </w:r>
      <w:hyperlink r:id="rId163" w:history="1">
        <w:r w:rsidRPr="00AA1753">
          <w:rPr>
            <w:rStyle w:val="Hyperlink"/>
          </w:rPr>
          <w:t>Burbach, in: Eisentraut, Verwaltungsrecht in der Klausur, 2020, § 5 Rn. 31 f.</w:t>
        </w:r>
      </w:hyperlink>
    </w:p>
  </w:footnote>
  <w:footnote w:id="242">
    <w:p w14:paraId="2B559762" w14:textId="502BCE0B" w:rsidR="006D1FD1" w:rsidRDefault="006D1FD1">
      <w:pPr>
        <w:pStyle w:val="Funotentext"/>
      </w:pPr>
      <w:r>
        <w:rPr>
          <w:rStyle w:val="Funotenzeichen"/>
        </w:rPr>
        <w:footnoteRef/>
      </w:r>
      <w:r>
        <w:t xml:space="preserve"> Ausführlich zu den Beteiligten bei der allgemeinen Leistungsklage </w:t>
      </w:r>
      <w:hyperlink r:id="rId164" w:history="1">
        <w:r w:rsidRPr="00AA1753">
          <w:rPr>
            <w:rStyle w:val="Hyperlink"/>
          </w:rPr>
          <w:t>Creemers, in: Eisentraut, Verwaltungsrecht in der Klausur, 2020, § 5 Rn. 37 ff.</w:t>
        </w:r>
      </w:hyperlink>
    </w:p>
  </w:footnote>
  <w:footnote w:id="243">
    <w:p w14:paraId="569F883A" w14:textId="3551ED12" w:rsidR="006D1FD1" w:rsidRDefault="006D1FD1">
      <w:pPr>
        <w:pStyle w:val="Funotentext"/>
      </w:pPr>
      <w:r>
        <w:rPr>
          <w:rStyle w:val="Funotenzeichen"/>
        </w:rPr>
        <w:footnoteRef/>
      </w:r>
      <w:r>
        <w:t xml:space="preserve"> Ausführlich zum zuständigen Gericht bei der allgemeinen Leistungsklage </w:t>
      </w:r>
      <w:hyperlink r:id="rId165" w:history="1">
        <w:r w:rsidRPr="00AA1753">
          <w:rPr>
            <w:rStyle w:val="Hyperlink"/>
          </w:rPr>
          <w:t>Goldberg, in: Eisentraut, Verwaltungsrecht in der Klausur, 2020, § 5 Rn. 38 ff.</w:t>
        </w:r>
      </w:hyperlink>
    </w:p>
  </w:footnote>
  <w:footnote w:id="244">
    <w:p w14:paraId="1DDF9602" w14:textId="13CD9E0F" w:rsidR="006D1FD1" w:rsidRDefault="006D1FD1">
      <w:pPr>
        <w:pStyle w:val="Funotentext"/>
      </w:pPr>
      <w:r>
        <w:rPr>
          <w:rStyle w:val="Funotenzeichen"/>
        </w:rPr>
        <w:footnoteRef/>
      </w:r>
      <w:r>
        <w:t xml:space="preserve"> Ausführlich zum Rechtsschutzbedürfnis bei der allgemeinen Leistungsklage </w:t>
      </w:r>
      <w:hyperlink r:id="rId166" w:history="1">
        <w:r w:rsidRPr="00AA1753">
          <w:rPr>
            <w:rStyle w:val="Hyperlink"/>
          </w:rPr>
          <w:t>Valentiner, in: Eisentraut, Verwaltungsrecht in der Klausur, 2020, § 5 Rn. 46 ff.</w:t>
        </w:r>
      </w:hyperlink>
    </w:p>
  </w:footnote>
  <w:footnote w:id="245">
    <w:p w14:paraId="3EAF606E" w14:textId="1C77D84B" w:rsidR="006D1FD1" w:rsidRDefault="006D1FD1">
      <w:pPr>
        <w:pStyle w:val="Funotentext"/>
      </w:pPr>
      <w:r>
        <w:rPr>
          <w:rStyle w:val="Funotenzeichen"/>
        </w:rPr>
        <w:footnoteRef/>
      </w:r>
      <w:r>
        <w:t xml:space="preserve"> Ausführlich zur Struktur der Begründetheitsprüfung der allgemeinen Leistungsklage </w:t>
      </w:r>
      <w:hyperlink r:id="rId167" w:history="1">
        <w:r w:rsidRPr="00AA1753">
          <w:rPr>
            <w:rStyle w:val="Hyperlink"/>
          </w:rPr>
          <w:t>Weidinger, in: Eisentraut, Verwaltungsrecht in der Klausur, 2020, § 5 Rn. 49 ff.</w:t>
        </w:r>
      </w:hyperlink>
    </w:p>
  </w:footnote>
  <w:footnote w:id="246">
    <w:p w14:paraId="6B9DD429" w14:textId="5FBD15F3" w:rsidR="006D1FD1" w:rsidRDefault="006D1FD1">
      <w:pPr>
        <w:pStyle w:val="Funotentext"/>
      </w:pPr>
      <w:r>
        <w:rPr>
          <w:rStyle w:val="Funotenzeichen"/>
        </w:rPr>
        <w:footnoteRef/>
      </w:r>
      <w:r>
        <w:t xml:space="preserve"> Ausführlich zur Prüfung der Anspruchsgrundlagen aus öffentlich-rechtlichem Vertrag </w:t>
      </w:r>
      <w:hyperlink r:id="rId168" w:history="1">
        <w:r w:rsidRPr="00AA1753">
          <w:rPr>
            <w:rStyle w:val="Hyperlink"/>
          </w:rPr>
          <w:t>Abromeit, in: Eisentraut, Verwaltungsrecht in der Klausur, 2020, § 5 Rn. 65 ff.</w:t>
        </w:r>
      </w:hyperlink>
      <w:r>
        <w:t xml:space="preserve">, zum öffentlich-rechtlichen Abwehr- und Unterlassungsanspruch </w:t>
      </w:r>
      <w:hyperlink r:id="rId169" w:history="1">
        <w:r w:rsidRPr="00AA1753">
          <w:rPr>
            <w:rStyle w:val="Hyperlink"/>
          </w:rPr>
          <w:t>Himstedt, a.a.O., § 5 Rn. 134 ff.</w:t>
        </w:r>
      </w:hyperlink>
      <w:r>
        <w:t xml:space="preserve">, zu weiteren Ansprüchen aus dem Recht der Öffentlichen Ersatzleistungen </w:t>
      </w:r>
      <w:hyperlink r:id="rId170" w:history="1">
        <w:r w:rsidRPr="00AA1753">
          <w:rPr>
            <w:rStyle w:val="Hyperlink"/>
          </w:rPr>
          <w:t>Himstedt, a.a.O., § 5 Rn. 153 ff.</w:t>
        </w:r>
      </w:hyperlink>
      <w:r>
        <w:t xml:space="preserve">, zur Leistungsklage im Polizei- und Ordnungsrecht </w:t>
      </w:r>
      <w:hyperlink r:id="rId171" w:history="1">
        <w:r w:rsidRPr="00AA1753">
          <w:rPr>
            <w:rStyle w:val="Hyperlink"/>
          </w:rPr>
          <w:t>Eisentraut, a.a.O., § 5 Rn. 223 ff.</w:t>
        </w:r>
      </w:hyperlink>
      <w:r>
        <w:t xml:space="preserve"> und zum Kommunalrecht </w:t>
      </w:r>
      <w:hyperlink r:id="rId172" w:history="1">
        <w:r w:rsidRPr="00AA1753">
          <w:rPr>
            <w:rStyle w:val="Hyperlink"/>
          </w:rPr>
          <w:t>Piecha, a.a.O., § 5 Rn. 235 ff.</w:t>
        </w:r>
      </w:hyperlink>
    </w:p>
  </w:footnote>
  <w:footnote w:id="247">
    <w:p w14:paraId="7CA3C658" w14:textId="2E9DD00C" w:rsidR="006D1FD1" w:rsidRDefault="006D1FD1" w:rsidP="0094074E">
      <w:pPr>
        <w:pStyle w:val="Funotentext"/>
      </w:pPr>
      <w:r>
        <w:rPr>
          <w:rStyle w:val="Funotenzeichen"/>
        </w:rPr>
        <w:footnoteRef/>
      </w:r>
      <w:r>
        <w:t xml:space="preserve"> S. </w:t>
      </w:r>
      <w:hyperlink r:id="rId173" w:history="1">
        <w:r w:rsidRPr="00AA1753">
          <w:rPr>
            <w:rStyle w:val="Hyperlink"/>
          </w:rPr>
          <w:t>Himstedt, in: Eisentraut, Verwaltungsrecht in der Klausur, 2020, § 5 Rn. 204</w:t>
        </w:r>
      </w:hyperlink>
      <w:r>
        <w:t>.</w:t>
      </w:r>
    </w:p>
  </w:footnote>
  <w:footnote w:id="248">
    <w:p w14:paraId="3D07C422" w14:textId="37585B39"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w:t>
      </w:r>
      <w:hyperlink r:id="rId174" w:history="1">
        <w:r w:rsidRPr="00E75A8D">
          <w:rPr>
            <w:rStyle w:val="Hyperlink"/>
            <w:rFonts w:ascii="Calibri" w:hAnsi="Calibri" w:cs="Calibri"/>
          </w:rPr>
          <w:t>BVerwG, Urt. v. 16. 5.2000, Az.: 4 C 4/99</w:t>
        </w:r>
      </w:hyperlink>
      <w:r>
        <w:rPr>
          <w:rFonts w:ascii="Calibri" w:hAnsi="Calibri" w:cs="Calibri"/>
        </w:rPr>
        <w:t xml:space="preserve"> = </w:t>
      </w:r>
      <w:r w:rsidRPr="008C1E48">
        <w:rPr>
          <w:rFonts w:cs="Arial"/>
        </w:rPr>
        <w:t>BVerwGE 111, 162 (164)</w:t>
      </w:r>
      <w:r>
        <w:rPr>
          <w:rFonts w:cs="Arial"/>
        </w:rPr>
        <w:t xml:space="preserve"> </w:t>
      </w:r>
      <w:r>
        <w:rPr>
          <w:rFonts w:ascii="Calibri" w:hAnsi="Calibri" w:cs="Calibri"/>
        </w:rPr>
        <w:t>= NVwZ 2000, 1285</w:t>
      </w:r>
      <w:r w:rsidRPr="008C1E48">
        <w:rPr>
          <w:rFonts w:cs="Arial"/>
        </w:rPr>
        <w:t>.</w:t>
      </w:r>
    </w:p>
  </w:footnote>
  <w:footnote w:id="249">
    <w:p w14:paraId="6DFC334D" w14:textId="783A03AC" w:rsidR="006D1FD1" w:rsidRPr="008C1E48" w:rsidRDefault="006D1FD1" w:rsidP="000444BD">
      <w:pPr>
        <w:pStyle w:val="Funotentext"/>
      </w:pPr>
      <w:r w:rsidRPr="008C1E48">
        <w:rPr>
          <w:rStyle w:val="Funotenzeichen"/>
        </w:rPr>
        <w:footnoteRef/>
      </w:r>
      <w:r w:rsidRPr="008C1E48">
        <w:t xml:space="preserve"> </w:t>
      </w:r>
      <w:r>
        <w:t>S</w:t>
      </w:r>
      <w:r w:rsidRPr="008C1E48">
        <w:t xml:space="preserve">. </w:t>
      </w:r>
      <w:hyperlink r:id="rId175" w:history="1">
        <w:r w:rsidRPr="00E75A8D">
          <w:rPr>
            <w:rStyle w:val="Hyperlink"/>
          </w:rPr>
          <w:t>BVerwG, Urt. v. 17.1.1980, Az.: 7 C 63.77</w:t>
        </w:r>
      </w:hyperlink>
      <w:r w:rsidRPr="008C1E48">
        <w:t xml:space="preserve"> </w:t>
      </w:r>
      <w:r>
        <w:t xml:space="preserve">= </w:t>
      </w:r>
      <w:r w:rsidRPr="008C1E48">
        <w:t>BVerwGE 59, 310 ff.</w:t>
      </w:r>
    </w:p>
  </w:footnote>
  <w:footnote w:id="250">
    <w:p w14:paraId="7F4900D6" w14:textId="2C03CD18" w:rsidR="006D1FD1" w:rsidRPr="008C1E48" w:rsidRDefault="006D1FD1" w:rsidP="000444BD">
      <w:pPr>
        <w:pStyle w:val="Funotentext"/>
      </w:pPr>
      <w:r w:rsidRPr="008C1E48">
        <w:rPr>
          <w:rStyle w:val="Funotenzeichen"/>
        </w:rPr>
        <w:footnoteRef/>
      </w:r>
      <w:r w:rsidRPr="008C1E48">
        <w:t xml:space="preserve"> Näher zu diesem </w:t>
      </w:r>
      <w:hyperlink r:id="rId176" w:history="1">
        <w:r w:rsidRPr="00AA1753">
          <w:rPr>
            <w:rStyle w:val="Hyperlink"/>
          </w:rPr>
          <w:t>Himstedt, in: Eisentraut, Verwaltungsrecht in der Klausur, 2020, § 5 Rn. 189 ff.</w:t>
        </w:r>
      </w:hyperlink>
    </w:p>
  </w:footnote>
  <w:footnote w:id="251">
    <w:p w14:paraId="2EB2194A" w14:textId="77777777" w:rsidR="006D1FD1" w:rsidRPr="008C1E48" w:rsidRDefault="006D1FD1" w:rsidP="000444BD">
      <w:pPr>
        <w:pStyle w:val="Funotentext"/>
      </w:pPr>
      <w:r w:rsidRPr="008C1E48">
        <w:rPr>
          <w:rStyle w:val="Funotenzeichen"/>
        </w:rPr>
        <w:footnoteRef/>
      </w:r>
      <w:r w:rsidRPr="008C1E48">
        <w:t xml:space="preserve"> Wenn den Kandidaten diese Differenzierung misslingt, wird es schwierig für sie werden, die richtigen rechtlichen Argumente an passender Stelle anzubringen (insbesondere bei der Prüfung des Sachzusammenhangs im Rahmen des Koppelungsverbots). Da es aber nicht ausgeschlossen ist, passende Erwägungen anzustellen, obwohl die Differenzierung nicht erfolgt, kann die Bearbeitung in dem Fall noch nicht als misslungen gewertet werden, wenn in der Argumentation, differenziert nach den unterschiedlichen Beträgen, die richtigen Argumente angebracht und vertretbare Ergebnisse geboten werden.</w:t>
      </w:r>
    </w:p>
  </w:footnote>
  <w:footnote w:id="252">
    <w:p w14:paraId="0180F5FE" w14:textId="3FC3DE33"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w:t>
      </w:r>
      <w:r>
        <w:rPr>
          <w:rFonts w:cs="Arial"/>
        </w:rPr>
        <w:t>Z.B.</w:t>
      </w:r>
      <w:r w:rsidRPr="008C1E48">
        <w:rPr>
          <w:rFonts w:cs="Arial"/>
        </w:rPr>
        <w:t xml:space="preserve"> Maurer/Waldhoff, Allgemeines Verwaltungsrecht, 19. Aufl. 2017, § 29 Rn. 27 f.</w:t>
      </w:r>
    </w:p>
  </w:footnote>
  <w:footnote w:id="253">
    <w:p w14:paraId="4B69B709" w14:textId="195A624B"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w:t>
      </w:r>
      <w:r>
        <w:rPr>
          <w:rFonts w:cs="Arial"/>
        </w:rPr>
        <w:t>Z.B.</w:t>
      </w:r>
      <w:r w:rsidRPr="008C1E48">
        <w:rPr>
          <w:rFonts w:cs="Arial"/>
        </w:rPr>
        <w:t xml:space="preserve"> </w:t>
      </w:r>
      <w:hyperlink r:id="rId177" w:history="1">
        <w:r w:rsidRPr="00E75A8D">
          <w:rPr>
            <w:rStyle w:val="Hyperlink"/>
            <w:rFonts w:cs="Arial"/>
          </w:rPr>
          <w:t>BVerwG, Urt. v. 9.6.1975, Az.: VI C 163.73</w:t>
        </w:r>
      </w:hyperlink>
      <w:r>
        <w:rPr>
          <w:rFonts w:cs="Arial"/>
        </w:rPr>
        <w:t xml:space="preserve"> = </w:t>
      </w:r>
      <w:r w:rsidRPr="008C1E48">
        <w:rPr>
          <w:rFonts w:cs="Arial"/>
        </w:rPr>
        <w:t>BVerwGE 48, 279 (286), die Voraussetzungen der Entstehung von Gewohnheitsrecht, längere allgemeine Übung und die Überzeugung der Beteiligten, dass diese Übung rechtlich geboten sei, sind jedenfalls gegeben. Vgl. Maurer/Waldhoff, Allgemeines Verwaltungsrecht, 19. Aufl. 2017, § 4 Rn. 29.</w:t>
      </w:r>
    </w:p>
  </w:footnote>
  <w:footnote w:id="254">
    <w:p w14:paraId="319FC317" w14:textId="258FCAEA"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w:t>
      </w:r>
      <w:r>
        <w:rPr>
          <w:rFonts w:cs="Arial"/>
        </w:rPr>
        <w:t>Z.B.</w:t>
      </w:r>
      <w:r w:rsidRPr="008C1E48">
        <w:rPr>
          <w:rFonts w:cs="Arial"/>
        </w:rPr>
        <w:t>: Gurlit, in: Ehlers/Pünder, Allgemeines Verwaltungsrecht, 15. Aufl., § 35 Rn. 25; Weber, JuS 1986, 29 ff (33).</w:t>
      </w:r>
    </w:p>
  </w:footnote>
  <w:footnote w:id="255">
    <w:p w14:paraId="38763B95" w14:textId="0AB3F06F" w:rsidR="006D1FD1" w:rsidRDefault="006D1FD1" w:rsidP="0094074E">
      <w:pPr>
        <w:pStyle w:val="Funotentext"/>
      </w:pPr>
      <w:r>
        <w:rPr>
          <w:rStyle w:val="Funotenzeichen"/>
        </w:rPr>
        <w:footnoteRef/>
      </w:r>
      <w:r>
        <w:t xml:space="preserve"> S. </w:t>
      </w:r>
      <w:hyperlink r:id="rId178" w:history="1">
        <w:r w:rsidRPr="00AA1753">
          <w:rPr>
            <w:rStyle w:val="Hyperlink"/>
          </w:rPr>
          <w:t>Himstedt, in: Eisentraut, Verwaltungsrecht in der Klausur, 2020, § 5 Rn. 190</w:t>
        </w:r>
      </w:hyperlink>
      <w:r>
        <w:t>.</w:t>
      </w:r>
    </w:p>
  </w:footnote>
  <w:footnote w:id="256">
    <w:p w14:paraId="590C2118" w14:textId="0A8FE1C8"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w:t>
      </w:r>
      <w:hyperlink r:id="rId179" w:history="1">
        <w:r w:rsidRPr="00AA1753">
          <w:rPr>
            <w:rStyle w:val="Hyperlink"/>
            <w:rFonts w:cs="Arial"/>
          </w:rPr>
          <w:t>Abromeit</w:t>
        </w:r>
        <w:r w:rsidRPr="00AA1753">
          <w:rPr>
            <w:rStyle w:val="Hyperlink"/>
          </w:rPr>
          <w:t>, in: Eisentraut, Verwaltungsrecht in der Klausur, 2020, § 5 Rn. 97</w:t>
        </w:r>
      </w:hyperlink>
      <w:r>
        <w:t xml:space="preserve">; </w:t>
      </w:r>
      <w:r w:rsidRPr="008C1E48">
        <w:rPr>
          <w:rFonts w:cs="Arial"/>
        </w:rPr>
        <w:t>Voßkuhle/Kaiser, Grundwissen – Öffentliches Recht: Der öffentlich-rechtliche Vert</w:t>
      </w:r>
      <w:r>
        <w:rPr>
          <w:rFonts w:cs="Arial"/>
        </w:rPr>
        <w:t>rag, JuS 2013, S. 687 ff. (688).</w:t>
      </w:r>
    </w:p>
  </w:footnote>
  <w:footnote w:id="257">
    <w:p w14:paraId="415E8A75" w14:textId="36889410"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Söfker/Runkel, § 1 Aufgabe, Begriff und Grundsätze der Bauleitplanung, in: Ernst/Zinkahn/Bielenberg/Krautzberger, Baugesetzbuch, 126. EL August 2017, Rn. 42 f.</w:t>
      </w:r>
    </w:p>
  </w:footnote>
  <w:footnote w:id="258">
    <w:p w14:paraId="62F28431" w14:textId="1E2E9E3C"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w:t>
      </w:r>
      <w:hyperlink r:id="rId180" w:history="1">
        <w:r w:rsidRPr="00873FF3">
          <w:rPr>
            <w:rStyle w:val="Hyperlink"/>
            <w:rFonts w:ascii="Calibri" w:hAnsi="Calibri" w:cs="Calibri"/>
          </w:rPr>
          <w:t>BVerwG, Urt. v. 16. 5.2000, Az.: 4 C 4/99</w:t>
        </w:r>
      </w:hyperlink>
      <w:r>
        <w:rPr>
          <w:rFonts w:ascii="Calibri" w:hAnsi="Calibri" w:cs="Calibri"/>
        </w:rPr>
        <w:t xml:space="preserve"> = </w:t>
      </w:r>
      <w:r w:rsidRPr="008C1E48">
        <w:rPr>
          <w:rFonts w:cs="Arial"/>
        </w:rPr>
        <w:t>BVerwGE 111, 162 (16</w:t>
      </w:r>
      <w:r>
        <w:rPr>
          <w:rFonts w:cs="Arial"/>
        </w:rPr>
        <w:t>5 f.</w:t>
      </w:r>
      <w:r w:rsidRPr="008C1E48">
        <w:rPr>
          <w:rFonts w:cs="Arial"/>
        </w:rPr>
        <w:t>)</w:t>
      </w:r>
      <w:r>
        <w:rPr>
          <w:rFonts w:cs="Arial"/>
        </w:rPr>
        <w:t xml:space="preserve"> </w:t>
      </w:r>
      <w:r>
        <w:rPr>
          <w:rFonts w:ascii="Calibri" w:hAnsi="Calibri" w:cs="Calibri"/>
        </w:rPr>
        <w:t>= NVwZ 2000, 1285.</w:t>
      </w:r>
    </w:p>
  </w:footnote>
  <w:footnote w:id="259">
    <w:p w14:paraId="0CC635E7" w14:textId="515FF44B"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w:t>
      </w:r>
      <w:hyperlink r:id="rId181" w:history="1">
        <w:r w:rsidRPr="00873FF3">
          <w:rPr>
            <w:rStyle w:val="Hyperlink"/>
            <w:rFonts w:ascii="Calibri" w:hAnsi="Calibri" w:cs="Calibri"/>
          </w:rPr>
          <w:t>BVerwG, Urt. v. 16. 5.2000, Az.: 4 C 4/99</w:t>
        </w:r>
      </w:hyperlink>
      <w:r>
        <w:rPr>
          <w:rFonts w:ascii="Calibri" w:hAnsi="Calibri" w:cs="Calibri"/>
        </w:rPr>
        <w:t xml:space="preserve"> = </w:t>
      </w:r>
      <w:r w:rsidRPr="008C1E48">
        <w:rPr>
          <w:rFonts w:cs="Arial"/>
        </w:rPr>
        <w:t>BVerwGE 111, 162 (16</w:t>
      </w:r>
      <w:r>
        <w:rPr>
          <w:rFonts w:cs="Arial"/>
        </w:rPr>
        <w:t>7</w:t>
      </w:r>
      <w:r w:rsidRPr="008C1E48">
        <w:rPr>
          <w:rFonts w:cs="Arial"/>
        </w:rPr>
        <w:t>)</w:t>
      </w:r>
      <w:r>
        <w:rPr>
          <w:rFonts w:cs="Arial"/>
        </w:rPr>
        <w:t xml:space="preserve"> </w:t>
      </w:r>
      <w:r>
        <w:rPr>
          <w:rFonts w:ascii="Calibri" w:hAnsi="Calibri" w:cs="Calibri"/>
        </w:rPr>
        <w:t>= NVwZ 2000, 1285.</w:t>
      </w:r>
    </w:p>
  </w:footnote>
  <w:footnote w:id="260">
    <w:p w14:paraId="2B0E9A30" w14:textId="77777777" w:rsidR="006D1FD1" w:rsidRPr="008C1E48" w:rsidRDefault="006D1FD1" w:rsidP="000444BD">
      <w:pPr>
        <w:pStyle w:val="Funotentext"/>
      </w:pPr>
      <w:r w:rsidRPr="008C1E48">
        <w:rPr>
          <w:rStyle w:val="Funotenzeichen"/>
        </w:rPr>
        <w:footnoteRef/>
      </w:r>
      <w:r w:rsidRPr="008C1E48">
        <w:t xml:space="preserve"> In Bezug auf die 5.000 € sind andere Ergebnisse kaum vertretbar und würden wohl verdeutlichen, dass das Urteil nicht verstanden, sondern nur bekannt ist.</w:t>
      </w:r>
    </w:p>
  </w:footnote>
  <w:footnote w:id="261">
    <w:p w14:paraId="6A3DF0E9" w14:textId="520350C2"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w:t>
      </w:r>
      <w:hyperlink r:id="rId182" w:history="1">
        <w:r w:rsidRPr="00873FF3">
          <w:rPr>
            <w:rStyle w:val="Hyperlink"/>
            <w:rFonts w:ascii="Calibri" w:hAnsi="Calibri" w:cs="Calibri"/>
          </w:rPr>
          <w:t>BVerwG, Urt. v. 16. 5.2000, Az.: 4 C 4/99</w:t>
        </w:r>
      </w:hyperlink>
      <w:r>
        <w:rPr>
          <w:rFonts w:ascii="Calibri" w:hAnsi="Calibri" w:cs="Calibri"/>
        </w:rPr>
        <w:t xml:space="preserve"> = </w:t>
      </w:r>
      <w:r w:rsidRPr="008C1E48">
        <w:rPr>
          <w:rFonts w:cs="Arial"/>
        </w:rPr>
        <w:t>BVerwGE 111, 162 (16</w:t>
      </w:r>
      <w:r>
        <w:rPr>
          <w:rFonts w:cs="Arial"/>
        </w:rPr>
        <w:t>7</w:t>
      </w:r>
      <w:r w:rsidRPr="008C1E48">
        <w:rPr>
          <w:rFonts w:cs="Arial"/>
        </w:rPr>
        <w:t>)</w:t>
      </w:r>
      <w:r>
        <w:rPr>
          <w:rFonts w:cs="Arial"/>
        </w:rPr>
        <w:t xml:space="preserve"> </w:t>
      </w:r>
      <w:r>
        <w:rPr>
          <w:rFonts w:ascii="Calibri" w:hAnsi="Calibri" w:cs="Calibri"/>
        </w:rPr>
        <w:t>= NVwZ 2000, 1285.</w:t>
      </w:r>
    </w:p>
  </w:footnote>
  <w:footnote w:id="262">
    <w:p w14:paraId="655013CD" w14:textId="11433932"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VGH München</w:t>
      </w:r>
      <w:r>
        <w:rPr>
          <w:rFonts w:cs="Arial"/>
        </w:rPr>
        <w:t xml:space="preserve">, Urt. v. 11.11.1998, Az.: </w:t>
      </w:r>
      <w:r w:rsidRPr="008C1E48">
        <w:rPr>
          <w:rFonts w:cs="Arial"/>
        </w:rPr>
        <w:t xml:space="preserve">6 B 95.2137 (Vorinstanz zu </w:t>
      </w:r>
      <w:hyperlink r:id="rId183" w:history="1">
        <w:r w:rsidRPr="00873FF3">
          <w:rPr>
            <w:rStyle w:val="Hyperlink"/>
            <w:rFonts w:ascii="Calibri" w:hAnsi="Calibri" w:cs="Calibri"/>
          </w:rPr>
          <w:t>BVerwG, Urt. v. 16. 5.2000, Az.: 4 C 4/99</w:t>
        </w:r>
      </w:hyperlink>
      <w:r w:rsidRPr="008C1E48">
        <w:rPr>
          <w:rFonts w:cs="Arial"/>
        </w:rPr>
        <w:t>).</w:t>
      </w:r>
    </w:p>
  </w:footnote>
  <w:footnote w:id="263">
    <w:p w14:paraId="4C1494A9" w14:textId="5DB64079"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Vgl. BVerwG, </w:t>
      </w:r>
      <w:r>
        <w:rPr>
          <w:rFonts w:cs="Arial"/>
        </w:rPr>
        <w:t xml:space="preserve">Urt. v. 14.2.1986, Az.: 8 C 115.84 = </w:t>
      </w:r>
      <w:r w:rsidRPr="008C1E48">
        <w:rPr>
          <w:rFonts w:cs="Arial"/>
        </w:rPr>
        <w:t>Buchholz 406.11 § 133 BBauG Nr. 95 = NVwZ 1986, 586; st.Rspr.</w:t>
      </w:r>
    </w:p>
  </w:footnote>
  <w:footnote w:id="264">
    <w:p w14:paraId="4C97F488" w14:textId="512BF2A4" w:rsidR="006D1FD1" w:rsidRPr="008C1E48" w:rsidRDefault="006D1FD1" w:rsidP="000444BD">
      <w:pPr>
        <w:pStyle w:val="Funotentext"/>
      </w:pPr>
      <w:r w:rsidRPr="008C1E48">
        <w:rPr>
          <w:rStyle w:val="Funotenzeichen"/>
        </w:rPr>
        <w:footnoteRef/>
      </w:r>
      <w:r w:rsidRPr="008C1E48">
        <w:t xml:space="preserve"> Hier liegt eine Variante des vom BVerwG beurteilten Sachverhalts vor. Im Originalfall hatte die Gemeinde nicht beabsichtigt, den Betrag an die von der vorigen Erschließung betroffenen Anwohner auszuzahlen und das BVerwG den Vertrag daher für nichtig gehalten, für die hier vorliegende Konstellation die Rechtmäßigkeit jedoch offen gelassen, aber eher positiv betrachtet. (Auszug aus dem Urteil: "Das Anliegen der Bekl., die Kl. aus Gründen einer fortwirkenden Abgabengerechtigkeit bei der Einbeziehung ihres Grundstücks in das Plangebiet im Nachhinein wirtschaftlich so zu stellen, als sei ihr Grundstück im maßgeblichen Zeitpunkt erschließungsbeitragspflichtig gewesen, hätte nach Auffassung des Senats eine Vereinbarung nahegelegt, die vorsieht, dass die von der Kl. zu erbringende Geldleistung unmittelbar oder mittelbar den Grundstückseigentümern zu Gute kommen soll, deren Kostenanteil sich im Fall einer Beitragspflicht der Kl. seinerzeit vermindert hätte. Der Senat neigt hier zu der Ansicht, dass ein derartiger „Vorteilsausgleich” den in Art. 56 I 2 BayVwVfG geforderten sachlichen Zusammenhang zwischen Leistung und Gegenleistung hätte herstellen können.") Wichtig ist hier</w:t>
      </w:r>
      <w:r>
        <w:t xml:space="preserve">, </w:t>
      </w:r>
      <w:r w:rsidRPr="008C1E48">
        <w:t>wie für die gesamte Klausurbearbeitung, dass die Studenten die Probleme erfassen und zu einer eigenständigen Lösung kommen. Eine unkommentierte Übernahme des Ergebnisses der BVerwG-Entscheidung zeugt davon, dass die Probleme nicht hinreichend erfasst wurden. Bei entsprechender Begründung ist allerdings auch ein abweichendes Ergebnis vertretbar. Dann müsste als Ausschlussgrund allerdings auch – zumindest kurz – eine Entreicherung der Gemeinde angesprochen werden (auf die sich die Gemeinde natürlich nicht berufen kann).</w:t>
      </w:r>
    </w:p>
  </w:footnote>
  <w:footnote w:id="265">
    <w:p w14:paraId="7C8CD6C6" w14:textId="047A16F1"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w:t>
      </w:r>
      <w:hyperlink r:id="rId184" w:history="1">
        <w:r w:rsidRPr="00873FF3">
          <w:rPr>
            <w:rStyle w:val="Hyperlink"/>
            <w:rFonts w:ascii="Calibri" w:hAnsi="Calibri" w:cs="Calibri"/>
          </w:rPr>
          <w:t>BVerwG, Urt. v. 16. 5.2000, Az.: 4 C 4/99</w:t>
        </w:r>
      </w:hyperlink>
      <w:r>
        <w:rPr>
          <w:rFonts w:ascii="Calibri" w:hAnsi="Calibri" w:cs="Calibri"/>
        </w:rPr>
        <w:t xml:space="preserve"> = </w:t>
      </w:r>
      <w:r w:rsidRPr="008C1E48">
        <w:rPr>
          <w:rFonts w:cs="Arial"/>
        </w:rPr>
        <w:t>BVerwGE 111, 162 (16</w:t>
      </w:r>
      <w:r>
        <w:rPr>
          <w:rFonts w:cs="Arial"/>
        </w:rPr>
        <w:t>7</w:t>
      </w:r>
      <w:r w:rsidRPr="008C1E48">
        <w:rPr>
          <w:rFonts w:cs="Arial"/>
        </w:rPr>
        <w:t>)</w:t>
      </w:r>
      <w:r>
        <w:rPr>
          <w:rFonts w:cs="Arial"/>
        </w:rPr>
        <w:t xml:space="preserve"> </w:t>
      </w:r>
      <w:r>
        <w:rPr>
          <w:rFonts w:ascii="Calibri" w:hAnsi="Calibri" w:cs="Calibri"/>
        </w:rPr>
        <w:t>= NVwZ 2000, 1285.</w:t>
      </w:r>
    </w:p>
  </w:footnote>
  <w:footnote w:id="266">
    <w:p w14:paraId="4218742C" w14:textId="60E39E23" w:rsidR="006D1FD1" w:rsidRPr="008C1E48" w:rsidRDefault="006D1FD1" w:rsidP="000444BD">
      <w:pPr>
        <w:pStyle w:val="Funotentext"/>
      </w:pPr>
      <w:r w:rsidRPr="008C1E48">
        <w:rPr>
          <w:rStyle w:val="Funotenzeichen"/>
        </w:rPr>
        <w:footnoteRef/>
      </w:r>
      <w:r w:rsidRPr="008C1E48">
        <w:t xml:space="preserve"> </w:t>
      </w:r>
      <w:r>
        <w:t>A</w:t>
      </w:r>
      <w:r w:rsidRPr="008C1E48">
        <w:t xml:space="preserve">.A. </w:t>
      </w:r>
      <w:r>
        <w:t>z.B.</w:t>
      </w:r>
      <w:r w:rsidRPr="008C1E48">
        <w:t xml:space="preserve"> mit der oben erläuterten Auffassung des VGH München vertretbar.</w:t>
      </w:r>
    </w:p>
  </w:footnote>
  <w:footnote w:id="267">
    <w:p w14:paraId="3F2D9AC5" w14:textId="24FFE368" w:rsidR="006D1FD1" w:rsidRPr="008C1E48" w:rsidRDefault="006D1FD1" w:rsidP="000444BD">
      <w:pPr>
        <w:pStyle w:val="Funotentext"/>
        <w:rPr>
          <w:rFonts w:cs="Arial"/>
        </w:rPr>
      </w:pPr>
      <w:r w:rsidRPr="008C1E48">
        <w:rPr>
          <w:rStyle w:val="Funotenzeichen"/>
          <w:rFonts w:cs="Arial"/>
        </w:rPr>
        <w:footnoteRef/>
      </w:r>
      <w:r w:rsidRPr="008C1E48">
        <w:rPr>
          <w:rFonts w:cs="Arial"/>
        </w:rPr>
        <w:t xml:space="preserve"> </w:t>
      </w:r>
      <w:hyperlink r:id="rId185" w:history="1">
        <w:r w:rsidRPr="00873FF3">
          <w:rPr>
            <w:rStyle w:val="Hyperlink"/>
            <w:rFonts w:ascii="Calibri" w:hAnsi="Calibri" w:cs="Calibri"/>
          </w:rPr>
          <w:t>BVerwG, Urt. v. 16. 5.2000, Az.: 4 C 4/99</w:t>
        </w:r>
      </w:hyperlink>
      <w:r>
        <w:rPr>
          <w:rFonts w:ascii="Calibri" w:hAnsi="Calibri" w:cs="Calibri"/>
        </w:rPr>
        <w:t xml:space="preserve"> = </w:t>
      </w:r>
      <w:r w:rsidRPr="008C1E48">
        <w:rPr>
          <w:rFonts w:cs="Arial"/>
        </w:rPr>
        <w:t>BVerwGE 111, 162 (16</w:t>
      </w:r>
      <w:r>
        <w:rPr>
          <w:rFonts w:cs="Arial"/>
        </w:rPr>
        <w:t>7</w:t>
      </w:r>
      <w:r w:rsidRPr="008C1E48">
        <w:rPr>
          <w:rFonts w:cs="Arial"/>
        </w:rPr>
        <w:t>)</w:t>
      </w:r>
      <w:r>
        <w:rPr>
          <w:rFonts w:cs="Arial"/>
        </w:rPr>
        <w:t xml:space="preserve"> </w:t>
      </w:r>
      <w:r>
        <w:rPr>
          <w:rFonts w:ascii="Calibri" w:hAnsi="Calibri" w:cs="Calibri"/>
        </w:rPr>
        <w:t>= NVwZ 2000, 1285;</w:t>
      </w:r>
      <w:r w:rsidRPr="008C1E48">
        <w:rPr>
          <w:rFonts w:cs="Arial"/>
        </w:rPr>
        <w:t xml:space="preserve"> a.A. VGH München</w:t>
      </w:r>
      <w:r>
        <w:rPr>
          <w:rFonts w:cs="Arial"/>
        </w:rPr>
        <w:t xml:space="preserve">, Urt. v. 11.11.1998, Az.: </w:t>
      </w:r>
      <w:r w:rsidRPr="008C1E48">
        <w:rPr>
          <w:rFonts w:cs="Arial"/>
        </w:rPr>
        <w:t>6 B 95.2137; Theoretisch kann auch eine entsprechende Anwendung von § 814 BGB angesprochen werden, allerdings enthält der Sachverhalt keine Hinweise auf eine Kenntnis der Nichtigkeit vor Zahlung durch J. Ebenso gibt es keinen Hinweis auf eine Entreicherung in Bezug auf die 3.000 €. Wenn die Kandidaten (was mit entsprechender Begründung durchaus vertretbar ist) eine Rechtswidrigkeit auch in Bezug auf die 7.000 € angenommen haben, müsste insoweit auch die Entreicherung angesprochen werden (letztlich mit dem Ergebnis, dass sich PBrück nicht darauf berufen darf).</w:t>
      </w:r>
    </w:p>
  </w:footnote>
  <w:footnote w:id="268">
    <w:p w14:paraId="6D1A8460" w14:textId="77777777" w:rsidR="006D1FD1" w:rsidRPr="000F0B48" w:rsidRDefault="006D1FD1" w:rsidP="00471C23">
      <w:pPr>
        <w:pStyle w:val="Funotentext"/>
      </w:pPr>
      <w:r w:rsidRPr="000F0B48">
        <w:rPr>
          <w:rStyle w:val="Funotenzeichen"/>
        </w:rPr>
        <w:footnoteRef/>
      </w:r>
      <w:r w:rsidRPr="000F0B48">
        <w:t xml:space="preserve"> Puttler, in: Sodan/Ziekow, VwGO, 5. Aufl. 2018, § 123 Rn. 139.</w:t>
      </w:r>
    </w:p>
  </w:footnote>
  <w:footnote w:id="269">
    <w:p w14:paraId="2D554B77" w14:textId="229964E2" w:rsidR="006D1FD1" w:rsidRPr="000F0B48" w:rsidRDefault="006D1FD1" w:rsidP="00471C23">
      <w:pPr>
        <w:pStyle w:val="Funotentext"/>
      </w:pPr>
      <w:r w:rsidRPr="000F0B48">
        <w:rPr>
          <w:rStyle w:val="Funotenzeichen"/>
        </w:rPr>
        <w:footnoteRef/>
      </w:r>
      <w:r w:rsidRPr="000F0B48">
        <w:t>Ausführlich dazu: Dombert, in: Finkelnburg/Dombert/Külpmann, Vorläufiger Rechtsschutz im Verwaltungsstreitverfahren, 7. Aufl. 2017, Rn. 474</w:t>
      </w:r>
      <w:r>
        <w:t xml:space="preserve"> </w:t>
      </w:r>
      <w:r w:rsidRPr="000F0B48">
        <w:t>ff.</w:t>
      </w:r>
    </w:p>
  </w:footnote>
  <w:footnote w:id="270">
    <w:p w14:paraId="3C3CDFFC" w14:textId="75C2B54A" w:rsidR="006D1FD1" w:rsidRPr="00E56ECB" w:rsidRDefault="006D1FD1" w:rsidP="00471C23">
      <w:pPr>
        <w:pStyle w:val="Funotentext"/>
      </w:pPr>
      <w:r w:rsidRPr="000F0B48">
        <w:rPr>
          <w:rStyle w:val="Funotenzeichen"/>
        </w:rPr>
        <w:footnoteRef/>
      </w:r>
      <w:r w:rsidRPr="000F0B48">
        <w:t xml:space="preserve"> </w:t>
      </w:r>
      <w:r>
        <w:t>S</w:t>
      </w:r>
      <w:r w:rsidRPr="000F0B48">
        <w:t xml:space="preserve">. näher zur Anfechtungsklage </w:t>
      </w:r>
      <w:hyperlink r:id="rId186" w:history="1">
        <w:r w:rsidRPr="00144A4A">
          <w:rPr>
            <w:rStyle w:val="Hyperlink"/>
          </w:rPr>
          <w:t>Eisentraut, Verwaltungsrecht in der Klausur, 2020, § 2</w:t>
        </w:r>
      </w:hyperlink>
      <w:r w:rsidRPr="000F0B48">
        <w:t>.</w:t>
      </w:r>
    </w:p>
  </w:footnote>
  <w:footnote w:id="271">
    <w:p w14:paraId="06699287" w14:textId="455012F2" w:rsidR="006D1FD1" w:rsidRDefault="006D1FD1" w:rsidP="00471C23">
      <w:pPr>
        <w:pStyle w:val="Funotentext"/>
      </w:pPr>
      <w:r w:rsidRPr="00E56ECB">
        <w:rPr>
          <w:rStyle w:val="Funotenzeichen"/>
        </w:rPr>
        <w:footnoteRef/>
      </w:r>
      <w:r w:rsidRPr="00E56ECB">
        <w:t xml:space="preserve"> </w:t>
      </w:r>
      <w:hyperlink r:id="rId187" w:history="1">
        <w:r w:rsidRPr="0063273F">
          <w:rPr>
            <w:rStyle w:val="Hyperlink"/>
          </w:rPr>
          <w:t>BVerwG, Urt. v. 20.5.1987, Az. 7 C 83.84</w:t>
        </w:r>
      </w:hyperlink>
      <w:r w:rsidRPr="00E56ECB">
        <w:t xml:space="preserve"> (Rn. </w:t>
      </w:r>
      <w:r>
        <w:t>9</w:t>
      </w:r>
      <w:r w:rsidRPr="00E56ECB">
        <w:t>) = BVerwGE 77, 268 (271).</w:t>
      </w:r>
    </w:p>
  </w:footnote>
  <w:footnote w:id="272">
    <w:p w14:paraId="1B26FF91" w14:textId="29A981B3" w:rsidR="006D1FD1" w:rsidRPr="000F0B48" w:rsidRDefault="006D1FD1" w:rsidP="00471C23">
      <w:pPr>
        <w:pStyle w:val="Funotentext"/>
      </w:pPr>
      <w:r w:rsidRPr="000F0B48">
        <w:rPr>
          <w:rStyle w:val="Funotenzeichen"/>
        </w:rPr>
        <w:footnoteRef/>
      </w:r>
      <w:r w:rsidRPr="000F0B48">
        <w:t xml:space="preserve"> </w:t>
      </w:r>
      <w:r>
        <w:t>S</w:t>
      </w:r>
      <w:r w:rsidRPr="000F0B48">
        <w:t xml:space="preserve">. dazu näher </w:t>
      </w:r>
      <w:hyperlink r:id="rId188" w:history="1">
        <w:r w:rsidRPr="0057061A">
          <w:rPr>
            <w:rStyle w:val="Hyperlink"/>
          </w:rPr>
          <w:t>Giere, in: Eisentraut, Verwaltungsrecht in der Klausur, 2020, § 6 Rn. 71</w:t>
        </w:r>
      </w:hyperlink>
      <w:r w:rsidRPr="000F0B48">
        <w:t>.</w:t>
      </w:r>
    </w:p>
  </w:footnote>
  <w:footnote w:id="273">
    <w:p w14:paraId="42270BD5" w14:textId="312AC3A6" w:rsidR="006D1FD1" w:rsidRPr="000F0B48" w:rsidRDefault="006D1FD1" w:rsidP="00471C23">
      <w:pPr>
        <w:pStyle w:val="Funotentext"/>
      </w:pPr>
      <w:r w:rsidRPr="000F0B48">
        <w:rPr>
          <w:rStyle w:val="Funotenzeichen"/>
        </w:rPr>
        <w:footnoteRef/>
      </w:r>
      <w:r>
        <w:t xml:space="preserve"> S. </w:t>
      </w:r>
      <w:hyperlink r:id="rId189" w:history="1">
        <w:r w:rsidRPr="00AA1753">
          <w:rPr>
            <w:rStyle w:val="Hyperlink"/>
          </w:rPr>
          <w:t>Burbach, in: Eisentraut, Verwaltungsrecht in der Klausur, 2020, § 5 Rn. 31</w:t>
        </w:r>
      </w:hyperlink>
      <w:r w:rsidRPr="000F0B48">
        <w:t xml:space="preserve"> sowie R.P. Schenke, in: Kopp/Schenke, VwGO, 24. Aufl. 2018, § 42 Rn. 62</w:t>
      </w:r>
      <w:r>
        <w:t>.</w:t>
      </w:r>
    </w:p>
  </w:footnote>
  <w:footnote w:id="274">
    <w:p w14:paraId="6EFDC005" w14:textId="0B912A99" w:rsidR="006D1FD1" w:rsidRPr="000F0B48" w:rsidRDefault="006D1FD1" w:rsidP="00471C23">
      <w:pPr>
        <w:pStyle w:val="Funotentext"/>
      </w:pPr>
      <w:r w:rsidRPr="000F0B48">
        <w:rPr>
          <w:rStyle w:val="Funotenzeichen"/>
        </w:rPr>
        <w:footnoteRef/>
      </w:r>
      <w:r w:rsidRPr="000F0B48">
        <w:t xml:space="preserve"> </w:t>
      </w:r>
      <w:hyperlink r:id="rId190" w:history="1">
        <w:r w:rsidRPr="0063273F">
          <w:rPr>
            <w:rStyle w:val="Hyperlink"/>
          </w:rPr>
          <w:t>BVerwG, Urt. v. 20.11.2014, Az.</w:t>
        </w:r>
        <w:r>
          <w:rPr>
            <w:rStyle w:val="Hyperlink"/>
          </w:rPr>
          <w:t>:</w:t>
        </w:r>
        <w:r w:rsidRPr="0063273F">
          <w:rPr>
            <w:rStyle w:val="Hyperlink"/>
          </w:rPr>
          <w:t xml:space="preserve"> 3 C 27.13 Rn. 11</w:t>
        </w:r>
      </w:hyperlink>
      <w:r w:rsidRPr="000F0B48">
        <w:t xml:space="preserve"> = NVwZ-RR 2015, 425.</w:t>
      </w:r>
    </w:p>
  </w:footnote>
  <w:footnote w:id="275">
    <w:p w14:paraId="17BC7143" w14:textId="77777777" w:rsidR="006D1FD1" w:rsidRPr="000F0B48" w:rsidRDefault="006D1FD1" w:rsidP="00471C23">
      <w:pPr>
        <w:pStyle w:val="Funotentext"/>
      </w:pPr>
      <w:r w:rsidRPr="000F0B48">
        <w:rPr>
          <w:rStyle w:val="Funotenzeichen"/>
        </w:rPr>
        <w:footnoteRef/>
      </w:r>
      <w:r w:rsidRPr="000F0B48">
        <w:t xml:space="preserve"> Bereits an dieser Stelle wäre es möglich sich mit der Sonderdogmatik des Bundesverfassungsgerichts auseinanderzusetzen, die unter bestimmten Voraussetzungen die Eingriffsqualität staatlichen Informationshandelns verneint. Die Darstellung dieser Problematik erfolgt hier jedoch im Rahmen der Begründetheitsprüfung.</w:t>
      </w:r>
    </w:p>
  </w:footnote>
  <w:footnote w:id="276">
    <w:p w14:paraId="3351CB1E" w14:textId="1E77C9B6" w:rsidR="006D1FD1" w:rsidRPr="000F0B48" w:rsidRDefault="006D1FD1" w:rsidP="00471C23">
      <w:pPr>
        <w:pStyle w:val="Funotentext"/>
      </w:pPr>
      <w:r w:rsidRPr="000F0B48">
        <w:rPr>
          <w:rStyle w:val="Funotenzeichen"/>
        </w:rPr>
        <w:footnoteRef/>
      </w:r>
      <w:r w:rsidRPr="000F0B48">
        <w:t xml:space="preserve"> Vgl. Detterbeck, Allgemeines Verwaltungsrecht, </w:t>
      </w:r>
      <w:r w:rsidRPr="001B010C">
        <w:rPr>
          <w:rFonts w:cs="Arial"/>
        </w:rPr>
        <w:t>1</w:t>
      </w:r>
      <w:r>
        <w:rPr>
          <w:rFonts w:cs="Arial"/>
        </w:rPr>
        <w:t>7. Aufl. 2019</w:t>
      </w:r>
      <w:r w:rsidRPr="000F0B48">
        <w:t>, Rn. 1448 m.w.N. zur älteren Rechtsprechung, wonach dies im Rahmen des besonderen Rechtsschutzbedürfnisses in der Zulässigkeit geprüft wird.</w:t>
      </w:r>
    </w:p>
  </w:footnote>
  <w:footnote w:id="277">
    <w:p w14:paraId="63EA0514" w14:textId="77777777" w:rsidR="006D1FD1" w:rsidRPr="000F0B48" w:rsidRDefault="006D1FD1" w:rsidP="00471C23">
      <w:pPr>
        <w:pStyle w:val="Funotentext"/>
      </w:pPr>
      <w:r w:rsidRPr="000F0B48">
        <w:rPr>
          <w:rStyle w:val="Funotenzeichen"/>
        </w:rPr>
        <w:footnoteRef/>
      </w:r>
      <w:r w:rsidRPr="000F0B48">
        <w:t xml:space="preserve"> Zu den Ausnahmen, vgl. W.R. Schenke, in: Kopp/Schenke, VwGO, 24. Aufl. 2018, Vorb § 40 Rn. 34.</w:t>
      </w:r>
    </w:p>
  </w:footnote>
  <w:footnote w:id="278">
    <w:p w14:paraId="23D1BF89" w14:textId="5BAF90F7" w:rsidR="006D1FD1" w:rsidRPr="000F0B48" w:rsidRDefault="006D1FD1" w:rsidP="00471C23">
      <w:pPr>
        <w:pStyle w:val="Funotentext"/>
      </w:pPr>
      <w:r w:rsidRPr="000F0B48">
        <w:rPr>
          <w:rStyle w:val="Funotenzeichen"/>
        </w:rPr>
        <w:footnoteRef/>
      </w:r>
      <w:r w:rsidRPr="000F0B48">
        <w:t xml:space="preserve"> So </w:t>
      </w:r>
      <w:hyperlink r:id="rId191" w:history="1">
        <w:r w:rsidRPr="0063273F">
          <w:rPr>
            <w:rStyle w:val="Hyperlink"/>
          </w:rPr>
          <w:t>BVerwG, Urt. v. 23.5.1989, Az.</w:t>
        </w:r>
        <w:r>
          <w:rPr>
            <w:rStyle w:val="Hyperlink"/>
          </w:rPr>
          <w:t xml:space="preserve">: </w:t>
        </w:r>
        <w:r w:rsidRPr="0063273F">
          <w:rPr>
            <w:rStyle w:val="Hyperlink"/>
          </w:rPr>
          <w:t>7 C 2.87</w:t>
        </w:r>
      </w:hyperlink>
      <w:r w:rsidRPr="000F0B48">
        <w:t xml:space="preserve"> = BVerwGE 82, 76 (77f.).; </w:t>
      </w:r>
      <w:hyperlink r:id="rId192" w:history="1">
        <w:r w:rsidRPr="0063273F">
          <w:rPr>
            <w:rStyle w:val="Hyperlink"/>
          </w:rPr>
          <w:t>BVerwG, Urt. v. 15.12.2005, Az.</w:t>
        </w:r>
        <w:r>
          <w:rPr>
            <w:rStyle w:val="Hyperlink"/>
          </w:rPr>
          <w:t>:</w:t>
        </w:r>
        <w:r w:rsidRPr="0063273F">
          <w:rPr>
            <w:rStyle w:val="Hyperlink"/>
          </w:rPr>
          <w:t xml:space="preserve"> 7 C 20.04</w:t>
        </w:r>
      </w:hyperlink>
      <w:r w:rsidRPr="000F0B48">
        <w:t xml:space="preserve"> = NJW 2006, 1303 Rn. 10.</w:t>
      </w:r>
    </w:p>
  </w:footnote>
  <w:footnote w:id="279">
    <w:p w14:paraId="40ADBA7E" w14:textId="42605876" w:rsidR="006D1FD1" w:rsidRPr="000F0B48" w:rsidRDefault="006D1FD1" w:rsidP="00471C23">
      <w:pPr>
        <w:pStyle w:val="Funotentext"/>
      </w:pPr>
      <w:r w:rsidRPr="000F0B48">
        <w:rPr>
          <w:rStyle w:val="Funotenzeichen"/>
        </w:rPr>
        <w:footnoteRef/>
      </w:r>
      <w:r w:rsidRPr="000F0B48">
        <w:t xml:space="preserve"> VGH München, Beschl. v. 20.12.1995, Az. 4 B 94.4071 = NVwZ 1997, 96; </w:t>
      </w:r>
      <w:hyperlink r:id="rId193" w:history="1">
        <w:r w:rsidRPr="00873FF3">
          <w:rPr>
            <w:rStyle w:val="Hyperlink"/>
          </w:rPr>
          <w:t>OVG Koblenz, Urt. v. 29.8.1989, Az.</w:t>
        </w:r>
        <w:r>
          <w:rPr>
            <w:rStyle w:val="Hyperlink"/>
          </w:rPr>
          <w:t>:</w:t>
        </w:r>
        <w:r w:rsidRPr="00873FF3">
          <w:rPr>
            <w:rStyle w:val="Hyperlink"/>
          </w:rPr>
          <w:t xml:space="preserve"> 7 A 26/89</w:t>
        </w:r>
      </w:hyperlink>
      <w:r w:rsidRPr="000F0B48">
        <w:t xml:space="preserve"> = NVwZ 1990, 279; Eingehend zur dogmatischen Herleitung des öffentlich-rechtlichen Unterlassungsanspruchs Laubinger, VerwArch 1989, 261 (291ff.).</w:t>
      </w:r>
    </w:p>
  </w:footnote>
  <w:footnote w:id="280">
    <w:p w14:paraId="63D857CD" w14:textId="3DB9A6C4" w:rsidR="006D1FD1" w:rsidRPr="000F0B48" w:rsidRDefault="006D1FD1" w:rsidP="00471C23">
      <w:pPr>
        <w:pStyle w:val="Funotentext"/>
      </w:pPr>
      <w:r w:rsidRPr="000F0B48">
        <w:rPr>
          <w:rStyle w:val="Funotenzeichen"/>
        </w:rPr>
        <w:footnoteRef/>
      </w:r>
      <w:r w:rsidRPr="000F0B48">
        <w:t xml:space="preserve"> </w:t>
      </w:r>
      <w:hyperlink r:id="rId194" w:history="1">
        <w:r w:rsidRPr="0063273F">
          <w:rPr>
            <w:rStyle w:val="Hyperlink"/>
          </w:rPr>
          <w:t>OVG Münster, Urt. v. 23.4.1999, Az.</w:t>
        </w:r>
        <w:r>
          <w:rPr>
            <w:rStyle w:val="Hyperlink"/>
          </w:rPr>
          <w:t xml:space="preserve">: </w:t>
        </w:r>
        <w:r w:rsidRPr="0063273F">
          <w:rPr>
            <w:rStyle w:val="Hyperlink"/>
          </w:rPr>
          <w:t>21 A 490/97</w:t>
        </w:r>
      </w:hyperlink>
      <w:r>
        <w:t xml:space="preserve">, Rn.35 ff. = </w:t>
      </w:r>
      <w:r w:rsidRPr="000F0B48">
        <w:t>NVwZ-RR 2000, 599 (600)</w:t>
      </w:r>
    </w:p>
  </w:footnote>
  <w:footnote w:id="281">
    <w:p w14:paraId="3DACE2B2" w14:textId="2AF27D56" w:rsidR="006D1FD1" w:rsidRDefault="006D1FD1">
      <w:pPr>
        <w:pStyle w:val="Funotentext"/>
      </w:pPr>
      <w:r>
        <w:rPr>
          <w:rStyle w:val="Funotenzeichen"/>
        </w:rPr>
        <w:footnoteRef/>
      </w:r>
      <w:r>
        <w:t xml:space="preserve"> S. </w:t>
      </w:r>
      <w:hyperlink r:id="rId195" w:history="1">
        <w:r w:rsidRPr="00C87B0D">
          <w:rPr>
            <w:rStyle w:val="Hyperlink"/>
          </w:rPr>
          <w:t>Eisentraut, in: Eisentraut, Verwaltungsrecht in der Klausur, 2020, § 1 Rn. 206</w:t>
        </w:r>
      </w:hyperlink>
      <w:r>
        <w:t>.</w:t>
      </w:r>
    </w:p>
  </w:footnote>
  <w:footnote w:id="282">
    <w:p w14:paraId="7DAD401E" w14:textId="6DDAA53B" w:rsidR="006D1FD1" w:rsidRPr="000F0B48" w:rsidRDefault="006D1FD1" w:rsidP="00471C23">
      <w:pPr>
        <w:pStyle w:val="Funotentext"/>
      </w:pPr>
      <w:r w:rsidRPr="000F0B48">
        <w:rPr>
          <w:rStyle w:val="Funotenzeichen"/>
        </w:rPr>
        <w:footnoteRef/>
      </w:r>
      <w:r w:rsidRPr="000F0B48">
        <w:t xml:space="preserve"> BVerwG, Urt. v. 30.3.1995, Az.</w:t>
      </w:r>
      <w:r>
        <w:t>:</w:t>
      </w:r>
      <w:r w:rsidRPr="000F0B48">
        <w:t xml:space="preserve"> 3 C 8.94 = BVerwGE 98, 118 (120f.); Zum Begriff des subjektiv-öffentlichen Rechts</w:t>
      </w:r>
      <w:r w:rsidRPr="0057061A">
        <w:t xml:space="preserve"> </w:t>
      </w:r>
      <w:hyperlink r:id="rId196" w:history="1">
        <w:r w:rsidRPr="0057061A">
          <w:rPr>
            <w:rStyle w:val="Hyperlink"/>
          </w:rPr>
          <w:t>Eisentraut, in: Eisentraut, Verwaltungsrecht in der Klausur, 2020, § 2 Rn. 828</w:t>
        </w:r>
      </w:hyperlink>
      <w:r>
        <w:t xml:space="preserve"> sowie</w:t>
      </w:r>
      <w:r w:rsidRPr="000F0B48">
        <w:t xml:space="preserve"> Detterbeck, Allgemeines Verwaltungsrecht, </w:t>
      </w:r>
      <w:r w:rsidRPr="001B010C">
        <w:rPr>
          <w:rFonts w:cs="Arial"/>
        </w:rPr>
        <w:t>1</w:t>
      </w:r>
      <w:r>
        <w:rPr>
          <w:rFonts w:cs="Arial"/>
        </w:rPr>
        <w:t>7. Aufl. 2019</w:t>
      </w:r>
      <w:r w:rsidRPr="000F0B48">
        <w:t>, Rn. 394ff.</w:t>
      </w:r>
    </w:p>
  </w:footnote>
  <w:footnote w:id="283">
    <w:p w14:paraId="7A81A745" w14:textId="77777777" w:rsidR="006D1FD1" w:rsidRPr="000F0B48" w:rsidRDefault="006D1FD1" w:rsidP="00471C23">
      <w:pPr>
        <w:pStyle w:val="Funotentext"/>
      </w:pPr>
      <w:r w:rsidRPr="000F0B48">
        <w:rPr>
          <w:rStyle w:val="Funotenzeichen"/>
        </w:rPr>
        <w:footnoteRef/>
      </w:r>
      <w:r w:rsidRPr="000F0B48">
        <w:t xml:space="preserve"> Vgl. § 1 LFGB.</w:t>
      </w:r>
    </w:p>
  </w:footnote>
  <w:footnote w:id="284">
    <w:p w14:paraId="5AFB0351" w14:textId="24EEF24B" w:rsidR="006D1FD1" w:rsidRPr="000F0B48" w:rsidRDefault="006D1FD1" w:rsidP="00471C23">
      <w:pPr>
        <w:pStyle w:val="Funotentext"/>
      </w:pPr>
      <w:r w:rsidRPr="000F0B48">
        <w:rPr>
          <w:rStyle w:val="Funotenzeichen"/>
        </w:rPr>
        <w:footnoteRef/>
      </w:r>
      <w:r w:rsidRPr="000F0B48">
        <w:t xml:space="preserve"> BVerfG, Urt. v. 11.6.1958, Az.</w:t>
      </w:r>
      <w:r>
        <w:t xml:space="preserve">: </w:t>
      </w:r>
      <w:r w:rsidRPr="000F0B48">
        <w:t xml:space="preserve">1 BvR 596/56 = BVerfGE 7, 377, 397ff.; </w:t>
      </w:r>
      <w:hyperlink r:id="rId197" w:history="1">
        <w:r w:rsidRPr="0063273F">
          <w:rPr>
            <w:rStyle w:val="Hyperlink"/>
          </w:rPr>
          <w:t>BVerfG, Beschl. v. 20.4.2004, Az. 1 BvR 838, 1303, 1436, 1450/01, 340/02</w:t>
        </w:r>
      </w:hyperlink>
      <w:r w:rsidRPr="000F0B48">
        <w:t xml:space="preserve"> = BVerfGE 110, 304 (321).</w:t>
      </w:r>
    </w:p>
  </w:footnote>
  <w:footnote w:id="285">
    <w:p w14:paraId="6ABB2100" w14:textId="08095445" w:rsidR="006D1FD1" w:rsidRPr="000F0B48" w:rsidRDefault="006D1FD1" w:rsidP="00471C23">
      <w:pPr>
        <w:pStyle w:val="Funotentext"/>
      </w:pPr>
      <w:r w:rsidRPr="000F0B48">
        <w:rPr>
          <w:rStyle w:val="Funotenzeichen"/>
        </w:rPr>
        <w:footnoteRef/>
      </w:r>
      <w:r w:rsidRPr="000F0B48">
        <w:t xml:space="preserve"> </w:t>
      </w:r>
      <w:hyperlink r:id="rId198" w:history="1">
        <w:r w:rsidRPr="0063273F">
          <w:rPr>
            <w:rStyle w:val="Hyperlink"/>
          </w:rPr>
          <w:t>BVerfG, Beschl. v. 26.6.2002, Az.</w:t>
        </w:r>
        <w:r>
          <w:rPr>
            <w:rStyle w:val="Hyperlink"/>
          </w:rPr>
          <w:t xml:space="preserve">: </w:t>
        </w:r>
        <w:r w:rsidRPr="0063273F">
          <w:rPr>
            <w:rStyle w:val="Hyperlink"/>
          </w:rPr>
          <w:t>1 BvR 558/91, 1428/91</w:t>
        </w:r>
      </w:hyperlink>
      <w:r w:rsidRPr="000F0B48">
        <w:t xml:space="preserve"> = BVerfGE 105, 252 (265).</w:t>
      </w:r>
    </w:p>
  </w:footnote>
  <w:footnote w:id="286">
    <w:p w14:paraId="27EDF064" w14:textId="64297973" w:rsidR="006D1FD1" w:rsidRPr="000F0B48" w:rsidRDefault="006D1FD1" w:rsidP="00471C23">
      <w:pPr>
        <w:pStyle w:val="Funotentext"/>
      </w:pPr>
      <w:r w:rsidRPr="000F0B48">
        <w:rPr>
          <w:rStyle w:val="Funotenzeichen"/>
        </w:rPr>
        <w:footnoteRef/>
      </w:r>
      <w:r w:rsidRPr="000F0B48">
        <w:t xml:space="preserve"> </w:t>
      </w:r>
      <w:hyperlink r:id="rId199" w:history="1">
        <w:r w:rsidRPr="0063273F">
          <w:rPr>
            <w:rStyle w:val="Hyperlink"/>
          </w:rPr>
          <w:t>BVerfG, Urt. v. 20.4.2004, Az.</w:t>
        </w:r>
        <w:r>
          <w:rPr>
            <w:rStyle w:val="Hyperlink"/>
          </w:rPr>
          <w:t>:</w:t>
        </w:r>
        <w:r w:rsidRPr="0063273F">
          <w:rPr>
            <w:rStyle w:val="Hyperlink"/>
          </w:rPr>
          <w:t xml:space="preserve"> 1 BvR 1748/99, 905/00</w:t>
        </w:r>
      </w:hyperlink>
      <w:r w:rsidRPr="000F0B48">
        <w:t xml:space="preserve"> = BVerfGE 110, 274 (288).</w:t>
      </w:r>
    </w:p>
  </w:footnote>
  <w:footnote w:id="287">
    <w:p w14:paraId="6E2BFBAD" w14:textId="5CF61CB8" w:rsidR="006D1FD1" w:rsidRPr="000F0B48" w:rsidRDefault="006D1FD1" w:rsidP="00471C23">
      <w:pPr>
        <w:pStyle w:val="Funotentext"/>
      </w:pPr>
      <w:r w:rsidRPr="000F0B48">
        <w:rPr>
          <w:rStyle w:val="Funotenzeichen"/>
        </w:rPr>
        <w:footnoteRef/>
      </w:r>
      <w:r w:rsidRPr="000F0B48">
        <w:t xml:space="preserve"> </w:t>
      </w:r>
      <w:hyperlink r:id="rId200" w:history="1">
        <w:r w:rsidRPr="0063273F">
          <w:rPr>
            <w:rStyle w:val="Hyperlink"/>
          </w:rPr>
          <w:t>BVerfG, Beschl. v. 23.10.2013, Az.</w:t>
        </w:r>
        <w:r>
          <w:rPr>
            <w:rStyle w:val="Hyperlink"/>
          </w:rPr>
          <w:t>:</w:t>
        </w:r>
        <w:r w:rsidRPr="0063273F">
          <w:rPr>
            <w:rStyle w:val="Hyperlink"/>
          </w:rPr>
          <w:t xml:space="preserve"> 1 BvR 1842, 1843/11</w:t>
        </w:r>
      </w:hyperlink>
      <w:r w:rsidRPr="000F0B48">
        <w:t xml:space="preserve"> = BVerfGE 134, 204 Rn. 114.</w:t>
      </w:r>
    </w:p>
  </w:footnote>
  <w:footnote w:id="288">
    <w:p w14:paraId="28630366" w14:textId="11525CCD" w:rsidR="006D1FD1" w:rsidRPr="000F0B48" w:rsidRDefault="006D1FD1" w:rsidP="00471C23">
      <w:pPr>
        <w:pStyle w:val="Funotentext"/>
      </w:pPr>
      <w:r w:rsidRPr="000F0B48">
        <w:rPr>
          <w:rStyle w:val="Funotenzeichen"/>
        </w:rPr>
        <w:footnoteRef/>
      </w:r>
      <w:r w:rsidRPr="000F0B48">
        <w:t xml:space="preserve"> </w:t>
      </w:r>
      <w:hyperlink r:id="rId201" w:history="1">
        <w:r w:rsidRPr="0063273F">
          <w:rPr>
            <w:rStyle w:val="Hyperlink"/>
          </w:rPr>
          <w:t>BVerfG, Beschl. v. 26.6.2002, Az.</w:t>
        </w:r>
        <w:r>
          <w:rPr>
            <w:rStyle w:val="Hyperlink"/>
          </w:rPr>
          <w:t>:</w:t>
        </w:r>
        <w:r w:rsidRPr="0063273F">
          <w:rPr>
            <w:rStyle w:val="Hyperlink"/>
          </w:rPr>
          <w:t xml:space="preserve"> 1 BvR 558/91, 1428/91</w:t>
        </w:r>
      </w:hyperlink>
      <w:r w:rsidRPr="000F0B48">
        <w:t xml:space="preserve"> = BVerfGE 105, 252 (273).</w:t>
      </w:r>
    </w:p>
  </w:footnote>
  <w:footnote w:id="289">
    <w:p w14:paraId="79863B17" w14:textId="73D13A3E" w:rsidR="006D1FD1" w:rsidRPr="000F0B48" w:rsidRDefault="006D1FD1" w:rsidP="00471C23">
      <w:pPr>
        <w:pStyle w:val="Funotentext"/>
      </w:pPr>
      <w:r w:rsidRPr="000F0B48">
        <w:rPr>
          <w:rStyle w:val="Funotenzeichen"/>
        </w:rPr>
        <w:footnoteRef/>
      </w:r>
      <w:r w:rsidRPr="000F0B48">
        <w:t xml:space="preserve"> </w:t>
      </w:r>
      <w:hyperlink r:id="rId202" w:history="1">
        <w:r w:rsidRPr="0063273F">
          <w:rPr>
            <w:rStyle w:val="Hyperlink"/>
          </w:rPr>
          <w:t>BVerfG, Beschl. v. 26.6.2002, Az.</w:t>
        </w:r>
        <w:r>
          <w:rPr>
            <w:rStyle w:val="Hyperlink"/>
          </w:rPr>
          <w:t>:</w:t>
        </w:r>
        <w:r w:rsidRPr="0063273F">
          <w:rPr>
            <w:rStyle w:val="Hyperlink"/>
          </w:rPr>
          <w:t xml:space="preserve"> 1 BvR 558/91, 1428/91</w:t>
        </w:r>
      </w:hyperlink>
      <w:r w:rsidRPr="000F0B48">
        <w:t xml:space="preserve"> = BVerfGE 105, 252 (273)</w:t>
      </w:r>
      <w:r>
        <w:t>.</w:t>
      </w:r>
    </w:p>
  </w:footnote>
  <w:footnote w:id="290">
    <w:p w14:paraId="2D95D5CC" w14:textId="697CCDF6" w:rsidR="006D1FD1" w:rsidRPr="000F0B48" w:rsidRDefault="006D1FD1" w:rsidP="00471C23">
      <w:pPr>
        <w:pStyle w:val="Funotentext"/>
        <w:rPr>
          <w:highlight w:val="yellow"/>
        </w:rPr>
      </w:pPr>
      <w:r w:rsidRPr="000F0B48">
        <w:rPr>
          <w:rStyle w:val="Funotenzeichen"/>
        </w:rPr>
        <w:footnoteRef/>
      </w:r>
      <w:r w:rsidRPr="000F0B48">
        <w:t xml:space="preserve"> </w:t>
      </w:r>
      <w:bookmarkStart w:id="393" w:name="_Hlk7083656"/>
      <w:r>
        <w:fldChar w:fldCharType="begin"/>
      </w:r>
      <w:r>
        <w:instrText xml:space="preserve"> HYPERLINK "https://www.bundesverfassungsgericht.de/e/fs20180321_1bvf000113.html" </w:instrText>
      </w:r>
      <w:r>
        <w:fldChar w:fldCharType="separate"/>
      </w:r>
      <w:r>
        <w:rPr>
          <w:rStyle w:val="Hyperlink"/>
        </w:rPr>
        <w:t>BVerfG, Beschl. v.</w:t>
      </w:r>
      <w:r w:rsidRPr="0063273F">
        <w:rPr>
          <w:rStyle w:val="Hyperlink"/>
        </w:rPr>
        <w:t xml:space="preserve"> 21.3.2018, Az.</w:t>
      </w:r>
      <w:r>
        <w:rPr>
          <w:rStyle w:val="Hyperlink"/>
        </w:rPr>
        <w:t>:</w:t>
      </w:r>
      <w:r w:rsidRPr="0063273F">
        <w:rPr>
          <w:rStyle w:val="Hyperlink"/>
        </w:rPr>
        <w:t xml:space="preserve"> 1 BvF 1/13</w:t>
      </w:r>
      <w:r>
        <w:fldChar w:fldCharType="end"/>
      </w:r>
      <w:r w:rsidRPr="000F0B48">
        <w:t xml:space="preserve"> = NJW 2018, 2109 Rn. 28</w:t>
      </w:r>
      <w:bookmarkEnd w:id="393"/>
      <w:r w:rsidRPr="000F0B48">
        <w:t>.</w:t>
      </w:r>
    </w:p>
  </w:footnote>
  <w:footnote w:id="291">
    <w:p w14:paraId="6837B113" w14:textId="6C0FCEBF" w:rsidR="006D1FD1" w:rsidRPr="000F0B48" w:rsidRDefault="006D1FD1" w:rsidP="00471C23">
      <w:pPr>
        <w:pStyle w:val="Funotentext"/>
      </w:pPr>
      <w:r w:rsidRPr="000F0B48">
        <w:rPr>
          <w:rStyle w:val="Funotenzeichen"/>
        </w:rPr>
        <w:footnoteRef/>
      </w:r>
      <w:r w:rsidRPr="000F0B48">
        <w:t xml:space="preserve"> </w:t>
      </w:r>
      <w:hyperlink r:id="rId203" w:history="1">
        <w:r w:rsidRPr="0063273F">
          <w:rPr>
            <w:rStyle w:val="Hyperlink"/>
          </w:rPr>
          <w:t>BVerfG, Beschl. v</w:t>
        </w:r>
        <w:r>
          <w:rPr>
            <w:rStyle w:val="Hyperlink"/>
          </w:rPr>
          <w:t>.</w:t>
        </w:r>
        <w:r w:rsidRPr="0063273F">
          <w:rPr>
            <w:rStyle w:val="Hyperlink"/>
          </w:rPr>
          <w:t xml:space="preserve"> 21.3.2018, Az.</w:t>
        </w:r>
        <w:r>
          <w:rPr>
            <w:rStyle w:val="Hyperlink"/>
          </w:rPr>
          <w:t xml:space="preserve">: </w:t>
        </w:r>
        <w:r w:rsidRPr="0063273F">
          <w:rPr>
            <w:rStyle w:val="Hyperlink"/>
          </w:rPr>
          <w:t>1 BvF 1/13</w:t>
        </w:r>
      </w:hyperlink>
      <w:r>
        <w:t xml:space="preserve"> </w:t>
      </w:r>
      <w:r w:rsidRPr="000F0B48">
        <w:t>= NJW 2018, 2109 Rn. 28.</w:t>
      </w:r>
    </w:p>
  </w:footnote>
  <w:footnote w:id="292">
    <w:p w14:paraId="3B91080F" w14:textId="26A150C5" w:rsidR="006D1FD1" w:rsidRPr="000F0B48" w:rsidRDefault="006D1FD1" w:rsidP="00471C23">
      <w:pPr>
        <w:pStyle w:val="Funotentext"/>
      </w:pPr>
      <w:r w:rsidRPr="000F0B48">
        <w:rPr>
          <w:rStyle w:val="Funotenzeichen"/>
        </w:rPr>
        <w:footnoteRef/>
      </w:r>
      <w:r w:rsidRPr="000F0B48">
        <w:t xml:space="preserve"> </w:t>
      </w:r>
      <w:hyperlink r:id="rId204" w:history="1">
        <w:r w:rsidRPr="0063273F">
          <w:rPr>
            <w:rStyle w:val="Hyperlink"/>
          </w:rPr>
          <w:t>BVerfG, Beschl. v</w:t>
        </w:r>
        <w:r>
          <w:rPr>
            <w:rStyle w:val="Hyperlink"/>
          </w:rPr>
          <w:t>.</w:t>
        </w:r>
        <w:r w:rsidRPr="0063273F">
          <w:rPr>
            <w:rStyle w:val="Hyperlink"/>
          </w:rPr>
          <w:t xml:space="preserve"> 21.3.2018, Az.</w:t>
        </w:r>
        <w:r>
          <w:rPr>
            <w:rStyle w:val="Hyperlink"/>
          </w:rPr>
          <w:t>:</w:t>
        </w:r>
        <w:r w:rsidRPr="0063273F">
          <w:rPr>
            <w:rStyle w:val="Hyperlink"/>
          </w:rPr>
          <w:t xml:space="preserve"> 1 BvF 1/13</w:t>
        </w:r>
      </w:hyperlink>
      <w:r w:rsidRPr="000F0B48">
        <w:t xml:space="preserve"> = NJW 2018, 2109 Rn. 28.</w:t>
      </w:r>
    </w:p>
  </w:footnote>
  <w:footnote w:id="293">
    <w:p w14:paraId="45EEFF57" w14:textId="0A3BF033" w:rsidR="006D1FD1" w:rsidRPr="000F0B48" w:rsidRDefault="006D1FD1" w:rsidP="00471C23">
      <w:pPr>
        <w:pStyle w:val="Funotentext"/>
      </w:pPr>
      <w:r w:rsidRPr="000F0B48">
        <w:rPr>
          <w:rStyle w:val="Funotenzeichen"/>
        </w:rPr>
        <w:footnoteRef/>
      </w:r>
      <w:r w:rsidRPr="000F0B48">
        <w:t xml:space="preserve"> Zu den da</w:t>
      </w:r>
      <w:r>
        <w:t>raus folgenden Aufbaufragen: Voß</w:t>
      </w:r>
      <w:r w:rsidRPr="000F0B48">
        <w:t>kuhle/Kaiser, JuS 2018, 343 (344).</w:t>
      </w:r>
    </w:p>
  </w:footnote>
  <w:footnote w:id="294">
    <w:p w14:paraId="7CC688EA" w14:textId="1938C84F" w:rsidR="006D1FD1" w:rsidRPr="000F0B48" w:rsidRDefault="006D1FD1" w:rsidP="00471C23">
      <w:pPr>
        <w:pStyle w:val="Funotentext"/>
      </w:pPr>
      <w:r w:rsidRPr="000F0B48">
        <w:rPr>
          <w:rStyle w:val="Funotenzeichen"/>
        </w:rPr>
        <w:footnoteRef/>
      </w:r>
      <w:r w:rsidRPr="000F0B48">
        <w:t xml:space="preserve"> </w:t>
      </w:r>
      <w:hyperlink r:id="rId205" w:history="1">
        <w:r w:rsidRPr="0063273F">
          <w:rPr>
            <w:rStyle w:val="Hyperlink"/>
          </w:rPr>
          <w:t>BVerfG, Beschl. v. 26.6.2002, Az.</w:t>
        </w:r>
        <w:r>
          <w:rPr>
            <w:rStyle w:val="Hyperlink"/>
          </w:rPr>
          <w:t>:</w:t>
        </w:r>
        <w:r w:rsidRPr="0063273F">
          <w:rPr>
            <w:rStyle w:val="Hyperlink"/>
          </w:rPr>
          <w:t xml:space="preserve"> 1 BvR 558/91, 1428/91</w:t>
        </w:r>
      </w:hyperlink>
      <w:r w:rsidRPr="000F0B48">
        <w:t xml:space="preserve"> = BVerfGE 105, 252 (268</w:t>
      </w:r>
      <w:r>
        <w:t> </w:t>
      </w:r>
      <w:r w:rsidRPr="000F0B48">
        <w:t>ff.)</w:t>
      </w:r>
    </w:p>
  </w:footnote>
  <w:footnote w:id="295">
    <w:p w14:paraId="677F70D1" w14:textId="7EEBA16C" w:rsidR="006D1FD1" w:rsidRPr="000F0B48" w:rsidRDefault="006D1FD1" w:rsidP="00471C23">
      <w:pPr>
        <w:pStyle w:val="Funotentext"/>
      </w:pPr>
      <w:r w:rsidRPr="000F0B48">
        <w:rPr>
          <w:rStyle w:val="Funotenzeichen"/>
        </w:rPr>
        <w:footnoteRef/>
      </w:r>
      <w:r w:rsidRPr="000F0B48">
        <w:t xml:space="preserve"> </w:t>
      </w:r>
      <w:r>
        <w:t>S. </w:t>
      </w:r>
      <w:r w:rsidRPr="000F0B48">
        <w:t>Muckel, JA 2018, 638 (639) m.w.N.</w:t>
      </w:r>
    </w:p>
  </w:footnote>
  <w:footnote w:id="296">
    <w:p w14:paraId="1F17ECDA" w14:textId="77777777" w:rsidR="006D1FD1" w:rsidRPr="000F0B48" w:rsidRDefault="006D1FD1" w:rsidP="00471C23">
      <w:pPr>
        <w:pStyle w:val="Funotentext"/>
      </w:pPr>
      <w:r w:rsidRPr="000F0B48">
        <w:rPr>
          <w:rStyle w:val="Funotenzeichen"/>
        </w:rPr>
        <w:footnoteRef/>
      </w:r>
      <w:r w:rsidRPr="000F0B48">
        <w:t xml:space="preserve"> Sachs, in: Sachs, GG, 8. Aufl. 2018, Vorb. zu Abschnitt 1 Rn. 89 m.w.N.</w:t>
      </w:r>
    </w:p>
  </w:footnote>
  <w:footnote w:id="297">
    <w:p w14:paraId="73E62263" w14:textId="25C9D98F" w:rsidR="006D1FD1" w:rsidRPr="000F0B48" w:rsidRDefault="006D1FD1" w:rsidP="00471C23">
      <w:pPr>
        <w:pStyle w:val="Funotentext"/>
      </w:pPr>
      <w:r w:rsidRPr="000F0B48">
        <w:rPr>
          <w:rStyle w:val="Funotenzeichen"/>
        </w:rPr>
        <w:footnoteRef/>
      </w:r>
      <w:r w:rsidRPr="000F0B48">
        <w:t xml:space="preserve"> </w:t>
      </w:r>
      <w:hyperlink r:id="rId206" w:history="1">
        <w:r w:rsidRPr="0063273F">
          <w:rPr>
            <w:rStyle w:val="Hyperlink"/>
          </w:rPr>
          <w:t>BVerfG, Beschl. v. 12.11.1997, Az.</w:t>
        </w:r>
        <w:r>
          <w:rPr>
            <w:rStyle w:val="Hyperlink"/>
          </w:rPr>
          <w:t xml:space="preserve">: </w:t>
        </w:r>
        <w:r w:rsidRPr="0063273F">
          <w:rPr>
            <w:rStyle w:val="Hyperlink"/>
          </w:rPr>
          <w:t>1 BvR 479/92, 307/94</w:t>
        </w:r>
      </w:hyperlink>
      <w:r>
        <w:t xml:space="preserve">, </w:t>
      </w:r>
      <w:r w:rsidRPr="000F0B48">
        <w:t>Rn. 61 = BVerfGE 96, 375 (397).</w:t>
      </w:r>
    </w:p>
  </w:footnote>
  <w:footnote w:id="298">
    <w:p w14:paraId="5EC21CD6" w14:textId="77777777" w:rsidR="006D1FD1" w:rsidRPr="000F0B48" w:rsidRDefault="006D1FD1" w:rsidP="00471C23">
      <w:pPr>
        <w:pStyle w:val="Funotentext"/>
      </w:pPr>
      <w:r w:rsidRPr="000F0B48">
        <w:rPr>
          <w:rStyle w:val="Funotenzeichen"/>
        </w:rPr>
        <w:footnoteRef/>
      </w:r>
      <w:r w:rsidRPr="000F0B48">
        <w:rPr>
          <w:lang w:val="en-GB"/>
        </w:rPr>
        <w:t xml:space="preserve"> Jarass, in: Jarass/Pieroth, GG, 15. </w:t>
      </w:r>
      <w:r w:rsidRPr="000F0B48">
        <w:t>Aufl. 2018, Art. 14 Rn. 21.</w:t>
      </w:r>
    </w:p>
  </w:footnote>
  <w:footnote w:id="299">
    <w:p w14:paraId="57D914BC" w14:textId="0CDE0B2D" w:rsidR="006D1FD1" w:rsidRPr="000F0B48" w:rsidRDefault="006D1FD1" w:rsidP="00471C23">
      <w:pPr>
        <w:pStyle w:val="Funotentext"/>
      </w:pPr>
      <w:r w:rsidRPr="000F0B48">
        <w:rPr>
          <w:rStyle w:val="Funotenzeichen"/>
        </w:rPr>
        <w:footnoteRef/>
      </w:r>
      <w:r w:rsidRPr="000F0B48">
        <w:t xml:space="preserve"> Das Bundesverfassungsgericht hat 2018 § 40 I a LFGB für verfassungswidrig erklärt, der die Behörde zur Information der Öffentlichkeit verpflichtet. Die zeitlich nicht begrenzte Veröffentlichungsdauer sei danach nicht mit Art. 12 I GG vereinbar. Dem Gesetzgeber wurde eine Übergangsfrist bis 30.4.2019 eingeräumt, um eine Neuregelung zu schaffen. Bislang liegt eine solche jedoch noch nicht vor, vgl. </w:t>
      </w:r>
      <w:hyperlink r:id="rId207" w:history="1">
        <w:r w:rsidRPr="0063273F">
          <w:rPr>
            <w:rStyle w:val="Hyperlink"/>
          </w:rPr>
          <w:t>BVerfG, Beschl. vom 21.3.2018, Az.</w:t>
        </w:r>
        <w:r>
          <w:rPr>
            <w:rStyle w:val="Hyperlink"/>
          </w:rPr>
          <w:t>:</w:t>
        </w:r>
        <w:r w:rsidRPr="0063273F">
          <w:rPr>
            <w:rStyle w:val="Hyperlink"/>
          </w:rPr>
          <w:t xml:space="preserve"> 1 BvF 1/13</w:t>
        </w:r>
      </w:hyperlink>
      <w:r>
        <w:t xml:space="preserve">, </w:t>
      </w:r>
      <w:r w:rsidRPr="000F0B48">
        <w:t>Rn. 63</w:t>
      </w:r>
      <w:r>
        <w:t> </w:t>
      </w:r>
      <w:r w:rsidRPr="000F0B48">
        <w:t>f. = NJW 2018, 2109.</w:t>
      </w:r>
    </w:p>
  </w:footnote>
  <w:footnote w:id="300">
    <w:p w14:paraId="3DFD45B7" w14:textId="19315DB3" w:rsidR="006D1FD1" w:rsidRPr="000F0B48" w:rsidRDefault="006D1FD1" w:rsidP="00471C23">
      <w:pPr>
        <w:pStyle w:val="Funotentext"/>
      </w:pPr>
      <w:r w:rsidRPr="000F0B48">
        <w:rPr>
          <w:rStyle w:val="Funotenzeichen"/>
        </w:rPr>
        <w:footnoteRef/>
      </w:r>
      <w:r w:rsidRPr="000F0B48">
        <w:t xml:space="preserve"> </w:t>
      </w:r>
      <w:r>
        <w:t>S</w:t>
      </w:r>
      <w:r w:rsidRPr="000F0B48">
        <w:t xml:space="preserve">. näher </w:t>
      </w:r>
      <w:hyperlink r:id="rId208" w:history="1">
        <w:r w:rsidRPr="00144A4A">
          <w:rPr>
            <w:rStyle w:val="Hyperlink"/>
          </w:rPr>
          <w:t>Benrath, in: Eisentraut, Verwaltungsrecht in der Klausur, 2020, § 2 Rn.732</w:t>
        </w:r>
      </w:hyperlink>
      <w:r>
        <w:t xml:space="preserve"> </w:t>
      </w:r>
      <w:r w:rsidRPr="000F0B48">
        <w:t>sowie Sachs, in: Stelkens/Bonk/Sachs, VwVfG 9. Aufl. 2018, § 40 Rn. 26.</w:t>
      </w:r>
    </w:p>
  </w:footnote>
  <w:footnote w:id="301">
    <w:p w14:paraId="1FFA94C8" w14:textId="7D1E27AA" w:rsidR="006D1FD1" w:rsidRDefault="006D1FD1" w:rsidP="003F18F9">
      <w:pPr>
        <w:pStyle w:val="Funotentext"/>
      </w:pPr>
      <w:r>
        <w:rPr>
          <w:rStyle w:val="Funotenzeichen"/>
        </w:rPr>
        <w:footnoteRef/>
      </w:r>
      <w:r>
        <w:t xml:space="preserve"> Ausführlich zur Eröffnung des Verwaltungsrechtswegs </w:t>
      </w:r>
      <w:hyperlink r:id="rId209" w:history="1">
        <w:r w:rsidRPr="00C87B0D">
          <w:rPr>
            <w:rStyle w:val="Hyperlink"/>
          </w:rPr>
          <w:t>Eisentraut, in: Eisentraut, Veraltungsrecht in der Klausur, 2020, § 1 Rn. 162 ff.</w:t>
        </w:r>
      </w:hyperlink>
    </w:p>
  </w:footnote>
  <w:footnote w:id="302">
    <w:p w14:paraId="070E4ECB" w14:textId="47AF1953" w:rsidR="006D1FD1" w:rsidRDefault="006D1FD1" w:rsidP="00EF1CEB">
      <w:pPr>
        <w:pStyle w:val="Funotentext"/>
      </w:pPr>
      <w:r>
        <w:rPr>
          <w:rStyle w:val="Funotenzeichen"/>
        </w:rPr>
        <w:footnoteRef/>
      </w:r>
      <w:r>
        <w:t xml:space="preserve"> Ausführlich zur „klassischen“ Feststellungsklage als statthafter Klageart </w:t>
      </w:r>
      <w:hyperlink r:id="rId210" w:history="1">
        <w:r w:rsidRPr="0057061A">
          <w:rPr>
            <w:rStyle w:val="Hyperlink"/>
          </w:rPr>
          <w:t>Giere, in: Eisentraut, Verwaltungsrecht in der Klausur, 2020, § 6 Rn. 12 ff.</w:t>
        </w:r>
      </w:hyperlink>
      <w:r>
        <w:t xml:space="preserve">, zur Statthaftigkeit der Nichtigkeitsfeststellungsklage </w:t>
      </w:r>
      <w:hyperlink r:id="rId211" w:history="1">
        <w:r w:rsidRPr="0057061A">
          <w:rPr>
            <w:rStyle w:val="Hyperlink"/>
          </w:rPr>
          <w:t>Brings-Wiesen, a.a.O., § 6 Rn. 73 ff.</w:t>
        </w:r>
      </w:hyperlink>
    </w:p>
  </w:footnote>
  <w:footnote w:id="303">
    <w:p w14:paraId="1DBAF1EE" w14:textId="0253F840" w:rsidR="006D1FD1" w:rsidRDefault="006D1FD1">
      <w:pPr>
        <w:pStyle w:val="Funotentext"/>
      </w:pPr>
      <w:r>
        <w:rPr>
          <w:rStyle w:val="Funotenzeichen"/>
        </w:rPr>
        <w:footnoteRef/>
      </w:r>
      <w:r>
        <w:t xml:space="preserve"> Zur Klagebefugnis bei der Feststellungsklage </w:t>
      </w:r>
      <w:hyperlink r:id="rId212" w:history="1">
        <w:r w:rsidRPr="0057061A">
          <w:rPr>
            <w:rStyle w:val="Hyperlink"/>
          </w:rPr>
          <w:t>Burbach, in: Eisentraut, Verwaltungsrecht in der Klausur, 2020, § 6 Rn. 78 ff.</w:t>
        </w:r>
      </w:hyperlink>
    </w:p>
  </w:footnote>
  <w:footnote w:id="304">
    <w:p w14:paraId="2C4AA2F6" w14:textId="107BC90F" w:rsidR="006D1FD1" w:rsidRDefault="006D1FD1">
      <w:pPr>
        <w:pStyle w:val="Funotentext"/>
      </w:pPr>
      <w:r>
        <w:rPr>
          <w:rStyle w:val="Funotenzeichen"/>
        </w:rPr>
        <w:footnoteRef/>
      </w:r>
      <w:r>
        <w:t xml:space="preserve"> Zu den Beteiligten bei der Feststellungsklage </w:t>
      </w:r>
      <w:hyperlink r:id="rId213" w:history="1">
        <w:r w:rsidRPr="0057061A">
          <w:rPr>
            <w:rStyle w:val="Hyperlink"/>
          </w:rPr>
          <w:t>Creemers, in: Eisentraut, Verwaltungsrecht in der Klausur, 2020, § 6 Rn. 86 ff.</w:t>
        </w:r>
      </w:hyperlink>
    </w:p>
  </w:footnote>
  <w:footnote w:id="305">
    <w:p w14:paraId="30B066A4" w14:textId="01B408FF" w:rsidR="006D1FD1" w:rsidRDefault="006D1FD1">
      <w:pPr>
        <w:pStyle w:val="Funotentext"/>
      </w:pPr>
      <w:r>
        <w:rPr>
          <w:rStyle w:val="Funotenzeichen"/>
        </w:rPr>
        <w:footnoteRef/>
      </w:r>
      <w:r>
        <w:t xml:space="preserve"> Zum zuständigen Gericht bei der Feststellungsklage </w:t>
      </w:r>
      <w:hyperlink r:id="rId214" w:history="1">
        <w:r w:rsidRPr="0057061A">
          <w:rPr>
            <w:rStyle w:val="Hyperlink"/>
          </w:rPr>
          <w:t>Goldberg, in: Eisentraut, Verwaltungsrecht in der Klausur, 2020, § 6 Rn. 89 ff.</w:t>
        </w:r>
      </w:hyperlink>
    </w:p>
  </w:footnote>
  <w:footnote w:id="306">
    <w:p w14:paraId="291F5376" w14:textId="38353941" w:rsidR="006D1FD1" w:rsidRDefault="006D1FD1">
      <w:pPr>
        <w:pStyle w:val="Funotentext"/>
      </w:pPr>
      <w:r>
        <w:rPr>
          <w:rStyle w:val="Funotenzeichen"/>
        </w:rPr>
        <w:footnoteRef/>
      </w:r>
      <w:r>
        <w:t xml:space="preserve"> Zum Feststellungsinteresse bei der Feststellungsklage </w:t>
      </w:r>
      <w:hyperlink r:id="rId215" w:history="1">
        <w:r w:rsidRPr="0057061A">
          <w:rPr>
            <w:rStyle w:val="Hyperlink"/>
          </w:rPr>
          <w:t>Valentiner, in: Eisentraut, Verwaltungsrecht in der Klausur, 2020, § 6 Rn. 93 ff.</w:t>
        </w:r>
      </w:hyperlink>
    </w:p>
  </w:footnote>
  <w:footnote w:id="307">
    <w:p w14:paraId="313C7B0C" w14:textId="3AAF323D" w:rsidR="006D1FD1" w:rsidRDefault="006D1FD1">
      <w:pPr>
        <w:pStyle w:val="Funotentext"/>
      </w:pPr>
      <w:r>
        <w:rPr>
          <w:rStyle w:val="Funotenzeichen"/>
        </w:rPr>
        <w:footnoteRef/>
      </w:r>
      <w:r>
        <w:t xml:space="preserve"> Ausführlich zur Struktur der Begründetheitsprüfung der „klassischen“ Feststellungsklage </w:t>
      </w:r>
      <w:hyperlink r:id="rId216" w:history="1">
        <w:r w:rsidRPr="0057061A">
          <w:rPr>
            <w:rStyle w:val="Hyperlink"/>
          </w:rPr>
          <w:t>Giere, in: Eisentraut, Verwaltungsrecht in der Klausur, 2020, § 6 Rn. 103 ff.</w:t>
        </w:r>
      </w:hyperlink>
      <w:r>
        <w:t xml:space="preserve">; zur Feststellungsklage im Polizei- und Ordnungsrecht </w:t>
      </w:r>
      <w:hyperlink r:id="rId217" w:history="1">
        <w:r w:rsidRPr="0057061A">
          <w:rPr>
            <w:rStyle w:val="Hyperlink"/>
          </w:rPr>
          <w:t>Eisentraut, a.a.O., § 6 Rn. 181 ff.</w:t>
        </w:r>
      </w:hyperlink>
      <w:r>
        <w:t xml:space="preserve">, im Kommunalrecht </w:t>
      </w:r>
      <w:hyperlink r:id="rId218" w:history="1">
        <w:r w:rsidRPr="0057061A">
          <w:rPr>
            <w:rStyle w:val="Hyperlink"/>
          </w:rPr>
          <w:t>Piecha, a.a.O., § 5 Rn. 186 ff.</w:t>
        </w:r>
      </w:hyperlink>
      <w:r>
        <w:t xml:space="preserve"> und im Verwaltungsvollstreckungsrecht </w:t>
      </w:r>
      <w:hyperlink r:id="rId219" w:history="1">
        <w:r w:rsidRPr="0057061A">
          <w:rPr>
            <w:rStyle w:val="Hyperlink"/>
          </w:rPr>
          <w:t>Ilal, § 6 Rn. 193 ff.</w:t>
        </w:r>
      </w:hyperlink>
    </w:p>
  </w:footnote>
  <w:footnote w:id="308">
    <w:p w14:paraId="4CCCEB3F" w14:textId="76C19EA7" w:rsidR="006D1FD1" w:rsidRDefault="006D1FD1">
      <w:pPr>
        <w:pStyle w:val="Funotentext"/>
      </w:pPr>
      <w:r>
        <w:rPr>
          <w:rStyle w:val="Funotenzeichen"/>
        </w:rPr>
        <w:footnoteRef/>
      </w:r>
      <w:r>
        <w:t xml:space="preserve"> Ausführlich zur Struktur der Begründetheitsprüfung der Nichtigkeitsfeststellungsklage </w:t>
      </w:r>
      <w:hyperlink r:id="rId220" w:history="1">
        <w:r w:rsidRPr="0057061A">
          <w:rPr>
            <w:rStyle w:val="Hyperlink"/>
          </w:rPr>
          <w:t>Brings</w:t>
        </w:r>
        <w:r>
          <w:rPr>
            <w:rStyle w:val="Hyperlink"/>
          </w:rPr>
          <w:noBreakHyphen/>
        </w:r>
        <w:r w:rsidRPr="0057061A">
          <w:rPr>
            <w:rStyle w:val="Hyperlink"/>
          </w:rPr>
          <w:t>Wiesen, in: Eisentraut, Verwaltungsrecht in der Klausur, 2020, § 6 Rn. 115 ff.</w:t>
        </w:r>
      </w:hyperlink>
    </w:p>
  </w:footnote>
  <w:footnote w:id="309">
    <w:p w14:paraId="7AED1F0F" w14:textId="6DEC0D64" w:rsidR="006D1FD1" w:rsidRDefault="006D1FD1" w:rsidP="00D814E5">
      <w:pPr>
        <w:pStyle w:val="Funotentext"/>
      </w:pPr>
      <w:r>
        <w:rPr>
          <w:rStyle w:val="Funotenzeichen"/>
        </w:rPr>
        <w:footnoteRef/>
      </w:r>
      <w:r>
        <w:t xml:space="preserve"> Entgegen dem </w:t>
      </w:r>
      <w:hyperlink r:id="rId221" w:history="1">
        <w:r>
          <w:rPr>
            <w:rStyle w:val="Hyperlink"/>
          </w:rPr>
          <w:t>BVerwG, U</w:t>
        </w:r>
        <w:r w:rsidRPr="00545056">
          <w:rPr>
            <w:rStyle w:val="Hyperlink"/>
          </w:rPr>
          <w:t>rt. v. 13.9.2017, Az.: 10 C 6/16</w:t>
        </w:r>
      </w:hyperlink>
      <w:r w:rsidRPr="00C55E3B">
        <w:t xml:space="preserve"> = BVerwGE 159, </w:t>
      </w:r>
      <w:r>
        <w:t>327 (329 f. Rn. 11)</w:t>
      </w:r>
      <w:r w:rsidRPr="00C55E3B">
        <w:t xml:space="preserve"> </w:t>
      </w:r>
      <w:r>
        <w:t xml:space="preserve">= NVwZ 2018, 433 (433 Rn. 11) kommt es auf die anhaltende Wirkung des bereits erledigten Rechtsverhältnisses im Rahmen der Statthaftigkeit der Klage (noch) nicht an; näher zu dieser Frage </w:t>
      </w:r>
      <w:hyperlink r:id="rId222" w:history="1">
        <w:r w:rsidRPr="0057061A">
          <w:rPr>
            <w:rStyle w:val="Hyperlink"/>
          </w:rPr>
          <w:t>Giere, in: Eisentraut, Verwaltungsrecht in der Klausur, 2020, § 6 Rn. 48</w:t>
        </w:r>
      </w:hyperlink>
      <w:r>
        <w:t xml:space="preserve">. Hierauf wird im qualifizierten Feststellungsinteresse gesondert eingegangen. </w:t>
      </w:r>
    </w:p>
  </w:footnote>
  <w:footnote w:id="310">
    <w:p w14:paraId="75CD8366" w14:textId="52F36384" w:rsidR="006D1FD1" w:rsidRDefault="006D1FD1" w:rsidP="00D814E5">
      <w:pPr>
        <w:pStyle w:val="Funotentext"/>
      </w:pPr>
      <w:r>
        <w:rPr>
          <w:rStyle w:val="Funotenzeichen"/>
        </w:rPr>
        <w:footnoteRef/>
      </w:r>
      <w:r>
        <w:t xml:space="preserve"> S. zum konkreten Sachverhalt näher </w:t>
      </w:r>
      <w:hyperlink r:id="rId223" w:history="1">
        <w:r w:rsidRPr="0057061A">
          <w:rPr>
            <w:rStyle w:val="Hyperlink"/>
          </w:rPr>
          <w:t>Giere, in: Eisentraut, Verwaltungsrecht in der Klausur, 2020, § 6 Rn. 20</w:t>
        </w:r>
      </w:hyperlink>
      <w:r>
        <w:t>.</w:t>
      </w:r>
    </w:p>
  </w:footnote>
  <w:footnote w:id="311">
    <w:p w14:paraId="6836D11F" w14:textId="09429D99" w:rsidR="006D1FD1" w:rsidRDefault="006D1FD1" w:rsidP="00D814E5">
      <w:pPr>
        <w:pStyle w:val="Funotentext"/>
      </w:pPr>
      <w:r>
        <w:rPr>
          <w:rStyle w:val="Funotenzeichen"/>
        </w:rPr>
        <w:footnoteRef/>
      </w:r>
      <w:r>
        <w:t xml:space="preserve"> S. zur öffentlich-rechtlichen Beziehung näher </w:t>
      </w:r>
      <w:hyperlink r:id="rId224" w:history="1">
        <w:r w:rsidRPr="0057061A">
          <w:rPr>
            <w:rStyle w:val="Hyperlink"/>
          </w:rPr>
          <w:t>Giere, in: Eisentraut, Verwaltungsrecht in der Klausur, 2020, § 6 Rn. 36</w:t>
        </w:r>
      </w:hyperlink>
      <w:r>
        <w:t>.</w:t>
      </w:r>
    </w:p>
  </w:footnote>
  <w:footnote w:id="312">
    <w:p w14:paraId="1A016FDA" w14:textId="46943830" w:rsidR="006D1FD1" w:rsidRDefault="006D1FD1" w:rsidP="00D814E5">
      <w:pPr>
        <w:pStyle w:val="Funotentext"/>
      </w:pPr>
      <w:r>
        <w:rPr>
          <w:rStyle w:val="Funotenzeichen"/>
        </w:rPr>
        <w:footnoteRef/>
      </w:r>
      <w:r>
        <w:t xml:space="preserve"> Dies wird erst im Bereich des Feststellungsinteresses wieder aufgegriffen, s. hierzu </w:t>
      </w:r>
      <w:hyperlink r:id="rId225" w:history="1">
        <w:r w:rsidRPr="0057061A">
          <w:rPr>
            <w:rStyle w:val="Hyperlink"/>
          </w:rPr>
          <w:t>Valentiner, in: Eisentraut, Verwaltungsrecht in der Klausur, 2020, § 6 Rn. 93 ff.</w:t>
        </w:r>
      </w:hyperlink>
      <w:r>
        <w:t xml:space="preserve"> </w:t>
      </w:r>
    </w:p>
  </w:footnote>
  <w:footnote w:id="313">
    <w:p w14:paraId="442CACA7" w14:textId="048BCEE6" w:rsidR="006D1FD1" w:rsidRDefault="006D1FD1" w:rsidP="00D814E5">
      <w:pPr>
        <w:pStyle w:val="Funotentext"/>
      </w:pPr>
      <w:r>
        <w:rPr>
          <w:rStyle w:val="Funotenzeichen"/>
        </w:rPr>
        <w:footnoteRef/>
      </w:r>
      <w:r>
        <w:t xml:space="preserve"> </w:t>
      </w:r>
      <w:hyperlink r:id="rId226" w:history="1">
        <w:r w:rsidRPr="0057061A">
          <w:rPr>
            <w:rStyle w:val="Hyperlink"/>
          </w:rPr>
          <w:t>Giere, in: Eisentraut, Verwaltungsrecht in der Klausur, 2020, § 6 Rn. 71</w:t>
        </w:r>
      </w:hyperlink>
      <w:r>
        <w:t>.</w:t>
      </w:r>
    </w:p>
  </w:footnote>
  <w:footnote w:id="314">
    <w:p w14:paraId="00E84DD3" w14:textId="6D92C021" w:rsidR="006D1FD1" w:rsidRDefault="006D1FD1" w:rsidP="00D814E5">
      <w:pPr>
        <w:pStyle w:val="Funotentext"/>
      </w:pPr>
      <w:r>
        <w:rPr>
          <w:rStyle w:val="Funotenzeichen"/>
        </w:rPr>
        <w:footnoteRef/>
      </w:r>
      <w:r>
        <w:t xml:space="preserve"> Näher zu dieser Handlungsform </w:t>
      </w:r>
      <w:hyperlink r:id="rId227" w:history="1">
        <w:r w:rsidRPr="00AA1753">
          <w:rPr>
            <w:rStyle w:val="Hyperlink"/>
          </w:rPr>
          <w:t>Weidinger, in: Eisentraut, Verwaltungsrecht in der Klausur, 2020, § 5 Rn. 6 ff.</w:t>
        </w:r>
      </w:hyperlink>
    </w:p>
  </w:footnote>
  <w:footnote w:id="315">
    <w:p w14:paraId="6AFE523E" w14:textId="3AD4D87E" w:rsidR="006D1FD1" w:rsidRDefault="006D1FD1" w:rsidP="00D814E5">
      <w:pPr>
        <w:pStyle w:val="Funotentext"/>
      </w:pPr>
      <w:r>
        <w:rPr>
          <w:rStyle w:val="Funotenzeichen"/>
        </w:rPr>
        <w:footnoteRef/>
      </w:r>
      <w:r>
        <w:t xml:space="preserve"> S. zur allgemeinen Leistungsklage und ihren Unterfällen </w:t>
      </w:r>
      <w:hyperlink r:id="rId228" w:history="1">
        <w:r w:rsidRPr="00AA1753">
          <w:rPr>
            <w:rStyle w:val="Hyperlink"/>
          </w:rPr>
          <w:t>Weidinger, in: Eisentraut, Verwaltungsrecht in der Klausur, 2020, § 5 Rn. 21 ff.</w:t>
        </w:r>
      </w:hyperlink>
    </w:p>
  </w:footnote>
  <w:footnote w:id="316">
    <w:p w14:paraId="39A61660" w14:textId="3E198962" w:rsidR="006D1FD1" w:rsidRDefault="006D1FD1" w:rsidP="00D814E5">
      <w:pPr>
        <w:pStyle w:val="Funotentext"/>
      </w:pPr>
      <w:r>
        <w:rPr>
          <w:rStyle w:val="Funotenzeichen"/>
        </w:rPr>
        <w:footnoteRef/>
      </w:r>
      <w:r>
        <w:t xml:space="preserve"> Zum Grundsatz der Subsidiarität nach </w:t>
      </w:r>
      <w:r w:rsidRPr="004B728E">
        <w:rPr>
          <w:rFonts w:cs="Arial"/>
        </w:rPr>
        <w:t>§ </w:t>
      </w:r>
      <w:r>
        <w:rPr>
          <w:rFonts w:cs="Arial"/>
        </w:rPr>
        <w:t xml:space="preserve">43 II 1 VwGO s. </w:t>
      </w:r>
      <w:hyperlink r:id="rId229" w:history="1">
        <w:r w:rsidRPr="0057061A">
          <w:rPr>
            <w:rStyle w:val="Hyperlink"/>
          </w:rPr>
          <w:t xml:space="preserve">Giere, in: Eisentraut, Verwaltungsrecht in der Klausur, 2020, § 6 </w:t>
        </w:r>
        <w:r w:rsidRPr="0057061A">
          <w:rPr>
            <w:rStyle w:val="Hyperlink"/>
            <w:rFonts w:cs="Arial"/>
          </w:rPr>
          <w:t>Rn. 63 ff</w:t>
        </w:r>
      </w:hyperlink>
      <w:r>
        <w:rPr>
          <w:rFonts w:cs="Arial"/>
        </w:rPr>
        <w:t>.</w:t>
      </w:r>
    </w:p>
  </w:footnote>
  <w:footnote w:id="317">
    <w:p w14:paraId="33B53E03" w14:textId="29A383C8" w:rsidR="006D1FD1" w:rsidRDefault="006D1FD1" w:rsidP="00D814E5">
      <w:pPr>
        <w:pStyle w:val="Funotentext"/>
      </w:pPr>
      <w:r>
        <w:rPr>
          <w:rStyle w:val="Funotenzeichen"/>
        </w:rPr>
        <w:footnoteRef/>
      </w:r>
      <w:r>
        <w:t xml:space="preserve"> S. zum Erfordernis der Klagebefugnis bei Feststellungsklagen </w:t>
      </w:r>
      <w:hyperlink r:id="rId230" w:history="1">
        <w:r w:rsidRPr="0057061A">
          <w:rPr>
            <w:rStyle w:val="Hyperlink"/>
          </w:rPr>
          <w:t>Burbach, in: Eisentraut, Verwaltungsrecht in der Klausur, 2020, § 6 Rn. 78</w:t>
        </w:r>
      </w:hyperlink>
      <w:r>
        <w:t>.</w:t>
      </w:r>
    </w:p>
  </w:footnote>
  <w:footnote w:id="318">
    <w:p w14:paraId="4B18CA76" w14:textId="77777777" w:rsidR="006D1FD1" w:rsidRDefault="006D1FD1" w:rsidP="00D814E5">
      <w:pPr>
        <w:pStyle w:val="Funotentext"/>
      </w:pPr>
      <w:r>
        <w:rPr>
          <w:rStyle w:val="Funotenzeichen"/>
        </w:rPr>
        <w:footnoteRef/>
      </w:r>
      <w:r>
        <w:t xml:space="preserve"> Nicht nach </w:t>
      </w:r>
      <w:r w:rsidRPr="004B728E">
        <w:rPr>
          <w:rFonts w:cs="Arial"/>
        </w:rPr>
        <w:t>§ </w:t>
      </w:r>
      <w:r>
        <w:rPr>
          <w:rFonts w:cs="Arial"/>
        </w:rPr>
        <w:t>78 I Nr. 1 VwGO (analog).</w:t>
      </w:r>
    </w:p>
  </w:footnote>
  <w:footnote w:id="319">
    <w:p w14:paraId="111BF4C0" w14:textId="77777777" w:rsidR="006D1FD1" w:rsidRDefault="006D1FD1" w:rsidP="00D814E5">
      <w:pPr>
        <w:pStyle w:val="Funotentext"/>
      </w:pPr>
      <w:r>
        <w:rPr>
          <w:rStyle w:val="Funotenzeichen"/>
        </w:rPr>
        <w:footnoteRef/>
      </w:r>
      <w:r>
        <w:t xml:space="preserve"> In Leipzig, Sachsen gem. </w:t>
      </w:r>
      <w:r>
        <w:rPr>
          <w:rFonts w:cs="Arial"/>
        </w:rPr>
        <w:t>§</w:t>
      </w:r>
      <w:r w:rsidRPr="00D52006">
        <w:rPr>
          <w:rFonts w:cs="Arial"/>
        </w:rPr>
        <w:t>§ </w:t>
      </w:r>
      <w:r w:rsidRPr="008E4878">
        <w:rPr>
          <w:rFonts w:cs="Arial"/>
        </w:rPr>
        <w:t>51 I 1, IV i. V. m. § 1 IV SächsGemO.</w:t>
      </w:r>
    </w:p>
  </w:footnote>
  <w:footnote w:id="320">
    <w:p w14:paraId="78892218" w14:textId="77777777" w:rsidR="006D1FD1" w:rsidRDefault="006D1FD1" w:rsidP="00D814E5">
      <w:pPr>
        <w:pStyle w:val="Funotentext"/>
      </w:pPr>
      <w:r>
        <w:rPr>
          <w:rStyle w:val="Funotenzeichen"/>
        </w:rPr>
        <w:footnoteRef/>
      </w:r>
      <w:r>
        <w:t xml:space="preserve"> In Leipzig, Sachsen gem. </w:t>
      </w:r>
      <w:r w:rsidRPr="008E4878">
        <w:rPr>
          <w:rFonts w:cs="Arial"/>
        </w:rPr>
        <w:t>§ 51 I 2 SächsGemO</w:t>
      </w:r>
      <w:r>
        <w:rPr>
          <w:rFonts w:cs="Arial"/>
        </w:rPr>
        <w:t>.</w:t>
      </w:r>
    </w:p>
  </w:footnote>
  <w:footnote w:id="321">
    <w:p w14:paraId="3FEDE356" w14:textId="77777777" w:rsidR="006D1FD1" w:rsidRDefault="006D1FD1" w:rsidP="00D814E5">
      <w:pPr>
        <w:pStyle w:val="Funotentext"/>
      </w:pPr>
      <w:r>
        <w:rPr>
          <w:rStyle w:val="Funotenzeichen"/>
        </w:rPr>
        <w:footnoteRef/>
      </w:r>
      <w:r>
        <w:t xml:space="preserve"> Wohl kein ortsgebundenes Recht i. S. v. § 52 Nr. 1 VwGO; bloßer Ortsbezug ist insoweit nicht ausreichend.</w:t>
      </w:r>
    </w:p>
  </w:footnote>
  <w:footnote w:id="322">
    <w:p w14:paraId="24373462" w14:textId="58C71C6C" w:rsidR="006D1FD1" w:rsidRDefault="006D1FD1" w:rsidP="00D814E5">
      <w:pPr>
        <w:pStyle w:val="Funotentext"/>
      </w:pPr>
      <w:r>
        <w:rPr>
          <w:rStyle w:val="Funotenzeichen"/>
        </w:rPr>
        <w:footnoteRef/>
      </w:r>
      <w:r>
        <w:t xml:space="preserve"> Zu Ausführungen zum Rehabilitationsinteresse s. jedoch </w:t>
      </w:r>
      <w:hyperlink r:id="rId231" w:history="1">
        <w:r>
          <w:rPr>
            <w:rStyle w:val="Hyperlink"/>
          </w:rPr>
          <w:t>OVG Münster, U</w:t>
        </w:r>
        <w:r w:rsidRPr="00545056">
          <w:rPr>
            <w:rStyle w:val="Hyperlink"/>
          </w:rPr>
          <w:t>rt. v. 4.11.2016, Az.: 15 A 2293/15</w:t>
        </w:r>
      </w:hyperlink>
      <w:r w:rsidRPr="00B43BD4">
        <w:t xml:space="preserve"> </w:t>
      </w:r>
      <w:r>
        <w:t xml:space="preserve">= DVBl. 2017, 131 (131 f. Rn. 50). </w:t>
      </w:r>
    </w:p>
  </w:footnote>
  <w:footnote w:id="323">
    <w:p w14:paraId="74E15AC8" w14:textId="77777777" w:rsidR="006D1FD1" w:rsidRDefault="006D1FD1" w:rsidP="00D814E5">
      <w:pPr>
        <w:pStyle w:val="Funotentext"/>
      </w:pPr>
      <w:r>
        <w:rPr>
          <w:rStyle w:val="Funotenzeichen"/>
        </w:rPr>
        <w:footnoteRef/>
      </w:r>
      <w:r>
        <w:t xml:space="preserve"> Ob der Eingriff tatsächlich gegeben ist, ist Gegenstand der Begründetheit. </w:t>
      </w:r>
    </w:p>
  </w:footnote>
  <w:footnote w:id="324">
    <w:p w14:paraId="046499EE" w14:textId="0D70AAC5" w:rsidR="006D1FD1" w:rsidRPr="00A41DBB" w:rsidRDefault="006D1FD1" w:rsidP="00D814E5">
      <w:pPr>
        <w:pStyle w:val="Funotentext"/>
      </w:pPr>
      <w:r w:rsidRPr="00A41DBB">
        <w:rPr>
          <w:rStyle w:val="Funotenzeichen"/>
        </w:rPr>
        <w:footnoteRef/>
      </w:r>
      <w:r w:rsidRPr="00A41DBB">
        <w:t xml:space="preserve"> </w:t>
      </w:r>
      <w:r>
        <w:t xml:space="preserve">S. zum Versammlungsrecht </w:t>
      </w:r>
      <w:hyperlink r:id="rId232" w:history="1">
        <w:r w:rsidRPr="00144A4A">
          <w:rPr>
            <w:rStyle w:val="Hyperlink"/>
          </w:rPr>
          <w:t>Eickenjäger, in: Eisentraut, Verwaltungsrecht in der Klausur, 2020, § 2 Rn. 1037 ff.</w:t>
        </w:r>
      </w:hyperlink>
      <w:r>
        <w:t xml:space="preserve">; </w:t>
      </w:r>
      <w:hyperlink r:id="rId233" w:history="1">
        <w:r w:rsidRPr="00EA3DC3">
          <w:rPr>
            <w:rStyle w:val="Hyperlink"/>
          </w:rPr>
          <w:t>BVerfG, Urt. v. 20.6.2014, Az.: 1 BvR 980/13</w:t>
        </w:r>
      </w:hyperlink>
      <w:r>
        <w:t xml:space="preserve"> = </w:t>
      </w:r>
      <w:r w:rsidRPr="00A41DBB">
        <w:t>NJW 2014, 2706</w:t>
      </w:r>
      <w:r>
        <w:t xml:space="preserve"> (2707 Rn. 15)</w:t>
      </w:r>
      <w:r w:rsidRPr="00A41DBB">
        <w:t xml:space="preserve">; </w:t>
      </w:r>
      <w:hyperlink r:id="rId234" w:history="1">
        <w:r w:rsidRPr="00EA3DC3">
          <w:rPr>
            <w:rStyle w:val="Hyperlink"/>
          </w:rPr>
          <w:t>BVerfG, Beschl. v. 14.5.1985, Az.: 1 BvR 233/81</w:t>
        </w:r>
      </w:hyperlink>
      <w:r>
        <w:t xml:space="preserve"> =</w:t>
      </w:r>
      <w:r w:rsidRPr="00B43BD4">
        <w:t xml:space="preserve"> NJW 1985, 2395</w:t>
      </w:r>
      <w:r>
        <w:t xml:space="preserve"> = </w:t>
      </w:r>
      <w:r w:rsidRPr="0011032D">
        <w:rPr>
          <w:rStyle w:val="Hervorhebung"/>
          <w:i w:val="0"/>
        </w:rPr>
        <w:t>BVerfGE</w:t>
      </w:r>
      <w:r>
        <w:rPr>
          <w:rStyle w:val="Hervorhebung"/>
        </w:rPr>
        <w:t xml:space="preserve"> </w:t>
      </w:r>
      <w:r w:rsidRPr="00A41DBB">
        <w:t>69</w:t>
      </w:r>
      <w:r>
        <w:t>,</w:t>
      </w:r>
      <w:r w:rsidRPr="00A41DBB">
        <w:t xml:space="preserve"> 315 </w:t>
      </w:r>
      <w:r>
        <w:t>(</w:t>
      </w:r>
      <w:r w:rsidRPr="00A41DBB">
        <w:t>342 f.</w:t>
      </w:r>
      <w:r>
        <w:t>)</w:t>
      </w:r>
      <w:r w:rsidRPr="00A41DBB">
        <w:t>;</w:t>
      </w:r>
      <w:r>
        <w:t xml:space="preserve"> BVerfG,</w:t>
      </w:r>
      <w:r w:rsidRPr="000A7D1B">
        <w:t xml:space="preserve"> </w:t>
      </w:r>
      <w:hyperlink r:id="rId235" w:history="1">
        <w:r w:rsidRPr="00545056">
          <w:rPr>
            <w:rStyle w:val="Hyperlink"/>
          </w:rPr>
          <w:t>Beschl. v. 24.10.2001, Az.: 1 BvR 433/96</w:t>
        </w:r>
      </w:hyperlink>
      <w:r>
        <w:t xml:space="preserve"> = BVerfGE </w:t>
      </w:r>
      <w:r w:rsidRPr="00A41DBB">
        <w:t>104, 92</w:t>
      </w:r>
      <w:r>
        <w:t xml:space="preserve"> (</w:t>
      </w:r>
      <w:r w:rsidRPr="00A41DBB">
        <w:t>104</w:t>
      </w:r>
      <w:r>
        <w:t>)</w:t>
      </w:r>
      <w:r w:rsidRPr="00A41DBB">
        <w:t xml:space="preserve">; </w:t>
      </w:r>
      <w:hyperlink r:id="rId236" w:history="1">
        <w:r w:rsidRPr="00EA3DC3">
          <w:rPr>
            <w:rStyle w:val="Hyperlink"/>
          </w:rPr>
          <w:t>BVerfG, Beschl. v. 10.12.2010, Az.: 1 BvR 1402/06</w:t>
        </w:r>
      </w:hyperlink>
      <w:r>
        <w:t xml:space="preserve"> = </w:t>
      </w:r>
      <w:r w:rsidRPr="0011032D">
        <w:rPr>
          <w:rStyle w:val="Hervorhebung"/>
          <w:i w:val="0"/>
        </w:rPr>
        <w:t>BVerfGK</w:t>
      </w:r>
      <w:r>
        <w:t xml:space="preserve"> 11, 102 (108)</w:t>
      </w:r>
      <w:r w:rsidRPr="00A41DBB">
        <w:t>.</w:t>
      </w:r>
    </w:p>
  </w:footnote>
  <w:footnote w:id="325">
    <w:p w14:paraId="2271E8E6" w14:textId="7D153C96" w:rsidR="006D1FD1" w:rsidRDefault="006D1FD1" w:rsidP="00D814E5">
      <w:pPr>
        <w:pStyle w:val="Funotentext"/>
      </w:pPr>
      <w:r>
        <w:rPr>
          <w:rStyle w:val="Funotenzeichen"/>
        </w:rPr>
        <w:footnoteRef/>
      </w:r>
      <w:r>
        <w:t xml:space="preserve"> </w:t>
      </w:r>
      <w:hyperlink r:id="rId237" w:history="1">
        <w:r w:rsidRPr="00545056">
          <w:rPr>
            <w:rStyle w:val="Hyperlink"/>
          </w:rPr>
          <w:t>B</w:t>
        </w:r>
        <w:r>
          <w:rPr>
            <w:rStyle w:val="Hyperlink"/>
          </w:rPr>
          <w:t>VerfG, B</w:t>
        </w:r>
        <w:r w:rsidRPr="00545056">
          <w:rPr>
            <w:rStyle w:val="Hyperlink"/>
          </w:rPr>
          <w:t>eschl</w:t>
        </w:r>
        <w:r>
          <w:rPr>
            <w:rStyle w:val="Hyperlink"/>
          </w:rPr>
          <w:t>.</w:t>
        </w:r>
        <w:r w:rsidRPr="00545056">
          <w:rPr>
            <w:rStyle w:val="Hyperlink"/>
          </w:rPr>
          <w:t xml:space="preserve"> v. 26.6.2002, Az.: 1 BvR 558/91</w:t>
        </w:r>
      </w:hyperlink>
      <w:r>
        <w:t xml:space="preserve"> = BVerfGE 105, 252 (273).</w:t>
      </w:r>
    </w:p>
  </w:footnote>
  <w:footnote w:id="326">
    <w:p w14:paraId="333E45E6" w14:textId="5541BD2F" w:rsidR="006D1FD1" w:rsidRPr="001D7163" w:rsidRDefault="006D1FD1" w:rsidP="00D814E5">
      <w:pPr>
        <w:pStyle w:val="Funotentext"/>
      </w:pPr>
      <w:r w:rsidRPr="003E4A8C">
        <w:rPr>
          <w:rStyle w:val="Funotenzeichen"/>
        </w:rPr>
        <w:footnoteRef/>
      </w:r>
      <w:r w:rsidRPr="003E4A8C">
        <w:t xml:space="preserve"> </w:t>
      </w:r>
      <w:hyperlink r:id="rId238" w:history="1">
        <w:r w:rsidRPr="00545056">
          <w:rPr>
            <w:rStyle w:val="Hyperlink"/>
          </w:rPr>
          <w:t>B</w:t>
        </w:r>
        <w:r>
          <w:rPr>
            <w:rStyle w:val="Hyperlink"/>
          </w:rPr>
          <w:t xml:space="preserve">VerfG, Beschl. </w:t>
        </w:r>
        <w:r w:rsidRPr="00545056">
          <w:rPr>
            <w:rStyle w:val="Hyperlink"/>
          </w:rPr>
          <w:t>v. 7.11.2015, Az.: 2 BvQ 39/15</w:t>
        </w:r>
      </w:hyperlink>
      <w:r>
        <w:t xml:space="preserve"> = </w:t>
      </w:r>
      <w:r w:rsidRPr="003E4A8C">
        <w:t>BVerfGE 140, 225</w:t>
      </w:r>
      <w:r>
        <w:t xml:space="preserve"> (228 Rn. 11) </w:t>
      </w:r>
      <w:r w:rsidRPr="003E4A8C">
        <w:t xml:space="preserve">= NVwZ-RR 2016, 241 </w:t>
      </w:r>
      <w:r>
        <w:t xml:space="preserve">(242 </w:t>
      </w:r>
      <w:r w:rsidRPr="003E4A8C">
        <w:t>Rn. 11</w:t>
      </w:r>
      <w:r>
        <w:t>).</w:t>
      </w:r>
    </w:p>
  </w:footnote>
  <w:footnote w:id="327">
    <w:p w14:paraId="39DC0DF7" w14:textId="45FEA6CD" w:rsidR="006D1FD1" w:rsidRDefault="006D1FD1" w:rsidP="00D814E5">
      <w:pPr>
        <w:pStyle w:val="Funotentext"/>
      </w:pPr>
      <w:r>
        <w:rPr>
          <w:rStyle w:val="Funotenzeichen"/>
        </w:rPr>
        <w:footnoteRef/>
      </w:r>
      <w:r>
        <w:t xml:space="preserve"> </w:t>
      </w:r>
      <w:hyperlink r:id="rId239" w:history="1">
        <w:r>
          <w:rPr>
            <w:rStyle w:val="Hyperlink"/>
          </w:rPr>
          <w:t>BVerwG, U</w:t>
        </w:r>
        <w:r w:rsidRPr="00545056">
          <w:rPr>
            <w:rStyle w:val="Hyperlink"/>
          </w:rPr>
          <w:t>rt. v. 13.9.2017, Az.: 10 C 6/16</w:t>
        </w:r>
      </w:hyperlink>
      <w:r>
        <w:t xml:space="preserve"> = </w:t>
      </w:r>
      <w:r w:rsidRPr="00DE0E02">
        <w:t>BVerwGE 159, 327</w:t>
      </w:r>
      <w:r>
        <w:t xml:space="preserve"> (330 f. Rn. 18)</w:t>
      </w:r>
      <w:r w:rsidRPr="00DE0E02">
        <w:t xml:space="preserve"> </w:t>
      </w:r>
      <w:r>
        <w:t xml:space="preserve">= </w:t>
      </w:r>
      <w:r w:rsidRPr="00DE0E02">
        <w:t>N</w:t>
      </w:r>
      <w:r>
        <w:t>VwZ 2018, 433 (434 Rn. 18).</w:t>
      </w:r>
    </w:p>
  </w:footnote>
  <w:footnote w:id="328">
    <w:p w14:paraId="4A107F1E" w14:textId="63D137DD" w:rsidR="006D1FD1" w:rsidRDefault="006D1FD1" w:rsidP="00D814E5">
      <w:pPr>
        <w:pStyle w:val="Funotentext"/>
      </w:pPr>
      <w:r>
        <w:rPr>
          <w:rStyle w:val="Funotenzeichen"/>
        </w:rPr>
        <w:footnoteRef/>
      </w:r>
      <w:r>
        <w:t xml:space="preserve"> </w:t>
      </w:r>
      <w:hyperlink r:id="rId240" w:history="1">
        <w:r>
          <w:rPr>
            <w:rStyle w:val="Hyperlink"/>
          </w:rPr>
          <w:t>BVerwG, U</w:t>
        </w:r>
        <w:r w:rsidRPr="00545056">
          <w:rPr>
            <w:rStyle w:val="Hyperlink"/>
          </w:rPr>
          <w:t>rt. v. 13.9.2017, Az.: 10 C 6/16</w:t>
        </w:r>
      </w:hyperlink>
      <w:r>
        <w:t xml:space="preserve"> = </w:t>
      </w:r>
      <w:r w:rsidRPr="00DE0E02">
        <w:t>BVerwGE 159, 327</w:t>
      </w:r>
      <w:r>
        <w:t xml:space="preserve"> (330 f. Rn. 18)</w:t>
      </w:r>
      <w:r w:rsidRPr="00DE0E02">
        <w:t xml:space="preserve"> </w:t>
      </w:r>
      <w:r>
        <w:t>= NVwZ 2018, 433 (434 Rn. 18).</w:t>
      </w:r>
    </w:p>
  </w:footnote>
  <w:footnote w:id="329">
    <w:p w14:paraId="75E97930" w14:textId="193C81BC" w:rsidR="006D1FD1" w:rsidRPr="00FB416D" w:rsidRDefault="006D1FD1" w:rsidP="00D814E5">
      <w:pPr>
        <w:pStyle w:val="Funotentext"/>
      </w:pPr>
      <w:r>
        <w:rPr>
          <w:rStyle w:val="Funotenzeichen"/>
        </w:rPr>
        <w:footnoteRef/>
      </w:r>
      <w:r>
        <w:t xml:space="preserve"> </w:t>
      </w:r>
      <w:hyperlink r:id="rId241" w:history="1">
        <w:r>
          <w:rPr>
            <w:rStyle w:val="Hyperlink"/>
          </w:rPr>
          <w:t>BVerwG, U</w:t>
        </w:r>
        <w:r w:rsidRPr="00545056">
          <w:rPr>
            <w:rStyle w:val="Hyperlink"/>
          </w:rPr>
          <w:t>rt. v. 14.12.1990, Az.: 7 C 37/89</w:t>
        </w:r>
      </w:hyperlink>
      <w:r w:rsidRPr="00FB416D">
        <w:t xml:space="preserve"> = </w:t>
      </w:r>
      <w:r w:rsidRPr="001D7163">
        <w:rPr>
          <w:rStyle w:val="Hervorhebung"/>
          <w:i w:val="0"/>
        </w:rPr>
        <w:t>BVerwGE</w:t>
      </w:r>
      <w:r w:rsidRPr="00DC6D5D">
        <w:t xml:space="preserve"> 87, 228, </w:t>
      </w:r>
      <w:r>
        <w:t xml:space="preserve">(229 </w:t>
      </w:r>
      <w:r w:rsidRPr="00DC6D5D">
        <w:t>f.</w:t>
      </w:r>
      <w:r>
        <w:t>)</w:t>
      </w:r>
      <w:r w:rsidRPr="00DC6D5D">
        <w:t xml:space="preserve"> = NVwZ 1991, 682</w:t>
      </w:r>
      <w:r>
        <w:t xml:space="preserve"> (682 f.).</w:t>
      </w:r>
    </w:p>
  </w:footnote>
  <w:footnote w:id="330">
    <w:p w14:paraId="18DB17BB" w14:textId="43DDFC94" w:rsidR="006D1FD1" w:rsidRPr="00FB416D" w:rsidRDefault="006D1FD1" w:rsidP="00D814E5">
      <w:pPr>
        <w:pStyle w:val="Funotentext"/>
      </w:pPr>
      <w:r w:rsidRPr="00FB416D">
        <w:rPr>
          <w:rStyle w:val="Funotenzeichen"/>
        </w:rPr>
        <w:footnoteRef/>
      </w:r>
      <w:r w:rsidRPr="00FB416D">
        <w:t xml:space="preserve"> </w:t>
      </w:r>
      <w:hyperlink r:id="rId242" w:history="1">
        <w:r>
          <w:rPr>
            <w:rStyle w:val="Hyperlink"/>
          </w:rPr>
          <w:t>BVerwG, U</w:t>
        </w:r>
        <w:r w:rsidRPr="00642A13">
          <w:rPr>
            <w:rStyle w:val="Hyperlink"/>
          </w:rPr>
          <w:t>rt. v. 13.9.2017, Az.: 10 C 6/16</w:t>
        </w:r>
      </w:hyperlink>
      <w:r>
        <w:t xml:space="preserve"> = </w:t>
      </w:r>
      <w:r w:rsidRPr="00DE0E02">
        <w:t>BVerwGE 159, 327</w:t>
      </w:r>
      <w:r>
        <w:t xml:space="preserve"> (333 f. Rn. 23)</w:t>
      </w:r>
      <w:r w:rsidRPr="00DE0E02">
        <w:t xml:space="preserve"> </w:t>
      </w:r>
      <w:r>
        <w:t xml:space="preserve">= </w:t>
      </w:r>
      <w:r w:rsidRPr="00DE0E02">
        <w:t>N</w:t>
      </w:r>
      <w:r>
        <w:t>VwZ 2018, 433 (435 Rn. 23);</w:t>
      </w:r>
      <w:r w:rsidRPr="00FB416D">
        <w:t xml:space="preserve"> </w:t>
      </w:r>
      <w:hyperlink r:id="rId243" w:history="1">
        <w:r>
          <w:rPr>
            <w:rStyle w:val="Hyperlink"/>
          </w:rPr>
          <w:t>BVerfG, U</w:t>
        </w:r>
        <w:r w:rsidRPr="00296B69">
          <w:rPr>
            <w:rStyle w:val="Hyperlink"/>
          </w:rPr>
          <w:t>rt. v. 2.3.1977, Az.: 2 BvE 1/76</w:t>
        </w:r>
      </w:hyperlink>
      <w:r w:rsidRPr="00FB416D">
        <w:t xml:space="preserve"> = </w:t>
      </w:r>
      <w:r w:rsidRPr="00DC6D5D">
        <w:rPr>
          <w:iCs/>
        </w:rPr>
        <w:t>BVerfGE</w:t>
      </w:r>
      <w:r>
        <w:t xml:space="preserve"> 44, 125 (146) = NJW 1977, 751 (753)</w:t>
      </w:r>
      <w:r w:rsidRPr="00DC6D5D">
        <w:t xml:space="preserve">; </w:t>
      </w:r>
      <w:hyperlink r:id="rId244" w:history="1">
        <w:r>
          <w:rPr>
            <w:rStyle w:val="Hyperlink"/>
          </w:rPr>
          <w:t>BVerfG, U</w:t>
        </w:r>
        <w:r w:rsidRPr="00723AEA">
          <w:rPr>
            <w:rStyle w:val="Hyperlink"/>
          </w:rPr>
          <w:t>rt. v. 10.6.2014, Az.: 2 BvE 4/13</w:t>
        </w:r>
      </w:hyperlink>
      <w:r>
        <w:t xml:space="preserve"> =</w:t>
      </w:r>
      <w:r w:rsidRPr="00DC6D5D">
        <w:t xml:space="preserve"> </w:t>
      </w:r>
      <w:r w:rsidRPr="00DC6D5D">
        <w:rPr>
          <w:iCs/>
        </w:rPr>
        <w:t>BVerfGE</w:t>
      </w:r>
      <w:r w:rsidRPr="00DC6D5D">
        <w:t xml:space="preserve"> 136, 323 </w:t>
      </w:r>
      <w:r>
        <w:t xml:space="preserve">(335 Rn. 31) </w:t>
      </w:r>
      <w:r w:rsidRPr="00DC6D5D">
        <w:t>= NVwZ 2014, 1156</w:t>
      </w:r>
      <w:r>
        <w:t xml:space="preserve"> (1158</w:t>
      </w:r>
      <w:r w:rsidRPr="00DC6D5D">
        <w:t xml:space="preserve"> Rn. 28</w:t>
      </w:r>
      <w:r>
        <w:t>)</w:t>
      </w:r>
      <w:r w:rsidRPr="00DC6D5D">
        <w:t>.</w:t>
      </w:r>
    </w:p>
  </w:footnote>
  <w:footnote w:id="331">
    <w:p w14:paraId="282A2CFD" w14:textId="5DB9771A" w:rsidR="006D1FD1" w:rsidRDefault="006D1FD1" w:rsidP="00D814E5">
      <w:pPr>
        <w:pStyle w:val="Funotentext"/>
      </w:pPr>
      <w:r>
        <w:rPr>
          <w:rStyle w:val="Funotenzeichen"/>
        </w:rPr>
        <w:footnoteRef/>
      </w:r>
      <w:r>
        <w:t xml:space="preserve"> </w:t>
      </w:r>
      <w:hyperlink r:id="rId245" w:history="1">
        <w:r>
          <w:rPr>
            <w:rStyle w:val="Hyperlink"/>
          </w:rPr>
          <w:t>OVG Münster, U</w:t>
        </w:r>
        <w:r w:rsidRPr="00723AEA">
          <w:rPr>
            <w:rStyle w:val="Hyperlink"/>
          </w:rPr>
          <w:t>rt. v. 16.12.2003, Az.: 15 B 2455/03</w:t>
        </w:r>
      </w:hyperlink>
      <w:r>
        <w:t xml:space="preserve"> = </w:t>
      </w:r>
      <w:r w:rsidRPr="000B157B">
        <w:t>NVwZ-RR</w:t>
      </w:r>
      <w:r>
        <w:t xml:space="preserve"> </w:t>
      </w:r>
      <w:r w:rsidRPr="000B157B">
        <w:t>2004,</w:t>
      </w:r>
      <w:r>
        <w:t xml:space="preserve"> 283 (</w:t>
      </w:r>
      <w:r w:rsidRPr="000B157B">
        <w:t>284</w:t>
      </w:r>
      <w:r>
        <w:t>)</w:t>
      </w:r>
      <w:r w:rsidRPr="000B157B">
        <w:t>;</w:t>
      </w:r>
      <w:r>
        <w:t xml:space="preserve"> </w:t>
      </w:r>
      <w:r w:rsidRPr="000B157B">
        <w:t>VG</w:t>
      </w:r>
      <w:r>
        <w:t xml:space="preserve"> </w:t>
      </w:r>
      <w:r w:rsidRPr="000B157B">
        <w:t>Darmstadt</w:t>
      </w:r>
      <w:r>
        <w:t xml:space="preserve">, Beschl. v. 17.1.2002, Az.: 3 G 100/02 = </w:t>
      </w:r>
      <w:r w:rsidRPr="000B157B">
        <w:t>NVwZ-RR</w:t>
      </w:r>
      <w:r>
        <w:t xml:space="preserve"> </w:t>
      </w:r>
      <w:r w:rsidRPr="000B157B">
        <w:t>2002,</w:t>
      </w:r>
      <w:r>
        <w:t xml:space="preserve"> 365 (</w:t>
      </w:r>
      <w:r w:rsidRPr="000B157B">
        <w:t>366</w:t>
      </w:r>
      <w:r>
        <w:t>)</w:t>
      </w:r>
      <w:r w:rsidRPr="000B157B">
        <w:t>;</w:t>
      </w:r>
      <w:r>
        <w:t xml:space="preserve"> </w:t>
      </w:r>
      <w:r w:rsidRPr="000B157B">
        <w:t>BayVerfGH</w:t>
      </w:r>
      <w:r>
        <w:t>, Entsch. v. 19.1.1994, Az.: Vf. 89 - III - 92 = NVwZ-RR 1994, 529</w:t>
      </w:r>
      <w:r w:rsidRPr="000B157B">
        <w:t xml:space="preserve"> </w:t>
      </w:r>
      <w:r>
        <w:t>(</w:t>
      </w:r>
      <w:r w:rsidRPr="000B157B">
        <w:t>529</w:t>
      </w:r>
      <w:r>
        <w:t xml:space="preserve"> </w:t>
      </w:r>
      <w:r w:rsidRPr="000B157B">
        <w:t>f</w:t>
      </w:r>
      <w:r>
        <w:t>.); Oebbecke, BayVBl. 1998, 641 (</w:t>
      </w:r>
      <w:r w:rsidRPr="000B157B">
        <w:t>644 f.</w:t>
      </w:r>
      <w:r>
        <w:t>).</w:t>
      </w:r>
    </w:p>
  </w:footnote>
  <w:footnote w:id="332">
    <w:p w14:paraId="750CA765" w14:textId="20981761" w:rsidR="006D1FD1" w:rsidRDefault="006D1FD1" w:rsidP="00D814E5">
      <w:pPr>
        <w:pStyle w:val="Funotentext"/>
      </w:pPr>
      <w:r>
        <w:rPr>
          <w:rStyle w:val="Funotenzeichen"/>
        </w:rPr>
        <w:footnoteRef/>
      </w:r>
      <w:r>
        <w:t xml:space="preserve"> </w:t>
      </w:r>
      <w:hyperlink r:id="rId246" w:history="1">
        <w:r>
          <w:rPr>
            <w:rStyle w:val="Hyperlink"/>
          </w:rPr>
          <w:t>BVerwG, U</w:t>
        </w:r>
        <w:r w:rsidRPr="00545056">
          <w:rPr>
            <w:rStyle w:val="Hyperlink"/>
          </w:rPr>
          <w:t>rt. v. 13.9.2017, Az.: 10 C 6/16</w:t>
        </w:r>
      </w:hyperlink>
      <w:r>
        <w:t xml:space="preserve"> = </w:t>
      </w:r>
      <w:r w:rsidRPr="00DE0E02">
        <w:t>BVerwGE 159, 327</w:t>
      </w:r>
      <w:r>
        <w:t xml:space="preserve"> (335 f. Rn. 28)</w:t>
      </w:r>
      <w:r w:rsidRPr="00DE0E02">
        <w:t xml:space="preserve"> </w:t>
      </w:r>
      <w:r>
        <w:t xml:space="preserve">= </w:t>
      </w:r>
      <w:r w:rsidRPr="00DE0E02">
        <w:t>N</w:t>
      </w:r>
      <w:r>
        <w:t xml:space="preserve">VwZ 2018, 433 (435 Rn. 28). </w:t>
      </w:r>
    </w:p>
  </w:footnote>
  <w:footnote w:id="333">
    <w:p w14:paraId="017EC475" w14:textId="574AF6A4" w:rsidR="006D1FD1" w:rsidRDefault="006D1FD1" w:rsidP="00D814E5">
      <w:pPr>
        <w:pStyle w:val="Funotentext"/>
      </w:pPr>
      <w:r>
        <w:rPr>
          <w:rStyle w:val="Funotenzeichen"/>
        </w:rPr>
        <w:footnoteRef/>
      </w:r>
      <w:r>
        <w:t xml:space="preserve"> </w:t>
      </w:r>
      <w:hyperlink r:id="rId247" w:history="1">
        <w:r>
          <w:rPr>
            <w:rStyle w:val="Hyperlink"/>
          </w:rPr>
          <w:t>BVerwG, U</w:t>
        </w:r>
        <w:r w:rsidRPr="00545056">
          <w:rPr>
            <w:rStyle w:val="Hyperlink"/>
          </w:rPr>
          <w:t>rt. v. 13.9.2017, Az.: 10 C 6/16</w:t>
        </w:r>
      </w:hyperlink>
      <w:r>
        <w:t xml:space="preserve"> = </w:t>
      </w:r>
      <w:r w:rsidRPr="00DE0E02">
        <w:t>BVerwGE 159, 327</w:t>
      </w:r>
      <w:r>
        <w:t xml:space="preserve"> (336 Rn. 29)</w:t>
      </w:r>
      <w:r w:rsidRPr="00DE0E02">
        <w:t xml:space="preserve"> </w:t>
      </w:r>
      <w:r>
        <w:t xml:space="preserve">= </w:t>
      </w:r>
      <w:r w:rsidRPr="00DE0E02">
        <w:t>N</w:t>
      </w:r>
      <w:r>
        <w:t xml:space="preserve">VwZ 2018, 433 (436 Rn. 29). </w:t>
      </w:r>
    </w:p>
  </w:footnote>
  <w:footnote w:id="334">
    <w:p w14:paraId="77436C3B" w14:textId="18D2F3B3" w:rsidR="006D1FD1" w:rsidRDefault="006D1FD1" w:rsidP="00D814E5">
      <w:pPr>
        <w:pStyle w:val="Funotentext"/>
      </w:pPr>
      <w:r>
        <w:rPr>
          <w:rStyle w:val="Funotenzeichen"/>
        </w:rPr>
        <w:footnoteRef/>
      </w:r>
      <w:r>
        <w:t xml:space="preserve"> </w:t>
      </w:r>
      <w:hyperlink r:id="rId248" w:history="1">
        <w:r>
          <w:rPr>
            <w:rStyle w:val="Hyperlink"/>
          </w:rPr>
          <w:t>BVerwG, U</w:t>
        </w:r>
        <w:r w:rsidRPr="00545056">
          <w:rPr>
            <w:rStyle w:val="Hyperlink"/>
          </w:rPr>
          <w:t>rt. v. 13.9.2017, Az.: 10 C 6/16</w:t>
        </w:r>
      </w:hyperlink>
      <w:r>
        <w:t xml:space="preserve"> =</w:t>
      </w:r>
      <w:r w:rsidRPr="00DE0E02">
        <w:t xml:space="preserve"> BVerwGE 159, 327 </w:t>
      </w:r>
      <w:r>
        <w:t xml:space="preserve">(337 Rn. 31) = NVwZ 2018, 433 (436 Rn. 31). </w:t>
      </w:r>
    </w:p>
  </w:footnote>
  <w:footnote w:id="335">
    <w:p w14:paraId="272DBABB" w14:textId="0F944037" w:rsidR="006D1FD1" w:rsidRDefault="006D1FD1" w:rsidP="005416FC">
      <w:pPr>
        <w:pStyle w:val="Funotentext"/>
      </w:pPr>
      <w:r>
        <w:rPr>
          <w:rStyle w:val="Funotenzeichen"/>
        </w:rPr>
        <w:footnoteRef/>
      </w:r>
      <w:r>
        <w:t xml:space="preserve"> </w:t>
      </w:r>
      <w:r w:rsidRPr="0073140A">
        <w:t xml:space="preserve">Alternativ könnte der A auch eine </w:t>
      </w:r>
      <w:r w:rsidRPr="0073140A">
        <w:rPr>
          <w:i/>
        </w:rPr>
        <w:t>behördliche</w:t>
      </w:r>
      <w:r w:rsidRPr="0073140A">
        <w:t xml:space="preserve"> Feststellung der teilweisen Nichtigkeit gemäß §</w:t>
      </w:r>
      <w:r>
        <w:t> </w:t>
      </w:r>
      <w:r w:rsidRPr="0073140A">
        <w:t>44 V Hs. 2 VwVfG NRW oder eine Rücknahme der</w:t>
      </w:r>
      <w:r>
        <w:t xml:space="preserve"> (nichtigen)</w:t>
      </w:r>
      <w:r w:rsidRPr="0073140A">
        <w:t xml:space="preserve"> Nebenbestimmungen gemäß § 48 VwVfG NRW (str.) beantragen</w:t>
      </w:r>
      <w:r>
        <w:t xml:space="preserve">, wobei die Annahme einer Reduktion des Rücknahmeermessens der Behörde auf Null wegen offensichtlicher Rechtswidrigkeit der Nebenbestimmung hier gut vertretbar wäre. S. zu anderen Optionen ausführlich </w:t>
      </w:r>
      <w:hyperlink r:id="rId249" w:history="1">
        <w:r w:rsidRPr="0057061A">
          <w:rPr>
            <w:rStyle w:val="Hyperlink"/>
          </w:rPr>
          <w:t>Brings-Wiesen, in: Eisentraut, Verwaltungsrecht in der Klausur, 2020, § 6 Rn. 166 ff.</w:t>
        </w:r>
      </w:hyperlink>
      <w:r>
        <w:t xml:space="preserve"> sowie </w:t>
      </w:r>
      <w:hyperlink r:id="rId250" w:history="1">
        <w:r w:rsidRPr="00144A4A">
          <w:rPr>
            <w:rStyle w:val="Hyperlink"/>
          </w:rPr>
          <w:t>Brings-Wiesen, in: Eisentraut, Verwaltungsrecht in der Klausur, 2020, § 2 Rn. 862, 923</w:t>
        </w:r>
      </w:hyperlink>
      <w:r>
        <w:t>.</w:t>
      </w:r>
    </w:p>
  </w:footnote>
  <w:footnote w:id="336">
    <w:p w14:paraId="20615CF2" w14:textId="77777777" w:rsidR="006D1FD1" w:rsidRDefault="006D1FD1" w:rsidP="005416FC">
      <w:pPr>
        <w:pStyle w:val="Funotentext"/>
      </w:pPr>
      <w:r>
        <w:rPr>
          <w:rStyle w:val="Funotenzeichen"/>
        </w:rPr>
        <w:footnoteRef/>
      </w:r>
      <w:r>
        <w:t xml:space="preserve"> Das Gaststättenrecht ist wegen seiner guten Zugänglichkeit selbst für Studienanfängerinnen und -anfänger beliebter Aufhänger verwaltungsrechtlicher Klausuren und sollte daher spätestens in der Examensvorbereitung ein wenig genauer in den Blick genommen werden. S. für eine weitere Fallbearbeitung im gaststättenrechtlichen Kontext Schröder, JuS 2015, 235.</w:t>
      </w:r>
    </w:p>
  </w:footnote>
  <w:footnote w:id="337">
    <w:p w14:paraId="52376E8E" w14:textId="35E52957" w:rsidR="006D1FD1" w:rsidRDefault="006D1FD1" w:rsidP="005416FC">
      <w:pPr>
        <w:pStyle w:val="Funotentext"/>
      </w:pPr>
      <w:r>
        <w:rPr>
          <w:rStyle w:val="Funotenzeichen"/>
        </w:rPr>
        <w:footnoteRef/>
      </w:r>
      <w:r>
        <w:t xml:space="preserve"> S. nur </w:t>
      </w:r>
      <w:hyperlink r:id="rId251" w:history="1">
        <w:r w:rsidRPr="00540905">
          <w:rPr>
            <w:rStyle w:val="Hyperlink"/>
          </w:rPr>
          <w:t>BVerwG, Urt. v. 6.11.2002, Az.: 6 C 16.02</w:t>
        </w:r>
      </w:hyperlink>
      <w:r>
        <w:t xml:space="preserve"> = NVwZ 2003, 603 (604).</w:t>
      </w:r>
    </w:p>
  </w:footnote>
  <w:footnote w:id="338">
    <w:p w14:paraId="339911BB" w14:textId="2CFB04AE" w:rsidR="006D1FD1" w:rsidRDefault="006D1FD1" w:rsidP="005416FC">
      <w:pPr>
        <w:pStyle w:val="Funotentext"/>
      </w:pPr>
      <w:r>
        <w:rPr>
          <w:rStyle w:val="Funotenzeichen"/>
        </w:rPr>
        <w:footnoteRef/>
      </w:r>
      <w:r>
        <w:t xml:space="preserve"> S. dazu näher </w:t>
      </w:r>
      <w:hyperlink r:id="rId252" w:history="1">
        <w:r w:rsidRPr="00C87B0D">
          <w:rPr>
            <w:rStyle w:val="Hyperlink"/>
          </w:rPr>
          <w:t>Eisentraut, in: Eisentraut, Verwaltungsrecht in der Klausur, 2020, § 1 Rn. 210</w:t>
        </w:r>
      </w:hyperlink>
      <w:r>
        <w:t xml:space="preserve"> sowie bei Hufen, Verwaltungsprozessrecht, 11. Aufl. 2019, § 11 Rn. 49.</w:t>
      </w:r>
    </w:p>
  </w:footnote>
  <w:footnote w:id="339">
    <w:p w14:paraId="124A0C1A" w14:textId="078F7D21" w:rsidR="006D1FD1" w:rsidRDefault="006D1FD1" w:rsidP="005416FC">
      <w:pPr>
        <w:pStyle w:val="Funotentext"/>
      </w:pPr>
      <w:r>
        <w:rPr>
          <w:rStyle w:val="Funotenzeichen"/>
        </w:rPr>
        <w:footnoteRef/>
      </w:r>
      <w:r>
        <w:t xml:space="preserve"> Im Kontext der bundesrechtlichen VwGO richtet sich die Bestimmung nach den Vorgaben des bundesrechtlichen VwVfG, s. dazu </w:t>
      </w:r>
      <w:hyperlink r:id="rId253" w:history="1">
        <w:r w:rsidRPr="00144A4A">
          <w:rPr>
            <w:rStyle w:val="Hyperlink"/>
          </w:rPr>
          <w:t>Milker, in: Eisentraut, Verwaltungsrecht in der Klausur, 2020, § 2 Rn. 42</w:t>
        </w:r>
      </w:hyperlink>
      <w:r>
        <w:t>.</w:t>
      </w:r>
    </w:p>
  </w:footnote>
  <w:footnote w:id="340">
    <w:p w14:paraId="3DBEFAC4" w14:textId="77777777" w:rsidR="006D1FD1" w:rsidRDefault="006D1FD1" w:rsidP="005416FC">
      <w:pPr>
        <w:pStyle w:val="Funotentext"/>
      </w:pPr>
      <w:r>
        <w:rPr>
          <w:rStyle w:val="Funotenzeichen"/>
        </w:rPr>
        <w:footnoteRef/>
      </w:r>
      <w:r>
        <w:t xml:space="preserve"> Bestehen wie hier keine Zweifel an der Rechtsnatur der in Rede stehenden Maßnahmen genügt eine konzise (gar im Urteilsstil erfolgende) Subsumtion unter den § 35 VwVfG vollkommen.</w:t>
      </w:r>
    </w:p>
  </w:footnote>
  <w:footnote w:id="341">
    <w:p w14:paraId="62A70951" w14:textId="77777777" w:rsidR="006D1FD1" w:rsidRDefault="006D1FD1" w:rsidP="005416FC">
      <w:pPr>
        <w:pStyle w:val="Funotentext"/>
      </w:pPr>
      <w:r>
        <w:rPr>
          <w:rStyle w:val="Funotenzeichen"/>
        </w:rPr>
        <w:footnoteRef/>
      </w:r>
      <w:r>
        <w:t xml:space="preserve"> S. nur Maurer/Waldhoff, Allgemeines Verwaltungsrecht, 19. Aufl. 2017, § 12 Rn. 1.</w:t>
      </w:r>
    </w:p>
  </w:footnote>
  <w:footnote w:id="342">
    <w:p w14:paraId="3D1D59A5" w14:textId="1CA25AA0" w:rsidR="006D1FD1" w:rsidRDefault="006D1FD1" w:rsidP="005416FC">
      <w:pPr>
        <w:pStyle w:val="Funotentext"/>
      </w:pPr>
      <w:r>
        <w:rPr>
          <w:rStyle w:val="Funotenzeichen"/>
        </w:rPr>
        <w:footnoteRef/>
      </w:r>
      <w:r>
        <w:t xml:space="preserve"> S. nur Ramsauer, in: Kopp/Ramsauer, VwVfG, 20. Aufl. 2019, § 36 Rn. 69; s. dazu ausführlich</w:t>
      </w:r>
      <w:r w:rsidRPr="00FD64EC">
        <w:t xml:space="preserve"> </w:t>
      </w:r>
      <w:hyperlink r:id="rId254" w:history="1">
        <w:r w:rsidRPr="00144A4A">
          <w:rPr>
            <w:rStyle w:val="Hyperlink"/>
          </w:rPr>
          <w:t>Kaerkes, in: Eisentraut, Verwaltungsrecht in der Klausur, 2020, § 2 Rn. 219 f.</w:t>
        </w:r>
      </w:hyperlink>
    </w:p>
  </w:footnote>
  <w:footnote w:id="343">
    <w:p w14:paraId="2A04D407" w14:textId="700348A0" w:rsidR="006D1FD1" w:rsidRDefault="006D1FD1" w:rsidP="005416FC">
      <w:pPr>
        <w:pStyle w:val="Funotentext"/>
      </w:pPr>
      <w:r>
        <w:rPr>
          <w:rStyle w:val="Funotenzeichen"/>
        </w:rPr>
        <w:footnoteRef/>
      </w:r>
      <w:r>
        <w:t xml:space="preserve"> Insbesondere hat der Verwaltungsakt Gaststättenerlaubnis sich auch noch nicht gemäß § 43 II VwVfG durch – gesetzlich determinierten – Zeitablauf erledigt, vgl. § 8 GastG: Erlöschen der Erlaubnis bei einjähriger betrieblicher Untätigkeit. S. dazu auch </w:t>
      </w:r>
      <w:hyperlink r:id="rId255" w:history="1">
        <w:r w:rsidRPr="00144A4A">
          <w:rPr>
            <w:rStyle w:val="Hyperlink"/>
          </w:rPr>
          <w:t>Brings-Wiesen, in: Eisentraut, Verwaltungsrecht in der Klausur, 2020, § 2 Rn. 183</w:t>
        </w:r>
      </w:hyperlink>
      <w:r>
        <w:t>.</w:t>
      </w:r>
    </w:p>
  </w:footnote>
  <w:footnote w:id="344">
    <w:p w14:paraId="1646D627" w14:textId="5A5C81E8" w:rsidR="006D1FD1" w:rsidRDefault="006D1FD1" w:rsidP="005416FC">
      <w:pPr>
        <w:pStyle w:val="Funotentext"/>
      </w:pPr>
      <w:r>
        <w:rPr>
          <w:rStyle w:val="Funotenzeichen"/>
        </w:rPr>
        <w:footnoteRef/>
      </w:r>
      <w:r>
        <w:t xml:space="preserve"> S. dazu ausführlich </w:t>
      </w:r>
      <w:hyperlink r:id="rId256" w:history="1">
        <w:r w:rsidRPr="00144A4A">
          <w:rPr>
            <w:rStyle w:val="Hyperlink"/>
          </w:rPr>
          <w:t>Kaerkes, in: Eisentraut, Verwaltungsrecht in der Klausur, 2020, § 2 Rn. 249 ff.</w:t>
        </w:r>
      </w:hyperlink>
      <w:r>
        <w:t>, sowie insbesondere Fall 2 in diesem Buch.</w:t>
      </w:r>
      <w:r w:rsidRPr="00FE17B2">
        <w:t xml:space="preserve"> Die Problematik soll daher an dieser Stelle – insbesondere mangels Erheblichkeit für die Falllösung – nicht vertieft wiederholt werden.</w:t>
      </w:r>
    </w:p>
  </w:footnote>
  <w:footnote w:id="345">
    <w:p w14:paraId="36926631" w14:textId="63C2147C" w:rsidR="006D1FD1" w:rsidRDefault="006D1FD1" w:rsidP="005416FC">
      <w:pPr>
        <w:pStyle w:val="Funotentext"/>
      </w:pPr>
      <w:r>
        <w:rPr>
          <w:rStyle w:val="Funotenzeichen"/>
        </w:rPr>
        <w:footnoteRef/>
      </w:r>
      <w:r>
        <w:t xml:space="preserve"> Grundlegend </w:t>
      </w:r>
      <w:hyperlink r:id="rId257" w:history="1">
        <w:r w:rsidRPr="00D2386C">
          <w:rPr>
            <w:rStyle w:val="Hyperlink"/>
          </w:rPr>
          <w:t>BVerwG, Urt. v. 22.11.2000, Az.: 11 C 2.00</w:t>
        </w:r>
      </w:hyperlink>
      <w:r>
        <w:t xml:space="preserve"> = BVerwGE 112, 221 (224).</w:t>
      </w:r>
    </w:p>
  </w:footnote>
  <w:footnote w:id="346">
    <w:p w14:paraId="29673F57" w14:textId="40E04718" w:rsidR="006D1FD1" w:rsidRDefault="006D1FD1" w:rsidP="005416FC">
      <w:pPr>
        <w:pStyle w:val="Funotentext"/>
      </w:pPr>
      <w:r>
        <w:rPr>
          <w:rStyle w:val="Funotenzeichen"/>
        </w:rPr>
        <w:footnoteRef/>
      </w:r>
      <w:r>
        <w:t xml:space="preserve"> S. nur </w:t>
      </w:r>
      <w:hyperlink r:id="rId258" w:history="1">
        <w:r w:rsidRPr="00D2386C">
          <w:rPr>
            <w:rStyle w:val="Hyperlink"/>
          </w:rPr>
          <w:t>BVerwG, Urt.</w:t>
        </w:r>
        <w:r>
          <w:rPr>
            <w:rStyle w:val="Hyperlink"/>
          </w:rPr>
          <w:t xml:space="preserve"> </w:t>
        </w:r>
        <w:r w:rsidRPr="00D2386C">
          <w:rPr>
            <w:rStyle w:val="Hyperlink"/>
          </w:rPr>
          <w:t>v. 20.3.1964, Az.: VII C 10.61</w:t>
        </w:r>
      </w:hyperlink>
      <w:r>
        <w:t xml:space="preserve"> = BVerwGE 18, 154 (155). Dazu ausführlich in </w:t>
      </w:r>
      <w:hyperlink r:id="rId259" w:history="1">
        <w:r w:rsidRPr="00144A4A">
          <w:rPr>
            <w:rStyle w:val="Hyperlink"/>
          </w:rPr>
          <w:t>Brings-Wiesen, in: Eisentraut, Verwaltungsrecht in der Klausur, 2020, § 2 Rn. 197 ff.</w:t>
        </w:r>
      </w:hyperlink>
    </w:p>
  </w:footnote>
  <w:footnote w:id="347">
    <w:p w14:paraId="78F5C8C4" w14:textId="77777777" w:rsidR="006D1FD1" w:rsidRDefault="006D1FD1" w:rsidP="005416FC">
      <w:pPr>
        <w:pStyle w:val="Funotentext"/>
      </w:pPr>
      <w:r w:rsidRPr="00265678">
        <w:rPr>
          <w:rStyle w:val="Funotenzeichen"/>
        </w:rPr>
        <w:footnoteRef/>
      </w:r>
      <w:r w:rsidRPr="00265678">
        <w:t xml:space="preserve"> Hufen, Verw</w:t>
      </w:r>
      <w:r>
        <w:t>altungsprozessrecht</w:t>
      </w:r>
      <w:r w:rsidRPr="00265678">
        <w:t>, 11. Aufl. 2019, § 14 Rn. 11.</w:t>
      </w:r>
    </w:p>
  </w:footnote>
  <w:footnote w:id="348">
    <w:p w14:paraId="0823F115" w14:textId="26B4CC1B" w:rsidR="006D1FD1" w:rsidRDefault="006D1FD1" w:rsidP="005416FC">
      <w:pPr>
        <w:pStyle w:val="Funotentext"/>
      </w:pPr>
      <w:r>
        <w:rPr>
          <w:rStyle w:val="Funotenzeichen"/>
        </w:rPr>
        <w:footnoteRef/>
      </w:r>
      <w:r>
        <w:t xml:space="preserve"> S. nur Pietzcker, in: Schoch/Schneider/Bier, VwGO, 36. EL Februar 2019, § 42 I Rn. 18.</w:t>
      </w:r>
    </w:p>
  </w:footnote>
  <w:footnote w:id="349">
    <w:p w14:paraId="65E45911" w14:textId="0286D8C6" w:rsidR="006D1FD1" w:rsidRDefault="006D1FD1" w:rsidP="005416FC">
      <w:pPr>
        <w:pStyle w:val="Funotentext"/>
      </w:pPr>
      <w:r>
        <w:rPr>
          <w:rStyle w:val="Funotenzeichen"/>
        </w:rPr>
        <w:footnoteRef/>
      </w:r>
      <w:r>
        <w:t xml:space="preserve"> S. nur Maurer/Waldhoff, Allgemeines Verwaltungsrecht, 19. Aufl. 2017, § 10 Rn. 93.</w:t>
      </w:r>
    </w:p>
  </w:footnote>
  <w:footnote w:id="350">
    <w:p w14:paraId="0439C1FD" w14:textId="77777777" w:rsidR="006D1FD1" w:rsidRDefault="006D1FD1" w:rsidP="005416FC">
      <w:pPr>
        <w:pStyle w:val="Funotentext"/>
      </w:pPr>
      <w:r>
        <w:rPr>
          <w:rStyle w:val="Funotenzeichen"/>
        </w:rPr>
        <w:footnoteRef/>
      </w:r>
      <w:r>
        <w:t xml:space="preserve"> Da die Anfechtungsklage offensichtlich verfristet ist, ist es an dieser Stelle prüfungstaktisch klüger, deren Unzulässigkeit direkt festzustellen, um die Prüfung auf die Nichtigkeitsfeststellungsklage zu konzentrieren.</w:t>
      </w:r>
    </w:p>
  </w:footnote>
  <w:footnote w:id="351">
    <w:p w14:paraId="36D3AE19" w14:textId="77777777" w:rsidR="006D1FD1" w:rsidRDefault="006D1FD1" w:rsidP="005416FC">
      <w:pPr>
        <w:pStyle w:val="Funotentext"/>
      </w:pPr>
      <w:r>
        <w:rPr>
          <w:rStyle w:val="Funotenzeichen"/>
        </w:rPr>
        <w:footnoteRef/>
      </w:r>
      <w:r>
        <w:t xml:space="preserve"> Da es sich auch nicht um einen Feiertag handelt, bedurfte es einer Erwähnung von § 57 II VwGO i.V.m. § 222 II ZPO erst gar nicht.</w:t>
      </w:r>
    </w:p>
  </w:footnote>
  <w:footnote w:id="352">
    <w:p w14:paraId="71CACED8" w14:textId="5BCFB076" w:rsidR="006D1FD1" w:rsidRDefault="006D1FD1" w:rsidP="005416FC">
      <w:pPr>
        <w:pStyle w:val="Funotentext"/>
      </w:pPr>
      <w:r>
        <w:rPr>
          <w:rStyle w:val="Funotenzeichen"/>
        </w:rPr>
        <w:footnoteRef/>
      </w:r>
      <w:r>
        <w:t xml:space="preserve"> Anhaltspunkte, die für Erfolgsaussichten eines Antrags auf Wiedereinsetzung in den vorigen Stand gemäß § 60 VwGO (s. dazu </w:t>
      </w:r>
      <w:hyperlink r:id="rId260" w:history="1">
        <w:r w:rsidRPr="00144A4A">
          <w:rPr>
            <w:rStyle w:val="Hyperlink"/>
          </w:rPr>
          <w:t>Stockebrandt, in: Eisentraut, Verwaltungsrecht in der Klausur, 2020, § 2 Rn. 394 ff.</w:t>
        </w:r>
      </w:hyperlink>
      <w:r>
        <w:t>) sprechen könnten, sind nicht ersichtlich. Dass der A die Frist versäumt hat, geht vielmehr auf sein eigenes fahrlässiges Fehlverhalten zurück.</w:t>
      </w:r>
    </w:p>
  </w:footnote>
  <w:footnote w:id="353">
    <w:p w14:paraId="0C6E258A" w14:textId="77777777" w:rsidR="006D1FD1" w:rsidRDefault="006D1FD1" w:rsidP="005416FC">
      <w:pPr>
        <w:pStyle w:val="Funotentext"/>
      </w:pPr>
      <w:r>
        <w:rPr>
          <w:rStyle w:val="Funotenzeichen"/>
        </w:rPr>
        <w:footnoteRef/>
      </w:r>
      <w:r>
        <w:t xml:space="preserve"> S. aber bereits die Hinweise zu den anderen Rechtsschutzoptionen oben.</w:t>
      </w:r>
    </w:p>
  </w:footnote>
  <w:footnote w:id="354">
    <w:p w14:paraId="78A2D65A" w14:textId="04727382" w:rsidR="006D1FD1" w:rsidRDefault="006D1FD1" w:rsidP="005416FC">
      <w:pPr>
        <w:pStyle w:val="Funotentext"/>
      </w:pPr>
      <w:r>
        <w:rPr>
          <w:rStyle w:val="Funotenzeichen"/>
        </w:rPr>
        <w:footnoteRef/>
      </w:r>
      <w:r>
        <w:t xml:space="preserve"> S. für eine Übersicht über den Diskussionsstand Pietzcker, in: Schoch/Schneider/Bier, VwGO, 36. EL Februar 2019, § 43 Rn. 28 ff.</w:t>
      </w:r>
    </w:p>
  </w:footnote>
  <w:footnote w:id="355">
    <w:p w14:paraId="1A0635E1" w14:textId="77777777" w:rsidR="006D1FD1" w:rsidRDefault="006D1FD1" w:rsidP="005416FC">
      <w:pPr>
        <w:pStyle w:val="Funotentext"/>
      </w:pPr>
      <w:r>
        <w:rPr>
          <w:rStyle w:val="Funotenzeichen"/>
        </w:rPr>
        <w:footnoteRef/>
      </w:r>
      <w:r>
        <w:t xml:space="preserve"> </w:t>
      </w:r>
      <w:r w:rsidRPr="00EE1873">
        <w:t xml:space="preserve">Hilfsweise kann </w:t>
      </w:r>
      <w:r>
        <w:t>stets</w:t>
      </w:r>
      <w:r w:rsidRPr="00EE1873">
        <w:t xml:space="preserve"> mit der Adressatentheorie auf die Beeinträchtigung jedenfalls der allgemeinen Handlungsfreiheit aus Art. 2 I GG abgestellt werden.</w:t>
      </w:r>
      <w:r>
        <w:t xml:space="preserve"> Soweit besondere Rechte betroffen sind, sollten diese jedoch bereits an dieser Stelle ausdrücklich genannt werden.</w:t>
      </w:r>
    </w:p>
  </w:footnote>
  <w:footnote w:id="356">
    <w:p w14:paraId="7B4DC3E3" w14:textId="41B20EEF" w:rsidR="006D1FD1" w:rsidRDefault="006D1FD1" w:rsidP="005416FC">
      <w:pPr>
        <w:pStyle w:val="Funotentext"/>
      </w:pPr>
      <w:r>
        <w:rPr>
          <w:rStyle w:val="Funotenzeichen"/>
        </w:rPr>
        <w:footnoteRef/>
      </w:r>
      <w:r>
        <w:t xml:space="preserve"> S. dazu näher </w:t>
      </w:r>
      <w:hyperlink r:id="rId261" w:history="1">
        <w:r w:rsidRPr="00144A4A">
          <w:rPr>
            <w:rStyle w:val="Hyperlink"/>
          </w:rPr>
          <w:t>Valentiner, in: Eisentraut, Verwaltungsrecht in der Klausur, 2020, § 2 Rn. 489 ff.</w:t>
        </w:r>
      </w:hyperlink>
    </w:p>
  </w:footnote>
  <w:footnote w:id="357">
    <w:p w14:paraId="7160E2C8" w14:textId="77777777" w:rsidR="006D1FD1" w:rsidRDefault="006D1FD1" w:rsidP="005416FC">
      <w:pPr>
        <w:pStyle w:val="Funotentext"/>
      </w:pPr>
      <w:r>
        <w:rPr>
          <w:rStyle w:val="Funotenzeichen"/>
        </w:rPr>
        <w:footnoteRef/>
      </w:r>
      <w:r>
        <w:t xml:space="preserve"> Vertretbar wäre auch eine Prüfung dessen im Rahmen des berechtigten Feststellungsinteresses, so bspw. Hufen, Verwaltungsprozessrecht, 11. Aufl. 2019, § 18 Rn. 32.</w:t>
      </w:r>
    </w:p>
  </w:footnote>
  <w:footnote w:id="358">
    <w:p w14:paraId="2CE914A9" w14:textId="5816C301" w:rsidR="006D1FD1" w:rsidRDefault="006D1FD1" w:rsidP="005416FC">
      <w:pPr>
        <w:pStyle w:val="Funotentext"/>
      </w:pPr>
      <w:r>
        <w:rPr>
          <w:rStyle w:val="Funotenzeichen"/>
        </w:rPr>
        <w:footnoteRef/>
      </w:r>
      <w:r>
        <w:t xml:space="preserve"> S. dazu näher </w:t>
      </w:r>
      <w:hyperlink r:id="rId262" w:history="1">
        <w:r w:rsidRPr="0057061A">
          <w:rPr>
            <w:rStyle w:val="Hyperlink"/>
          </w:rPr>
          <w:t>Valentiner, in: Eisentraut, Verwaltungsrecht in der Klausur, 2020, § 6 Rn. 100</w:t>
        </w:r>
      </w:hyperlink>
      <w:r>
        <w:t>.</w:t>
      </w:r>
    </w:p>
  </w:footnote>
  <w:footnote w:id="359">
    <w:p w14:paraId="04CA5092" w14:textId="5704804F" w:rsidR="006D1FD1" w:rsidRDefault="006D1FD1" w:rsidP="005416FC">
      <w:pPr>
        <w:pStyle w:val="Funotentext"/>
      </w:pPr>
      <w:r w:rsidRPr="00733D9C">
        <w:rPr>
          <w:rStyle w:val="Funotenzeichen"/>
        </w:rPr>
        <w:footnoteRef/>
      </w:r>
      <w:r w:rsidRPr="00733D9C">
        <w:t xml:space="preserve"> </w:t>
      </w:r>
      <w:r>
        <w:t xml:space="preserve">S. dazu näher </w:t>
      </w:r>
      <w:hyperlink r:id="rId263" w:history="1">
        <w:r w:rsidRPr="0057061A">
          <w:rPr>
            <w:rStyle w:val="Hyperlink"/>
          </w:rPr>
          <w:t>Creemers, in: Eisentraut, Verwaltungsrecht in der Klausur, 2020, § 6 Rn. 87 f.</w:t>
        </w:r>
      </w:hyperlink>
    </w:p>
  </w:footnote>
  <w:footnote w:id="360">
    <w:p w14:paraId="608194DA" w14:textId="77777777" w:rsidR="006D1FD1" w:rsidRDefault="006D1FD1" w:rsidP="005416FC">
      <w:pPr>
        <w:pStyle w:val="Funotentext"/>
      </w:pPr>
      <w:r>
        <w:rPr>
          <w:rStyle w:val="Funotenzeichen"/>
        </w:rPr>
        <w:footnoteRef/>
      </w:r>
      <w:r>
        <w:t xml:space="preserve"> Da es um die Möglichkeiten der Erhebung von Rechtsbehelfen geht, sind diese Voraussetzungen nicht </w:t>
      </w:r>
      <w:r w:rsidRPr="00FE17B2">
        <w:rPr>
          <w:i/>
        </w:rPr>
        <w:t>en detail</w:t>
      </w:r>
      <w:r>
        <w:t xml:space="preserve"> zu prüfen. Abschließende Hinweise dieser Art sind jedoch in einer Prüfung ohne weiteres zulässig und verdeutlichen weiterreichendes Verständnis.</w:t>
      </w:r>
    </w:p>
  </w:footnote>
  <w:footnote w:id="361">
    <w:p w14:paraId="663868A7" w14:textId="77777777" w:rsidR="006D1FD1" w:rsidRDefault="006D1FD1" w:rsidP="005416FC">
      <w:pPr>
        <w:pStyle w:val="Funotentext"/>
      </w:pPr>
      <w:r>
        <w:rPr>
          <w:rStyle w:val="Funotenzeichen"/>
        </w:rPr>
        <w:footnoteRef/>
      </w:r>
      <w:r>
        <w:t xml:space="preserve"> A könnte sich jedoch gemäß § 67 II 1 VwGO auch von der F anwaltlich vertreten lassen.</w:t>
      </w:r>
    </w:p>
  </w:footnote>
  <w:footnote w:id="362">
    <w:p w14:paraId="1D13B95E" w14:textId="2C32D4FA" w:rsidR="006D1FD1" w:rsidRDefault="006D1FD1" w:rsidP="005416FC">
      <w:pPr>
        <w:pStyle w:val="Funotentext"/>
      </w:pPr>
      <w:r>
        <w:rPr>
          <w:rStyle w:val="Funotenzeichen"/>
        </w:rPr>
        <w:footnoteRef/>
      </w:r>
      <w:r>
        <w:t xml:space="preserve"> Da § 35 VwVfG und § 35 VwVfG NRW deckungsgleich sind, bedarf es innerhalb des VwVfG NRW keiner erneuten Feststellung des Vorliegens eines Verwaltungsakts. </w:t>
      </w:r>
    </w:p>
  </w:footnote>
  <w:footnote w:id="363">
    <w:p w14:paraId="18BB17CE" w14:textId="091992B4" w:rsidR="006D1FD1" w:rsidRDefault="006D1FD1" w:rsidP="005416FC">
      <w:pPr>
        <w:pStyle w:val="Funotentext"/>
      </w:pPr>
      <w:r>
        <w:rPr>
          <w:rStyle w:val="Funotenzeichen"/>
        </w:rPr>
        <w:footnoteRef/>
      </w:r>
      <w:r>
        <w:t xml:space="preserve"> Gemäß § 1 III VwVfG i.V.m. § 1 I VwVfG NRW kommt das VwVfG NRW zur Anwendung. Mangels spezialgesetzlicher Nichtigkeitsgründe im Gaststättenrecht ist die allgemeine Vorschrift des § 44 VwVfG NRW heranzuziehen. Das VwVfG des Bundes enthält in § 44 eine fast wortgleiche, inhaltlich übereinstimmende Regelung, sodass die Lösung auch auf Grundlage des Bundesrechts nachvollzogen werden kann.</w:t>
      </w:r>
    </w:p>
  </w:footnote>
  <w:footnote w:id="364">
    <w:p w14:paraId="5C8CE658" w14:textId="7B1F470C" w:rsidR="006D1FD1" w:rsidRDefault="006D1FD1" w:rsidP="005416FC">
      <w:pPr>
        <w:pStyle w:val="Funotentext"/>
      </w:pPr>
      <w:r>
        <w:rPr>
          <w:rStyle w:val="Funotenzeichen"/>
        </w:rPr>
        <w:footnoteRef/>
      </w:r>
      <w:r>
        <w:t xml:space="preserve"> In die Prüfungsstruktur der Begründetheit der Nichtigkeitsfeststellungsklage einführend </w:t>
      </w:r>
      <w:hyperlink r:id="rId264" w:history="1">
        <w:r w:rsidRPr="0057061A">
          <w:rPr>
            <w:rStyle w:val="Hyperlink"/>
          </w:rPr>
          <w:t>Brings</w:t>
        </w:r>
        <w:r>
          <w:rPr>
            <w:rStyle w:val="Hyperlink"/>
          </w:rPr>
          <w:noBreakHyphen/>
        </w:r>
        <w:r w:rsidRPr="0057061A">
          <w:rPr>
            <w:rStyle w:val="Hyperlink"/>
          </w:rPr>
          <w:t>Wiesen, in: Eisentraut, Verwaltungsrecht in der Klausur, 2020, § 6 Rn. 115 ff.</w:t>
        </w:r>
      </w:hyperlink>
    </w:p>
  </w:footnote>
  <w:footnote w:id="365">
    <w:p w14:paraId="246D93C3" w14:textId="13E4FCA8" w:rsidR="006D1FD1" w:rsidRDefault="006D1FD1" w:rsidP="005416FC">
      <w:pPr>
        <w:pStyle w:val="Funotentext"/>
      </w:pPr>
      <w:r>
        <w:rPr>
          <w:rStyle w:val="Funotenzeichen"/>
        </w:rPr>
        <w:footnoteRef/>
      </w:r>
      <w:r>
        <w:t xml:space="preserve"> Es handelt sich um einen Unterfall („Teilablehnung“ wegen belastender Nebenbestimmung) der Problematik der Ablehnung einer beantragten Begünstigung, s. nur Ramsauer, in: Kopp/Ramsauer, VwVfG, 20. Aufl. 2019, § 28 Rn. 26.</w:t>
      </w:r>
    </w:p>
  </w:footnote>
  <w:footnote w:id="366">
    <w:p w14:paraId="1ACA78DB" w14:textId="64D03230" w:rsidR="006D1FD1" w:rsidRDefault="006D1FD1" w:rsidP="005416FC">
      <w:pPr>
        <w:pStyle w:val="Funotentext"/>
      </w:pPr>
      <w:r>
        <w:rPr>
          <w:rStyle w:val="Funotenzeichen"/>
        </w:rPr>
        <w:footnoteRef/>
      </w:r>
      <w:r>
        <w:t xml:space="preserve"> Insofern weicht § 45 II VwVfG NRW von der bundesrechtlichen Norm, die eine Nachholung „</w:t>
      </w:r>
      <w:r w:rsidRPr="00FB6FC8">
        <w:t>bis zum Abschluss der letzten Tatsacheninstanz eines verwaltungsgerichtlichen Verfahrens</w:t>
      </w:r>
      <w:r>
        <w:t>“ vorsieht, ab.</w:t>
      </w:r>
    </w:p>
  </w:footnote>
  <w:footnote w:id="367">
    <w:p w14:paraId="648B3B4E" w14:textId="74546EAF" w:rsidR="006D1FD1" w:rsidRDefault="006D1FD1" w:rsidP="005416FC">
      <w:pPr>
        <w:pStyle w:val="Funotentext"/>
      </w:pPr>
      <w:r>
        <w:rPr>
          <w:rStyle w:val="Funotenzeichen"/>
        </w:rPr>
        <w:footnoteRef/>
      </w:r>
      <w:r>
        <w:t xml:space="preserve"> S. zu den durchaus niedrigschwelligen Anforderungen an eine solche Nachholung </w:t>
      </w:r>
      <w:hyperlink r:id="rId265" w:history="1">
        <w:r w:rsidRPr="00144A4A">
          <w:rPr>
            <w:rStyle w:val="Hyperlink"/>
          </w:rPr>
          <w:t>Senders, in: Eisentraut, Verwaltungsrecht in der Klausur, 2020, § 2 Rn. 657 ff.</w:t>
        </w:r>
      </w:hyperlink>
    </w:p>
  </w:footnote>
  <w:footnote w:id="368">
    <w:p w14:paraId="4C6EFFB1" w14:textId="6E623518" w:rsidR="006D1FD1" w:rsidRDefault="006D1FD1" w:rsidP="005416FC">
      <w:pPr>
        <w:pStyle w:val="Funotentext"/>
      </w:pPr>
      <w:r>
        <w:rPr>
          <w:rStyle w:val="Funotenzeichen"/>
        </w:rPr>
        <w:footnoteRef/>
      </w:r>
      <w:r>
        <w:t xml:space="preserve"> Anders als im VwVfG wird in manchen VwVfGen der Länder nicht der</w:t>
      </w:r>
      <w:r w:rsidRPr="00824AC0">
        <w:t xml:space="preserve"> Begriff „offensichtlich“</w:t>
      </w:r>
      <w:r>
        <w:t xml:space="preserve">, sondern der Begriff „offenkundig“ genutzt, ohne dass damit materielle Divergenzen verbunden wären. Auch im VwVfG war zuerst Offenkundigkeit verlangt, was </w:t>
      </w:r>
      <w:r w:rsidRPr="00824AC0">
        <w:t>mit dem 2. VwVfÄndG (</w:t>
      </w:r>
      <w:hyperlink r:id="rId266" w:anchor="__bgbl__%2F%2F*%5B%40attr_id%3D%27bgbl198s2022.pdf%27%5D__1567426759824" w:history="1">
        <w:r w:rsidRPr="003C75EA">
          <w:rPr>
            <w:rStyle w:val="Hyperlink"/>
          </w:rPr>
          <w:t>BGBl. I 1998, S. 2022)</w:t>
        </w:r>
      </w:hyperlink>
      <w:r w:rsidRPr="00824AC0">
        <w:t xml:space="preserve"> </w:t>
      </w:r>
      <w:r>
        <w:t>geändert wurde</w:t>
      </w:r>
      <w:r w:rsidRPr="00824AC0">
        <w:t xml:space="preserve">, ohne dass damit </w:t>
      </w:r>
      <w:r>
        <w:t xml:space="preserve">auch </w:t>
      </w:r>
      <w:r w:rsidRPr="00824AC0">
        <w:t xml:space="preserve">eine inhaltliche Änderung intendiert gewesen wäre, </w:t>
      </w:r>
      <w:r>
        <w:t>vgl</w:t>
      </w:r>
      <w:r w:rsidRPr="00824AC0">
        <w:t>. die Gesetze</w:t>
      </w:r>
      <w:r>
        <w:t>smaterialien</w:t>
      </w:r>
      <w:r w:rsidRPr="00824AC0">
        <w:t xml:space="preserve">, </w:t>
      </w:r>
      <w:hyperlink r:id="rId267" w:history="1">
        <w:r w:rsidRPr="00FD64EC">
          <w:rPr>
            <w:rStyle w:val="Hyperlink"/>
          </w:rPr>
          <w:t>BT-Dr</w:t>
        </w:r>
        <w:r>
          <w:rPr>
            <w:rStyle w:val="Hyperlink"/>
          </w:rPr>
          <w:t>uck</w:t>
        </w:r>
        <w:r w:rsidRPr="00FD64EC">
          <w:rPr>
            <w:rStyle w:val="Hyperlink"/>
          </w:rPr>
          <w:t>s. 13/8884</w:t>
        </w:r>
      </w:hyperlink>
      <w:r w:rsidRPr="00824AC0">
        <w:t>, S. 5.</w:t>
      </w:r>
    </w:p>
  </w:footnote>
  <w:footnote w:id="369">
    <w:p w14:paraId="595419C4" w14:textId="79BC0467" w:rsidR="006D1FD1" w:rsidRDefault="006D1FD1" w:rsidP="005416FC">
      <w:pPr>
        <w:pStyle w:val="Funotentext"/>
      </w:pPr>
      <w:r>
        <w:rPr>
          <w:rStyle w:val="Funotenzeichen"/>
        </w:rPr>
        <w:footnoteRef/>
      </w:r>
      <w:r>
        <w:t xml:space="preserve"> St. Rspr. des BVerwG unter dem VwVfG, </w:t>
      </w:r>
      <w:hyperlink r:id="rId268" w:history="1">
        <w:r w:rsidRPr="00E67DA3">
          <w:rPr>
            <w:rStyle w:val="Hyperlink"/>
          </w:rPr>
          <w:t>Urt. v. 22.2.1985, Az.: 8 C 107</w:t>
        </w:r>
        <w:r>
          <w:rPr>
            <w:rStyle w:val="Hyperlink"/>
          </w:rPr>
          <w:t>.</w:t>
        </w:r>
        <w:r w:rsidRPr="00E67DA3">
          <w:rPr>
            <w:rStyle w:val="Hyperlink"/>
          </w:rPr>
          <w:t>83</w:t>
        </w:r>
      </w:hyperlink>
      <w:r>
        <w:t xml:space="preserve"> = NJW 1985, 2658 (2659); zuletzt </w:t>
      </w:r>
      <w:hyperlink r:id="rId269" w:history="1">
        <w:r w:rsidRPr="003C75EA">
          <w:rPr>
            <w:rStyle w:val="Hyperlink"/>
          </w:rPr>
          <w:t>Beschl. v. 9.7.2019, Az.: 9 B 29.18 = juris, Rn. 10.</w:t>
        </w:r>
      </w:hyperlink>
    </w:p>
  </w:footnote>
  <w:footnote w:id="370">
    <w:p w14:paraId="0A6D66B2" w14:textId="660FAD24" w:rsidR="006D1FD1" w:rsidRDefault="006D1FD1" w:rsidP="005416FC">
      <w:pPr>
        <w:pStyle w:val="Funotentext"/>
      </w:pPr>
      <w:r>
        <w:rPr>
          <w:rStyle w:val="Funotenzeichen"/>
        </w:rPr>
        <w:footnoteRef/>
      </w:r>
      <w:r>
        <w:t xml:space="preserve"> S. dazu näher </w:t>
      </w:r>
      <w:hyperlink r:id="rId270" w:history="1">
        <w:r w:rsidRPr="0057061A">
          <w:rPr>
            <w:rStyle w:val="Hyperlink"/>
          </w:rPr>
          <w:t>Brings-Wiesen, in: Eisentraut, Verwaltungsrecht in der Klausur, 2020, § 6 Rn. 149 ff.</w:t>
        </w:r>
      </w:hyperlink>
    </w:p>
  </w:footnote>
  <w:footnote w:id="371">
    <w:p w14:paraId="2209831F" w14:textId="6E901178" w:rsidR="006D1FD1" w:rsidRDefault="006D1FD1" w:rsidP="005416FC">
      <w:pPr>
        <w:pStyle w:val="Funotentext"/>
      </w:pPr>
      <w:r>
        <w:rPr>
          <w:rStyle w:val="Funotenzeichen"/>
        </w:rPr>
        <w:footnoteRef/>
      </w:r>
      <w:r>
        <w:t xml:space="preserve"> Sachs, in: Stelkens/Bonk/Sachs, VwVfG, 9. Aufl. 2018, § 44 Rn. 118; Schemmer, in: Bader/Ronellenfitsch, VwVfG, </w:t>
      </w:r>
      <w:r w:rsidRPr="003C75EA">
        <w:t>44. Ed., Stand: 1.7.2019</w:t>
      </w:r>
      <w:r>
        <w:t>, § 44 Rn. 32; Peuker, in Knack/Henneke, VwVfG, 10. Aufl. 2014, § 44 Rn. 19.</w:t>
      </w:r>
    </w:p>
  </w:footnote>
  <w:footnote w:id="372">
    <w:p w14:paraId="61F80889" w14:textId="7E67E70F" w:rsidR="006D1FD1" w:rsidRDefault="006D1FD1" w:rsidP="005416FC">
      <w:pPr>
        <w:pStyle w:val="Funotentext"/>
      </w:pPr>
      <w:r>
        <w:rPr>
          <w:rStyle w:val="Funotenzeichen"/>
        </w:rPr>
        <w:footnoteRef/>
      </w:r>
      <w:r>
        <w:t xml:space="preserve"> S. </w:t>
      </w:r>
      <w:hyperlink r:id="rId271" w:history="1">
        <w:r w:rsidRPr="003B3297">
          <w:rPr>
            <w:rStyle w:val="Hyperlink"/>
          </w:rPr>
          <w:t>OVG Münster, Beschl. v. 13.10.2011, Az.: 1 A 1925/09</w:t>
        </w:r>
      </w:hyperlink>
      <w:r>
        <w:t xml:space="preserve"> = </w:t>
      </w:r>
      <w:r w:rsidRPr="002C6832">
        <w:t>BeckRS 2011, 55218</w:t>
      </w:r>
      <w:r>
        <w:t>; befürwortend Peuker, in: Knack/Henneke, VwVfG, 10. Aufl. 2014, § 44 Rn. 19; für § 45 VwVfG grundlegend Ramsauer, in: Kopp/Ramsauer, VwVfG, 20. Aufl. 2019, § 44 Rn. 9.</w:t>
      </w:r>
    </w:p>
  </w:footnote>
  <w:footnote w:id="373">
    <w:p w14:paraId="036C6C87" w14:textId="09F5C117" w:rsidR="006D1FD1" w:rsidRDefault="006D1FD1" w:rsidP="005416FC">
      <w:pPr>
        <w:pStyle w:val="Funotentext"/>
      </w:pPr>
      <w:r>
        <w:rPr>
          <w:rStyle w:val="Funotenzeichen"/>
        </w:rPr>
        <w:footnoteRef/>
      </w:r>
      <w:r>
        <w:t xml:space="preserve"> Entspricht § 1 IV VwVfG.</w:t>
      </w:r>
    </w:p>
  </w:footnote>
  <w:footnote w:id="374">
    <w:p w14:paraId="718C3B13" w14:textId="4F169152" w:rsidR="006D1FD1" w:rsidRDefault="006D1FD1" w:rsidP="005416FC">
      <w:pPr>
        <w:pStyle w:val="Funotentext"/>
      </w:pPr>
      <w:r>
        <w:rPr>
          <w:rStyle w:val="Funotenzeichen"/>
        </w:rPr>
        <w:footnoteRef/>
      </w:r>
      <w:r>
        <w:t xml:space="preserve"> Ramsauer, in: Kopp/Ramsauer, VwVfG, 20. Aufl. 2019, § 20 Rn. 54d.</w:t>
      </w:r>
    </w:p>
  </w:footnote>
  <w:footnote w:id="375">
    <w:p w14:paraId="2BC34569" w14:textId="5927A43A" w:rsidR="006D1FD1" w:rsidRDefault="006D1FD1" w:rsidP="005416FC">
      <w:pPr>
        <w:pStyle w:val="Funotentext"/>
      </w:pPr>
      <w:r>
        <w:rPr>
          <w:rStyle w:val="Funotenzeichen"/>
        </w:rPr>
        <w:footnoteRef/>
      </w:r>
      <w:r>
        <w:t xml:space="preserve"> Zum Verhältnis der Abs. 1 bis 3 untereinander und dem sich dazu verhaltenden Prüfungsaufbau </w:t>
      </w:r>
      <w:hyperlink r:id="rId272" w:history="1">
        <w:r w:rsidRPr="0057061A">
          <w:rPr>
            <w:rStyle w:val="Hyperlink"/>
          </w:rPr>
          <w:t>Brings-Wiesen, in: Eisentraut, Verwaltungsrecht in der Klausur, 2020, § 6 Rn. 117 ff.</w:t>
        </w:r>
      </w:hyperlink>
    </w:p>
  </w:footnote>
  <w:footnote w:id="376">
    <w:p w14:paraId="7D4A8A35" w14:textId="3598A9F9" w:rsidR="006D1FD1" w:rsidRDefault="006D1FD1" w:rsidP="005416FC">
      <w:pPr>
        <w:pStyle w:val="Funotentext"/>
      </w:pPr>
      <w:r>
        <w:rPr>
          <w:rStyle w:val="Funotenzeichen"/>
        </w:rPr>
        <w:footnoteRef/>
      </w:r>
      <w:r>
        <w:t xml:space="preserve"> S. dazu näher </w:t>
      </w:r>
      <w:hyperlink r:id="rId273" w:history="1">
        <w:r w:rsidRPr="0057061A">
          <w:rPr>
            <w:rStyle w:val="Hyperlink"/>
          </w:rPr>
          <w:t>Brings-Wiesen, in: Eisentraut, Verwaltungsrecht in der Klausur, 2020, § 6 Rn. 144, 146</w:t>
        </w:r>
      </w:hyperlink>
      <w:r>
        <w:t>.</w:t>
      </w:r>
    </w:p>
  </w:footnote>
  <w:footnote w:id="377">
    <w:p w14:paraId="2FA514E2" w14:textId="5FB43BBF" w:rsidR="006D1FD1" w:rsidRDefault="006D1FD1" w:rsidP="005416FC">
      <w:pPr>
        <w:pStyle w:val="Funotentext"/>
      </w:pPr>
      <w:r>
        <w:rPr>
          <w:rStyle w:val="Funotenzeichen"/>
        </w:rPr>
        <w:footnoteRef/>
      </w:r>
      <w:r>
        <w:t xml:space="preserve"> Die Definition der besonderen Schwere und die Schilderung zur methodischen </w:t>
      </w:r>
      <w:r w:rsidRPr="003C75EA">
        <w:t>Herangehensweise erfolgten bereits oben und müssen an dieser Stelle</w:t>
      </w:r>
      <w:r>
        <w:t xml:space="preserve"> sowie im Folgenden nicht wiederholt werden.</w:t>
      </w:r>
    </w:p>
  </w:footnote>
  <w:footnote w:id="378">
    <w:p w14:paraId="6B1EDEDE" w14:textId="77777777" w:rsidR="006D1FD1" w:rsidRDefault="006D1FD1" w:rsidP="005416FC">
      <w:pPr>
        <w:pStyle w:val="Funotentext"/>
      </w:pPr>
      <w:r>
        <w:rPr>
          <w:rStyle w:val="Funotenzeichen"/>
        </w:rPr>
        <w:footnoteRef/>
      </w:r>
      <w:r>
        <w:t xml:space="preserve"> S. nur Peuker, in: Knack/Henneke, VwVfG, 10. Aufl. 2014, § 44 Rn. 33.</w:t>
      </w:r>
    </w:p>
  </w:footnote>
  <w:footnote w:id="379">
    <w:p w14:paraId="1A58D067" w14:textId="1641306E" w:rsidR="006D1FD1" w:rsidRPr="00992EA7" w:rsidRDefault="006D1FD1" w:rsidP="005416FC">
      <w:pPr>
        <w:pStyle w:val="Funotentext"/>
      </w:pPr>
      <w:r>
        <w:rPr>
          <w:rStyle w:val="Funotenzeichen"/>
        </w:rPr>
        <w:footnoteRef/>
      </w:r>
      <w:r>
        <w:t xml:space="preserve"> </w:t>
      </w:r>
      <w:bookmarkStart w:id="476" w:name="_Hlk8734804"/>
      <w:r>
        <w:t xml:space="preserve">S. für eine derartige Einzelfallbetrachtung im Hinblick auf § 20 I 1 Nr. 1 VwVfG auch </w:t>
      </w:r>
      <w:hyperlink r:id="rId274" w:history="1">
        <w:r w:rsidRPr="0085135F">
          <w:rPr>
            <w:rStyle w:val="Hyperlink"/>
          </w:rPr>
          <w:t>BVerwG, Beschl. v. 19.10.2015, Az.: 5 P 11.14</w:t>
        </w:r>
      </w:hyperlink>
      <w:r>
        <w:t xml:space="preserve"> = NZA-RR 2016, 166 (168, Rn. 22)</w:t>
      </w:r>
      <w:bookmarkEnd w:id="476"/>
      <w:r>
        <w:t>.</w:t>
      </w:r>
    </w:p>
  </w:footnote>
  <w:footnote w:id="380">
    <w:p w14:paraId="5C3FCCAB" w14:textId="022A3E64" w:rsidR="006D1FD1" w:rsidRDefault="006D1FD1" w:rsidP="005416FC">
      <w:pPr>
        <w:pStyle w:val="Funotentext"/>
      </w:pPr>
      <w:r>
        <w:rPr>
          <w:rStyle w:val="Funotenzeichen"/>
        </w:rPr>
        <w:footnoteRef/>
      </w:r>
      <w:r>
        <w:t xml:space="preserve"> Wobei die Verletzung von Verfassungsrecht allein nicht bereits für eine besondere Schwere spricht, s. dazu </w:t>
      </w:r>
      <w:hyperlink r:id="rId275" w:history="1">
        <w:r w:rsidRPr="0057061A">
          <w:rPr>
            <w:rStyle w:val="Hyperlink"/>
          </w:rPr>
          <w:t>Brings-Wiesen, in: Eisentraut, Verwaltungsrecht in der Klausur, 2020, § 6 Rn. 153</w:t>
        </w:r>
      </w:hyperlink>
      <w:r>
        <w:t>.</w:t>
      </w:r>
    </w:p>
  </w:footnote>
  <w:footnote w:id="381">
    <w:p w14:paraId="169BA061" w14:textId="36AECD91" w:rsidR="006D1FD1" w:rsidRDefault="006D1FD1" w:rsidP="005416FC">
      <w:pPr>
        <w:pStyle w:val="Funotentext"/>
      </w:pPr>
      <w:r>
        <w:rPr>
          <w:rStyle w:val="Funotenzeichen"/>
        </w:rPr>
        <w:footnoteRef/>
      </w:r>
      <w:r>
        <w:t xml:space="preserve"> </w:t>
      </w:r>
      <w:hyperlink r:id="rId276" w:history="1">
        <w:r w:rsidRPr="0085135F">
          <w:rPr>
            <w:rStyle w:val="Hyperlink"/>
          </w:rPr>
          <w:t>BVerwG, Beschl. v. 19.10.2015, Az.: 5 P 11.14</w:t>
        </w:r>
      </w:hyperlink>
      <w:r>
        <w:t xml:space="preserve"> = NZA-RR 2016, 166 (167, Rn. 19).</w:t>
      </w:r>
    </w:p>
  </w:footnote>
  <w:footnote w:id="382">
    <w:p w14:paraId="6B645E0F" w14:textId="32C20D39" w:rsidR="006D1FD1" w:rsidRDefault="006D1FD1" w:rsidP="005416FC">
      <w:pPr>
        <w:pStyle w:val="Funotentext"/>
      </w:pPr>
      <w:r>
        <w:rPr>
          <w:rStyle w:val="Funotenzeichen"/>
        </w:rPr>
        <w:footnoteRef/>
      </w:r>
      <w:r>
        <w:t xml:space="preserve"> S. zur </w:t>
      </w:r>
      <w:r w:rsidRPr="00BE0BD2">
        <w:rPr>
          <w:i/>
        </w:rPr>
        <w:t>Vorsätzlichkeit</w:t>
      </w:r>
      <w:r>
        <w:t xml:space="preserve"> rechtswidrigen Verwaltungshandelns</w:t>
      </w:r>
      <w:bookmarkStart w:id="477" w:name="_Hlk8734945"/>
      <w:bookmarkStart w:id="478" w:name="_Hlk8461406"/>
      <w:r w:rsidRPr="00FD64EC">
        <w:t xml:space="preserve"> </w:t>
      </w:r>
      <w:hyperlink r:id="rId277" w:history="1">
        <w:r w:rsidRPr="0057061A">
          <w:rPr>
            <w:rStyle w:val="Hyperlink"/>
          </w:rPr>
          <w:t>Brings-Wiesen, in: Eisentraut, Verwaltungsrecht in der Klausur, 2020, § 6 Rn. 144, 155</w:t>
        </w:r>
      </w:hyperlink>
      <w:r>
        <w:t>.</w:t>
      </w:r>
      <w:bookmarkEnd w:id="477"/>
      <w:bookmarkEnd w:id="478"/>
    </w:p>
  </w:footnote>
  <w:footnote w:id="383">
    <w:p w14:paraId="047967D4" w14:textId="77777777" w:rsidR="006D1FD1" w:rsidRDefault="006D1FD1" w:rsidP="005416FC">
      <w:pPr>
        <w:pStyle w:val="Funotentext"/>
      </w:pPr>
      <w:r>
        <w:rPr>
          <w:rStyle w:val="Funotenzeichen"/>
        </w:rPr>
        <w:footnoteRef/>
      </w:r>
      <w:r>
        <w:t xml:space="preserve"> S. für ein Gegenbeispiel die Falllösung bei Ernst/Kämmerer, Fälle zum Allgemeinen Verwaltungsrecht, 3. Aufl. 2016, Fall 7, S. 96 (107 f.): Fehlen eines ausreichenden Rechtswidrigkeitszusammenhangs für die Nichtigkeit, weil die Befangenheit zwar maßgeblich die Einleitung des Verfahrens motiviert, aber nicht die Entscheidung in der Sache geprägt hat. – Im Rahmen der Prüfung von § 44 I VwVfG wird es selten die </w:t>
      </w:r>
      <w:r w:rsidRPr="00FE17B2">
        <w:rPr>
          <w:i/>
        </w:rPr>
        <w:t>eine</w:t>
      </w:r>
      <w:r>
        <w:t xml:space="preserve"> richtige Entscheidung geben; bedeutsamer ist es, eine überzeugende methodische Herangehensweise zu demonstrieren.</w:t>
      </w:r>
    </w:p>
  </w:footnote>
  <w:footnote w:id="384">
    <w:p w14:paraId="4090E597" w14:textId="61863A9B" w:rsidR="006D1FD1" w:rsidRDefault="006D1FD1" w:rsidP="005416FC">
      <w:pPr>
        <w:pStyle w:val="Funotentext"/>
      </w:pPr>
      <w:r>
        <w:rPr>
          <w:rStyle w:val="Funotenzeichen"/>
        </w:rPr>
        <w:footnoteRef/>
      </w:r>
      <w:r>
        <w:t xml:space="preserve"> S. dazu ausführlich</w:t>
      </w:r>
      <w:r w:rsidRPr="00FD64EC">
        <w:t xml:space="preserve"> </w:t>
      </w:r>
      <w:hyperlink r:id="rId278" w:history="1">
        <w:r w:rsidRPr="0057061A">
          <w:rPr>
            <w:rStyle w:val="Hyperlink"/>
          </w:rPr>
          <w:t>Brings-Wiesen, in: Eisentraut, Verwaltungsrecht in der Klausur, 2020, § 6 Rn. 157 ff.</w:t>
        </w:r>
      </w:hyperlink>
    </w:p>
  </w:footnote>
  <w:footnote w:id="385">
    <w:p w14:paraId="11C4A6D4" w14:textId="0585D20E" w:rsidR="006D1FD1" w:rsidRDefault="006D1FD1" w:rsidP="005416FC">
      <w:pPr>
        <w:pStyle w:val="Funotentext"/>
      </w:pPr>
      <w:r>
        <w:rPr>
          <w:rStyle w:val="Funotenzeichen"/>
        </w:rPr>
        <w:footnoteRef/>
      </w:r>
      <w:r>
        <w:t xml:space="preserve"> Vgl. hinsichtlich der Mitwirkung einer gemäß § 20 I 1 Nr. 1 VwVfG ausgeschlossenen Person in einem Personalrat, allerdings ohne nähere Begründung </w:t>
      </w:r>
      <w:hyperlink r:id="rId279" w:history="1">
        <w:r w:rsidRPr="0085135F">
          <w:rPr>
            <w:rStyle w:val="Hyperlink"/>
          </w:rPr>
          <w:t>BVerwG, Beschl. v. 19.10.2015, Az.: 5 P 11.14</w:t>
        </w:r>
      </w:hyperlink>
      <w:r>
        <w:t xml:space="preserve"> = NZA-RR 2016, 166 (168, Rn. 23).</w:t>
      </w:r>
    </w:p>
  </w:footnote>
  <w:footnote w:id="386">
    <w:p w14:paraId="4040C5BE" w14:textId="77777777" w:rsidR="006D1FD1" w:rsidRDefault="006D1FD1" w:rsidP="005416FC">
      <w:pPr>
        <w:pStyle w:val="Funotentext"/>
      </w:pPr>
      <w:r>
        <w:rPr>
          <w:rStyle w:val="Funotenzeichen"/>
        </w:rPr>
        <w:footnoteRef/>
      </w:r>
      <w:r>
        <w:t xml:space="preserve"> Unweigerlich wirkt sich dieser Fehler auf den gesamten Verwaltungsakt aus, gleichwohl kann sich auch insofern nur eine Teilnichtigkeit ergeben, s. dazu noch unten.</w:t>
      </w:r>
    </w:p>
  </w:footnote>
  <w:footnote w:id="387">
    <w:p w14:paraId="0FEEE2BE" w14:textId="08E83B03" w:rsidR="006D1FD1" w:rsidRDefault="006D1FD1" w:rsidP="005416FC">
      <w:pPr>
        <w:pStyle w:val="Funotentext"/>
      </w:pPr>
      <w:r>
        <w:rPr>
          <w:rStyle w:val="Funotenzeichen"/>
        </w:rPr>
        <w:footnoteRef/>
      </w:r>
      <w:r>
        <w:t xml:space="preserve"> S. dazu näher </w:t>
      </w:r>
      <w:hyperlink r:id="rId280" w:history="1">
        <w:r w:rsidRPr="0057061A">
          <w:rPr>
            <w:rStyle w:val="Hyperlink"/>
          </w:rPr>
          <w:t>Brings-Wiesen, in: Eisentraut, Verwaltungsrecht in der Klausur, 2020, § 6 Rn. 130 ff.</w:t>
        </w:r>
      </w:hyperlink>
    </w:p>
  </w:footnote>
  <w:footnote w:id="388">
    <w:p w14:paraId="5A7D48E5" w14:textId="7324AD4F" w:rsidR="006D1FD1" w:rsidRDefault="006D1FD1" w:rsidP="005416FC">
      <w:pPr>
        <w:pStyle w:val="Funotentext"/>
      </w:pPr>
      <w:r>
        <w:rPr>
          <w:rStyle w:val="Funotenzeichen"/>
        </w:rPr>
        <w:footnoteRef/>
      </w:r>
      <w:r>
        <w:t xml:space="preserve"> Zum Verständnis: Selbstredend könnte keine Person in der konkreten Position des A die geforderten Immissionsrichtwerte erreichen; diese subjektiven Erwägungen dürfen indes nicht die Bewertung der objektiven Unmöglichkeit in ihrem Wesen verändern. Vgl. zum Verständnis auch noch einmal die Rspr. des BVerwG zur Bebaubarkeit von Grundstücken, </w:t>
      </w:r>
      <w:hyperlink r:id="rId281" w:history="1">
        <w:r w:rsidRPr="00E67DA3">
          <w:rPr>
            <w:rStyle w:val="Hyperlink"/>
          </w:rPr>
          <w:t>Urt. v. 26.9.1991, Az.: 4 C 36.88</w:t>
        </w:r>
      </w:hyperlink>
      <w:r>
        <w:t xml:space="preserve"> = NVwZ 1992, 564: Eine Baugenehmigung erfüllt nur dann den Tatbestand des § 44 II Nr. 4 VwVfG, wenn sie sich auf ein Grundstück bezieht, das für niemanden unter keinen Umständen bebaubar ist, nicht aber wenn die mangelnde Bebaubarkeit gerade </w:t>
      </w:r>
      <w:r w:rsidRPr="004B541C">
        <w:rPr>
          <w:i/>
        </w:rPr>
        <w:t>dieses</w:t>
      </w:r>
      <w:r>
        <w:t xml:space="preserve"> Grundstücks an den maßgeblichen rechtlichen Bestimmungen scheitert. Dann ist die Baugenehmigung im konkreten Einzelfall regelmäßig nur rechtswidrig und kann zurückgenommen werden. Ähnlich ist auch hier die Sachlage: Unmöglich ist die Erreichung der – durch den Verwaltungsakt selbst – vorgegebenen Immissionsrichtwerte nur für den A in seinem konkreten Einzelfall.</w:t>
      </w:r>
    </w:p>
  </w:footnote>
  <w:footnote w:id="389">
    <w:p w14:paraId="13626A09" w14:textId="77777777" w:rsidR="006D1FD1" w:rsidRDefault="006D1FD1" w:rsidP="005416FC">
      <w:pPr>
        <w:pStyle w:val="Funotentext"/>
      </w:pPr>
      <w:r>
        <w:rPr>
          <w:rStyle w:val="Funotenzeichen"/>
        </w:rPr>
        <w:footnoteRef/>
      </w:r>
      <w:r>
        <w:t xml:space="preserve"> Metzner, GastG, 6. Aufl. 2002, § 5 Rn. 4, 21; Pöltl, Gaststättenrecht, 5. Aufl. 2002, § 3 Rn. 51 ff., § 5 Rn. 15.</w:t>
      </w:r>
    </w:p>
  </w:footnote>
  <w:footnote w:id="390">
    <w:p w14:paraId="418AA3E0" w14:textId="3B79B12C" w:rsidR="006D1FD1" w:rsidRDefault="006D1FD1" w:rsidP="005416FC">
      <w:pPr>
        <w:pStyle w:val="Funotentext"/>
      </w:pPr>
      <w:r>
        <w:rPr>
          <w:rStyle w:val="Funotenzeichen"/>
        </w:rPr>
        <w:footnoteRef/>
      </w:r>
      <w:r>
        <w:t xml:space="preserve"> Metzner, GastG, 6. Aufl. 2002, § 2 Rn. 2; Pöltl, Gaststättenrecht, 5. Aufl. 2002, § 2 Rn. 4.</w:t>
      </w:r>
    </w:p>
  </w:footnote>
  <w:footnote w:id="391">
    <w:p w14:paraId="7EBDA296" w14:textId="77777777" w:rsidR="006D1FD1" w:rsidRDefault="006D1FD1" w:rsidP="005416FC">
      <w:pPr>
        <w:pStyle w:val="Funotentext"/>
      </w:pPr>
      <w:r>
        <w:rPr>
          <w:rStyle w:val="Funotenzeichen"/>
        </w:rPr>
        <w:footnoteRef/>
      </w:r>
      <w:r>
        <w:t xml:space="preserve"> Metzner, GastG, 6. Aufl. 2002, § 5 Rn. 21; Pöltl, Gaststättenrecht, 5. Aufl. 2002, § 3 Rn. 51.</w:t>
      </w:r>
    </w:p>
  </w:footnote>
  <w:footnote w:id="392">
    <w:p w14:paraId="4C134901" w14:textId="77777777" w:rsidR="006D1FD1" w:rsidRDefault="006D1FD1" w:rsidP="005416FC">
      <w:pPr>
        <w:pStyle w:val="Funotentext"/>
      </w:pPr>
      <w:r>
        <w:rPr>
          <w:rStyle w:val="Funotenzeichen"/>
        </w:rPr>
        <w:footnoteRef/>
      </w:r>
      <w:r>
        <w:t xml:space="preserve"> Metzner, GastG, 6. Aufl. 2002, § 4 Rn. 255; Pöltl, Gaststättenrecht, 5. Aufl. 2002, § 4 Rn. 132.</w:t>
      </w:r>
    </w:p>
  </w:footnote>
  <w:footnote w:id="393">
    <w:p w14:paraId="1AE49697" w14:textId="660344E9" w:rsidR="006D1FD1" w:rsidRDefault="006D1FD1" w:rsidP="005416FC">
      <w:pPr>
        <w:pStyle w:val="Funotentext"/>
      </w:pPr>
      <w:r>
        <w:rPr>
          <w:rStyle w:val="Funotenzeichen"/>
        </w:rPr>
        <w:footnoteRef/>
      </w:r>
      <w:r>
        <w:t xml:space="preserve"> </w:t>
      </w:r>
      <w:hyperlink r:id="rId282" w:history="1">
        <w:r w:rsidRPr="00E67DA3">
          <w:rPr>
            <w:rStyle w:val="Hyperlink"/>
          </w:rPr>
          <w:t>Sechste Allgemeine Verwaltungsvorschrift zum Bundes-Immissionsschutzgesetz (Technische Anleitung zum Schutz gegen Lärm – TA Lärm) v. 26.8.1998 (GMBl. Nr. 26/1998, S. 503), zuletzt geändert durch Verwaltungsvorschrift v. 1.6.2017 (BAnz AT 8.6.2017, B5)</w:t>
        </w:r>
      </w:hyperlink>
      <w:r>
        <w:t>.</w:t>
      </w:r>
    </w:p>
  </w:footnote>
  <w:footnote w:id="394">
    <w:p w14:paraId="4E71CF8F" w14:textId="02D8399B" w:rsidR="006D1FD1" w:rsidRDefault="006D1FD1" w:rsidP="005416FC">
      <w:pPr>
        <w:pStyle w:val="Funotentext"/>
      </w:pPr>
      <w:r>
        <w:rPr>
          <w:rStyle w:val="Funotenzeichen"/>
        </w:rPr>
        <w:footnoteRef/>
      </w:r>
      <w:r>
        <w:t xml:space="preserve"> </w:t>
      </w:r>
      <w:hyperlink r:id="rId283" w:history="1">
        <w:r w:rsidRPr="0085135F">
          <w:rPr>
            <w:rStyle w:val="Hyperlink"/>
          </w:rPr>
          <w:t>BVerwG, Urt. v. 29.8.2007, Az.: 4 C 2.07</w:t>
        </w:r>
      </w:hyperlink>
      <w:r>
        <w:t xml:space="preserve"> = BVerwGE 129, 209 (211, Rn. 12); Jarass, BImSchG, 12. Aufl. 2017, § 48 Rn. 47. S. zu normkonkretisierenden Verwaltungsvorschriften näher </w:t>
      </w:r>
      <w:hyperlink r:id="rId284" w:history="1">
        <w:r w:rsidRPr="008C1818">
          <w:rPr>
            <w:rStyle w:val="Hyperlink"/>
          </w:rPr>
          <w:t>Kienle, in: Eisentraut, Verwaltungsrecht in der Klausur, 2020, § 7 Rn. 25 f.</w:t>
        </w:r>
      </w:hyperlink>
    </w:p>
  </w:footnote>
  <w:footnote w:id="395">
    <w:p w14:paraId="7F347D55" w14:textId="0A0B0247" w:rsidR="006D1FD1" w:rsidRDefault="006D1FD1" w:rsidP="005416FC">
      <w:pPr>
        <w:pStyle w:val="Funotentext"/>
      </w:pPr>
      <w:r>
        <w:rPr>
          <w:rStyle w:val="Funotenzeichen"/>
        </w:rPr>
        <w:footnoteRef/>
      </w:r>
      <w:r>
        <w:t xml:space="preserve"> Dazu jeweils m.w.N. Hansmann, in:</w:t>
      </w:r>
      <w:r w:rsidRPr="00444B9F">
        <w:t xml:space="preserve"> Landmann/Rohmer, Umweltrecht</w:t>
      </w:r>
      <w:r>
        <w:t xml:space="preserve">, 89. EL Februar 2019, </w:t>
      </w:r>
      <w:r w:rsidRPr="006D0056">
        <w:t>TA Lärm Nr. 6 Immissionsrichtwerte</w:t>
      </w:r>
      <w:r>
        <w:t>, Rn. 2;</w:t>
      </w:r>
      <w:r w:rsidRPr="006D0056">
        <w:t xml:space="preserve"> </w:t>
      </w:r>
      <w:r>
        <w:t>speziell zum GastG Metzner, GastG, 6. Aufl. 2002, § 4 Rn. 258.</w:t>
      </w:r>
    </w:p>
  </w:footnote>
  <w:footnote w:id="396">
    <w:p w14:paraId="1BB924A9" w14:textId="099099FD" w:rsidR="006D1FD1" w:rsidRDefault="006D1FD1" w:rsidP="005416FC">
      <w:pPr>
        <w:pStyle w:val="Funotentext"/>
      </w:pPr>
      <w:r>
        <w:rPr>
          <w:rStyle w:val="Funotenzeichen"/>
        </w:rPr>
        <w:footnoteRef/>
      </w:r>
      <w:r>
        <w:t xml:space="preserve"> S. dazu näher </w:t>
      </w:r>
      <w:hyperlink r:id="rId285" w:history="1">
        <w:r w:rsidRPr="0057061A">
          <w:rPr>
            <w:rStyle w:val="Hyperlink"/>
          </w:rPr>
          <w:t>Brings-Wiesen, in: Eisentraut, Verwaltungsrecht in der Klausur, 2020, § 6 Rn. 135 ff.</w:t>
        </w:r>
      </w:hyperlink>
    </w:p>
  </w:footnote>
  <w:footnote w:id="397">
    <w:p w14:paraId="28C027C2" w14:textId="77777777" w:rsidR="006D1FD1" w:rsidRDefault="006D1FD1" w:rsidP="005416FC">
      <w:pPr>
        <w:pStyle w:val="Funotentext"/>
      </w:pPr>
      <w:r>
        <w:rPr>
          <w:rStyle w:val="Funotenzeichen"/>
        </w:rPr>
        <w:footnoteRef/>
      </w:r>
      <w:r>
        <w:t xml:space="preserve"> Schönleiter, GastG, 2012, § 21 Rn. 1.</w:t>
      </w:r>
    </w:p>
  </w:footnote>
  <w:footnote w:id="398">
    <w:p w14:paraId="6EC21870" w14:textId="7489DFDB" w:rsidR="006D1FD1" w:rsidRDefault="006D1FD1" w:rsidP="005416FC">
      <w:pPr>
        <w:pStyle w:val="Funotentext"/>
      </w:pPr>
      <w:r>
        <w:rPr>
          <w:rStyle w:val="Funotenzeichen"/>
        </w:rPr>
        <w:footnoteRef/>
      </w:r>
      <w:r>
        <w:t xml:space="preserve"> </w:t>
      </w:r>
      <w:r w:rsidRPr="00824AC0">
        <w:rPr>
          <w:i/>
        </w:rPr>
        <w:t>Prima facie</w:t>
      </w:r>
      <w:r>
        <w:t xml:space="preserve"> könnte man daher auf den Gedanken kommen, dass es sich hier um eine der streitig diskutierten (s. dazu ausführlich nur </w:t>
      </w:r>
      <w:bookmarkStart w:id="487" w:name="_Hlk7183272"/>
      <w:r w:rsidRPr="000960E6">
        <w:t>Gmeiner/Lorenz, VR 2017, 371</w:t>
      </w:r>
      <w:bookmarkEnd w:id="487"/>
      <w:r>
        <w:t xml:space="preserve">) Konstellationen des </w:t>
      </w:r>
      <w:r w:rsidRPr="00824AC0">
        <w:rPr>
          <w:i/>
        </w:rPr>
        <w:t>Erlaubens</w:t>
      </w:r>
      <w:r>
        <w:t xml:space="preserve"> eines strafrechts- bzw. ordnungswidrigen Verhaltens handelt. Zumindest hier ginge dieser Gedanke jedoch fehl, da auch eine solche Erlaubnis eine Beschäftigung entgegen einer Untersagung voraussetzte, die eben nicht vorliegt. Darüber hinaus wäre auch sinnwidrig, noch vom Fortbestehen einer einmal erlassenen „Untersagung“ auszugehen, wenn die zuständige Behörde die Beschäftigung später ausdrücklich erlaubt. </w:t>
      </w:r>
    </w:p>
  </w:footnote>
  <w:footnote w:id="399">
    <w:p w14:paraId="27306E29" w14:textId="6B8FDCA3" w:rsidR="006D1FD1" w:rsidRDefault="006D1FD1" w:rsidP="005416FC">
      <w:pPr>
        <w:pStyle w:val="Funotentext"/>
      </w:pPr>
      <w:r>
        <w:rPr>
          <w:rStyle w:val="Funotenzeichen"/>
        </w:rPr>
        <w:footnoteRef/>
      </w:r>
      <w:r>
        <w:t xml:space="preserve"> Zumindest insoweit geht die Ermächtigungsgrundlage § 36 VwVfG (NRW) vor, sodass auf diesen nicht mehr einzugehen ist.</w:t>
      </w:r>
    </w:p>
  </w:footnote>
  <w:footnote w:id="400">
    <w:p w14:paraId="07FEDCE9" w14:textId="77777777" w:rsidR="006D1FD1" w:rsidRDefault="006D1FD1" w:rsidP="005416FC">
      <w:pPr>
        <w:pStyle w:val="Funotentext"/>
      </w:pPr>
      <w:r>
        <w:rPr>
          <w:rStyle w:val="Funotenzeichen"/>
        </w:rPr>
        <w:footnoteRef/>
      </w:r>
      <w:r>
        <w:t xml:space="preserve"> Auch als „Ermessensmissbrauch“ bezeichnet.</w:t>
      </w:r>
    </w:p>
  </w:footnote>
  <w:footnote w:id="401">
    <w:p w14:paraId="576D8B18" w14:textId="2C603B33" w:rsidR="006D1FD1" w:rsidRDefault="006D1FD1" w:rsidP="005416FC">
      <w:pPr>
        <w:pStyle w:val="Funotentext"/>
      </w:pPr>
      <w:r>
        <w:rPr>
          <w:rStyle w:val="Funotenzeichen"/>
        </w:rPr>
        <w:footnoteRef/>
      </w:r>
      <w:r>
        <w:t xml:space="preserve"> S. nur Ramsauer, in: Kopp/Ramsauer, VwVfG, 20. Aufl. 2019, § 40 Rn. 88, 90.</w:t>
      </w:r>
    </w:p>
  </w:footnote>
  <w:footnote w:id="402">
    <w:p w14:paraId="207DF741" w14:textId="0AECE63E" w:rsidR="006D1FD1" w:rsidRDefault="006D1FD1" w:rsidP="005416FC">
      <w:pPr>
        <w:pStyle w:val="Funotentext"/>
      </w:pPr>
      <w:r>
        <w:rPr>
          <w:rStyle w:val="Funotenzeichen"/>
        </w:rPr>
        <w:footnoteRef/>
      </w:r>
      <w:r>
        <w:t xml:space="preserve"> </w:t>
      </w:r>
      <w:hyperlink r:id="rId286" w:history="1">
        <w:r w:rsidRPr="00D40AAB">
          <w:rPr>
            <w:rStyle w:val="Hyperlink"/>
          </w:rPr>
          <w:t>BVerwG, Urt. v. 27.9.1978, Az.: I C 28.77</w:t>
        </w:r>
      </w:hyperlink>
      <w:r>
        <w:t xml:space="preserve"> = DÖV 1979, 374 (375); </w:t>
      </w:r>
      <w:hyperlink r:id="rId287" w:history="1">
        <w:r w:rsidRPr="00D40AAB">
          <w:rPr>
            <w:rStyle w:val="Hyperlink"/>
          </w:rPr>
          <w:t>Urt. v. 19.5.1981, Az.: 1 C 169/79</w:t>
        </w:r>
      </w:hyperlink>
      <w:r>
        <w:t xml:space="preserve"> = BVerwGE 62, 215 (221 f.); </w:t>
      </w:r>
      <w:hyperlink r:id="rId288" w:history="1">
        <w:r w:rsidRPr="00D40AAB">
          <w:rPr>
            <w:rStyle w:val="Hyperlink"/>
          </w:rPr>
          <w:t>Urt. v. 26.11.1987, Az.: 2 C 53.86</w:t>
        </w:r>
      </w:hyperlink>
      <w:r>
        <w:t xml:space="preserve"> = NJW 1988, 783 (784); </w:t>
      </w:r>
      <w:hyperlink r:id="rId289" w:history="1">
        <w:r w:rsidRPr="00D40AAB">
          <w:rPr>
            <w:rStyle w:val="Hyperlink"/>
          </w:rPr>
          <w:t>VGH München, Urt. v. 22.6.2010, Az.: 8 B 10.970</w:t>
        </w:r>
      </w:hyperlink>
      <w:r>
        <w:t xml:space="preserve"> = juris, Rn. 21; </w:t>
      </w:r>
      <w:hyperlink r:id="rId290" w:history="1">
        <w:r w:rsidRPr="0085135F">
          <w:rPr>
            <w:rStyle w:val="Hyperlink"/>
          </w:rPr>
          <w:t>OVG Münster, Urt. v. 7.4.2017, Az.: 11 A 2068/14</w:t>
        </w:r>
      </w:hyperlink>
      <w:r>
        <w:t xml:space="preserve"> = NVwZ-RR 2017, 855 (857, Rn. 33). Das bedeutet, dass auch eine sachfremde Erwägung dann irrelevant sein kann, wenn ein davon unabhängiger Grund die Entscheidung trägt, Sachs, in: Stelkens/Bonk/Sachs, VwVfG, 9. Aufl. 2018, § 40 Rn. 69. </w:t>
      </w:r>
    </w:p>
  </w:footnote>
  <w:footnote w:id="403">
    <w:p w14:paraId="1B8342CB" w14:textId="34E68E1F" w:rsidR="006D1FD1" w:rsidRDefault="006D1FD1" w:rsidP="005416FC">
      <w:pPr>
        <w:pStyle w:val="Funotentext"/>
      </w:pPr>
      <w:r>
        <w:rPr>
          <w:rStyle w:val="Funotenzeichen"/>
        </w:rPr>
        <w:footnoteRef/>
      </w:r>
      <w:r>
        <w:t xml:space="preserve"> Die Unverhältnismäßigkeit wird bisweilen als eigene Fehlerkategorie, bisweilen auch als Unterfall des Ermessensfehlgebrauchs oder der Ermessensüberschreitung behandelt. Die Systematisierung mag für ein besseres rechtsdogmatisches Verständnis sinnvoll sein, sie hat aber keine praktischen Auswirkungen, sodass sie auch in der Prüfung nicht zwingend zu thematisieren ist.</w:t>
      </w:r>
    </w:p>
  </w:footnote>
  <w:footnote w:id="404">
    <w:p w14:paraId="15A638D8" w14:textId="766D151C" w:rsidR="006D1FD1" w:rsidRDefault="006D1FD1" w:rsidP="005416FC">
      <w:pPr>
        <w:pStyle w:val="Funotentext"/>
      </w:pPr>
      <w:r>
        <w:rPr>
          <w:rStyle w:val="Funotenzeichen"/>
        </w:rPr>
        <w:footnoteRef/>
      </w:r>
      <w:r>
        <w:t xml:space="preserve"> S. dazu </w:t>
      </w:r>
      <w:hyperlink r:id="rId291" w:history="1">
        <w:r w:rsidRPr="0085135F">
          <w:rPr>
            <w:rStyle w:val="Hyperlink"/>
          </w:rPr>
          <w:t>BVerwG, Urt. v. 28.4.2004, Az.: 8 C 13.03</w:t>
        </w:r>
      </w:hyperlink>
      <w:r>
        <w:t xml:space="preserve"> = NVwZ 2004, 1131.</w:t>
      </w:r>
    </w:p>
  </w:footnote>
  <w:footnote w:id="405">
    <w:p w14:paraId="24DF7ACE" w14:textId="5892338B" w:rsidR="006D1FD1" w:rsidRDefault="006D1FD1" w:rsidP="005416FC">
      <w:pPr>
        <w:pStyle w:val="Funotentext"/>
      </w:pPr>
      <w:r>
        <w:rPr>
          <w:rStyle w:val="Funotenzeichen"/>
        </w:rPr>
        <w:footnoteRef/>
      </w:r>
      <w:r>
        <w:t xml:space="preserve"> Aschke, in: Bader/Ronellenfitsch, VwVfG, </w:t>
      </w:r>
      <w:r w:rsidRPr="003C75EA">
        <w:t>44. Ed., Stand: 1.7.2019</w:t>
      </w:r>
      <w:r>
        <w:t>, § 40 Rn. 55.</w:t>
      </w:r>
    </w:p>
  </w:footnote>
  <w:footnote w:id="406">
    <w:p w14:paraId="2C76FD7D" w14:textId="77777777" w:rsidR="006D1FD1" w:rsidRDefault="006D1FD1" w:rsidP="005416FC">
      <w:pPr>
        <w:pStyle w:val="Funotentext"/>
      </w:pPr>
      <w:r>
        <w:rPr>
          <w:rStyle w:val="Funotenzeichen"/>
        </w:rPr>
        <w:footnoteRef/>
      </w:r>
      <w:r>
        <w:t xml:space="preserve"> Zwar ist es regelmäßig sinnvoller, die Prüfung der Verhältnismäßigkeit in eine Prüfung der Verletzung von Grundrechten zu integrieren, da so ein sauberer Aufbau gelingt. Wenn indes erkennbar ist, dass sich die Unverhältnismäßigkeit – wie hier – bereits aus der Ungeeignetheit ergibt, sprechen prüfungstaktische Gründe für eine eigenständige Prüfung.</w:t>
      </w:r>
    </w:p>
  </w:footnote>
  <w:footnote w:id="407">
    <w:p w14:paraId="6BE77747" w14:textId="31EDBE73" w:rsidR="006D1FD1" w:rsidRDefault="006D1FD1" w:rsidP="005416FC">
      <w:pPr>
        <w:pStyle w:val="Funotentext"/>
      </w:pPr>
      <w:r>
        <w:rPr>
          <w:rStyle w:val="Funotenzeichen"/>
        </w:rPr>
        <w:footnoteRef/>
      </w:r>
      <w:r>
        <w:t xml:space="preserve"> Vertretbar wäre auch, darin eine – bisweilen als Unterfall des Ermessensfehlgebrauchs eingestufte – „Zweckverfehlung“ zu erkennen, s. dazu nur Detterbeck, Allgemeines Verwaltungsrecht, </w:t>
      </w:r>
      <w:r w:rsidRPr="001B010C">
        <w:rPr>
          <w:rFonts w:cs="Arial"/>
        </w:rPr>
        <w:t>1</w:t>
      </w:r>
      <w:r>
        <w:rPr>
          <w:rFonts w:cs="Arial"/>
        </w:rPr>
        <w:t>7. Aufl. 2019,</w:t>
      </w:r>
      <w:r>
        <w:t xml:space="preserve"> Rn. 331. </w:t>
      </w:r>
    </w:p>
  </w:footnote>
  <w:footnote w:id="408">
    <w:p w14:paraId="29D7DAF3" w14:textId="47663472" w:rsidR="006D1FD1" w:rsidRDefault="006D1FD1" w:rsidP="005416FC">
      <w:pPr>
        <w:pStyle w:val="Funotentext"/>
      </w:pPr>
      <w:r>
        <w:rPr>
          <w:rStyle w:val="Funotenzeichen"/>
        </w:rPr>
        <w:footnoteRef/>
      </w:r>
      <w:r>
        <w:t xml:space="preserve"> Schönenbroicher, in: Mann/Sennekamp/Uechtritz, VwVfG, 2. Aufl. 2019, § 40 Rn. 235.</w:t>
      </w:r>
    </w:p>
  </w:footnote>
  <w:footnote w:id="409">
    <w:p w14:paraId="58F7755E" w14:textId="00C58754" w:rsidR="006D1FD1" w:rsidRDefault="006D1FD1" w:rsidP="005416FC">
      <w:pPr>
        <w:pStyle w:val="Funotentext"/>
      </w:pPr>
      <w:r>
        <w:rPr>
          <w:rStyle w:val="Funotenzeichen"/>
        </w:rPr>
        <w:footnoteRef/>
      </w:r>
      <w:r>
        <w:t xml:space="preserve"> Es handelt sich um eine Prognoseentscheidung, bei der keine an Sicherheit grenzende, sondern nur eine gewisse Wahrscheinlichkeit für die zukünftig unzuverlässige Betriebsführung sprechen muss, </w:t>
      </w:r>
      <w:hyperlink r:id="rId292" w:history="1">
        <w:r w:rsidRPr="00FB1145">
          <w:rPr>
            <w:rStyle w:val="Hyperlink"/>
          </w:rPr>
          <w:t>BVerwG, Urt. v. 16.9.1975, Az.: I C 27.74</w:t>
        </w:r>
      </w:hyperlink>
      <w:r>
        <w:t xml:space="preserve"> = BVerwGE 49, 154 (156 f.).</w:t>
      </w:r>
    </w:p>
  </w:footnote>
  <w:footnote w:id="410">
    <w:p w14:paraId="285E6FDE" w14:textId="4D1B0CC1" w:rsidR="006D1FD1" w:rsidRDefault="006D1FD1" w:rsidP="005416FC">
      <w:pPr>
        <w:pStyle w:val="Funotentext"/>
      </w:pPr>
      <w:r>
        <w:rPr>
          <w:rStyle w:val="Funotenzeichen"/>
        </w:rPr>
        <w:footnoteRef/>
      </w:r>
      <w:r>
        <w:t xml:space="preserve"> S. zur Definition der Zuverlässigkeit gemäß § 4 I Nr. 1 GastG – insbesondere hinsichtlich der Trunkergebenheit – nur Pöltl, Gaststättenrecht, 5. Aufl. 2002, § 4 Rn. 38 f., 43.</w:t>
      </w:r>
    </w:p>
  </w:footnote>
  <w:footnote w:id="411">
    <w:p w14:paraId="49F64D86" w14:textId="10D3D384" w:rsidR="006D1FD1" w:rsidRDefault="006D1FD1" w:rsidP="005416FC">
      <w:pPr>
        <w:pStyle w:val="Funotentext"/>
      </w:pPr>
      <w:r>
        <w:rPr>
          <w:rStyle w:val="Funotenzeichen"/>
        </w:rPr>
        <w:footnoteRef/>
      </w:r>
      <w:r>
        <w:t xml:space="preserve"> Wenn die Annahme der Unzuverlässigkeit nicht länger durch Tatsachen gerechtfertigt ist, kann eine Erlaubnis erneut erteilt werden. Vgl. auch </w:t>
      </w:r>
      <w:hyperlink r:id="rId293" w:history="1">
        <w:r w:rsidRPr="00D40AAB">
          <w:rPr>
            <w:rStyle w:val="Hyperlink"/>
          </w:rPr>
          <w:t>BVerwG, Beschl. v. 17.12.1974, Az.: I B 81.74</w:t>
        </w:r>
      </w:hyperlink>
      <w:r>
        <w:t xml:space="preserve"> = GewArch 1975, 132, zur vergleichbaren Situation eines Anspruchs auf Aufhebung der Untersagung gemäß § 21 I GastG.</w:t>
      </w:r>
    </w:p>
  </w:footnote>
  <w:footnote w:id="412">
    <w:p w14:paraId="0908D829" w14:textId="7127AF90" w:rsidR="006D1FD1" w:rsidRDefault="006D1FD1" w:rsidP="005416FC">
      <w:pPr>
        <w:pStyle w:val="Funotentext"/>
      </w:pPr>
      <w:r>
        <w:rPr>
          <w:rStyle w:val="Funotenzeichen"/>
        </w:rPr>
        <w:footnoteRef/>
      </w:r>
      <w:r>
        <w:t xml:space="preserve"> Ramsauer, in: Kopp/Ramsauer, VwVfG, </w:t>
      </w:r>
      <w:r w:rsidRPr="00FB1145">
        <w:t>20. Aufl. 2019</w:t>
      </w:r>
      <w:r>
        <w:t xml:space="preserve">, § 44 Rn. 28, unter Verweis auf das Beispiel einer Zwangsmittelandrohung ohne Fristsetzung, dazu VGH Kassel, Beschl. v. 30.4.1982, Az.: III TG 119/82 = NVwZ 1982, 514 (515). Für die Möglichkeit einer Nichtigkeit wegen absoluter Ungeeignetheit auch Schemmer, in: Bader/Ronellenfitsch, VwVfG, </w:t>
      </w:r>
      <w:r w:rsidRPr="00FB1145">
        <w:t>44. Ed., Stand: 1.7.2019</w:t>
      </w:r>
      <w:r>
        <w:t>, § 44 Rn. 38; Leisner-Egensperger, in: Mann/Sennekamp/Uechtritz, VwVfG, 2. Aufl. 2019, § 44 Rn. 21.</w:t>
      </w:r>
    </w:p>
  </w:footnote>
  <w:footnote w:id="413">
    <w:p w14:paraId="33596580" w14:textId="77777777" w:rsidR="006D1FD1" w:rsidRDefault="006D1FD1" w:rsidP="005416FC">
      <w:pPr>
        <w:pStyle w:val="Funotentext"/>
      </w:pPr>
      <w:r>
        <w:rPr>
          <w:rStyle w:val="Funotenzeichen"/>
        </w:rPr>
        <w:footnoteRef/>
      </w:r>
      <w:r>
        <w:t xml:space="preserve"> S. zur Relevanz der persönlichen Zuverlässigkeit nur Metzner, GastG, 6. Aufl. 2002, § 4 Rn. 8; Pöltl, Gaststättenrecht, 5. Aufl. 2002, § 4 Rn. 16, 19.</w:t>
      </w:r>
    </w:p>
  </w:footnote>
  <w:footnote w:id="414">
    <w:p w14:paraId="0797B9B8" w14:textId="77777777" w:rsidR="006D1FD1" w:rsidRDefault="006D1FD1" w:rsidP="005416FC">
      <w:pPr>
        <w:pStyle w:val="Funotentext"/>
      </w:pPr>
      <w:r>
        <w:rPr>
          <w:rStyle w:val="Funotenzeichen"/>
        </w:rPr>
        <w:footnoteRef/>
      </w:r>
      <w:r>
        <w:t xml:space="preserve"> S. zum Zweck der Vorschrift nur Metzner, GastG, 6. Aufl. 2002, § 21 Rn. 1; Pöltl, Gaststättenrecht, 5. Aufl. 2002, § 21 Rn. 2.</w:t>
      </w:r>
    </w:p>
  </w:footnote>
  <w:footnote w:id="415">
    <w:p w14:paraId="62BC6FA1" w14:textId="57EEB7FE" w:rsidR="006D1FD1" w:rsidRDefault="006D1FD1" w:rsidP="005416FC">
      <w:pPr>
        <w:pStyle w:val="Funotentext"/>
      </w:pPr>
      <w:r>
        <w:rPr>
          <w:rStyle w:val="Funotenzeichen"/>
        </w:rPr>
        <w:footnoteRef/>
      </w:r>
      <w:r>
        <w:t xml:space="preserve"> S. dazu näher </w:t>
      </w:r>
      <w:hyperlink r:id="rId294" w:history="1">
        <w:r w:rsidRPr="0057061A">
          <w:rPr>
            <w:rStyle w:val="Hyperlink"/>
          </w:rPr>
          <w:t>Brings-Wiesen, in: Eisentraut, Verwaltungsrecht in der Klausur, 2020, § 6 Rn. 162 ff.</w:t>
        </w:r>
      </w:hyperlink>
    </w:p>
  </w:footnote>
  <w:footnote w:id="416">
    <w:p w14:paraId="72135EA2" w14:textId="75939BF5" w:rsidR="006D1FD1" w:rsidRDefault="006D1FD1" w:rsidP="005416FC">
      <w:pPr>
        <w:pStyle w:val="Funotentext"/>
      </w:pPr>
      <w:r>
        <w:rPr>
          <w:rStyle w:val="Funotenzeichen"/>
        </w:rPr>
        <w:footnoteRef/>
      </w:r>
      <w:r>
        <w:t xml:space="preserve"> Zwar ist eine Teilnichtigkeit im Falle formeller Rechtsfehler tatsächlich selten, so Schemmer, in: Bader/Ronellenfitsch, VwVfG, </w:t>
      </w:r>
      <w:r w:rsidRPr="00FB1145">
        <w:t>44. Ed., Stand: 1.7.2019</w:t>
      </w:r>
      <w:r>
        <w:t xml:space="preserve">, § 44 Rn. 71, weil sich diese Fehler bereits sinnlogisch regelmäßig auf das Verfahren und sein Ergebnis im Ganzen auswirken werden; wie dieser Fall zeigt ist sie jedoch möglich. </w:t>
      </w:r>
    </w:p>
  </w:footnote>
  <w:footnote w:id="417">
    <w:p w14:paraId="6C226350" w14:textId="5AA2AA1A" w:rsidR="006D1FD1" w:rsidRDefault="006D1FD1" w:rsidP="005416FC">
      <w:pPr>
        <w:pStyle w:val="Funotentext"/>
      </w:pPr>
      <w:r>
        <w:rPr>
          <w:rStyle w:val="Funotenzeichen"/>
        </w:rPr>
        <w:footnoteRef/>
      </w:r>
      <w:r>
        <w:t xml:space="preserve"> Eine </w:t>
      </w:r>
      <w:r w:rsidRPr="00A45D8B">
        <w:rPr>
          <w:i/>
        </w:rPr>
        <w:t>Verletzung</w:t>
      </w:r>
      <w:r>
        <w:t xml:space="preserve"> wird mangels </w:t>
      </w:r>
      <w:r w:rsidRPr="007A505A">
        <w:rPr>
          <w:i/>
        </w:rPr>
        <w:t>rechtlicher</w:t>
      </w:r>
      <w:r>
        <w:t xml:space="preserve"> Wirkungen des nichtigen Verwaltungsakts aber zu Recht nicht verlangt, </w:t>
      </w:r>
      <w:r w:rsidRPr="00287C4A">
        <w:t xml:space="preserve">Hufen, </w:t>
      </w:r>
      <w:r>
        <w:t>Verwaltungsprozessrecht</w:t>
      </w:r>
      <w:r w:rsidRPr="00287C4A">
        <w:t>, 11. Aufl. 2019, § 29 Rn. 12</w:t>
      </w:r>
      <w:r>
        <w:t>.</w:t>
      </w:r>
    </w:p>
  </w:footnote>
  <w:footnote w:id="418">
    <w:p w14:paraId="7E48D4A4" w14:textId="71F8EA2B" w:rsidR="006D1FD1" w:rsidRDefault="006D1FD1" w:rsidP="005416FC">
      <w:pPr>
        <w:pStyle w:val="Funotentext"/>
      </w:pPr>
      <w:r w:rsidRPr="00287C4A">
        <w:rPr>
          <w:rStyle w:val="Funotenzeichen"/>
        </w:rPr>
        <w:footnoteRef/>
      </w:r>
      <w:r w:rsidRPr="00287C4A">
        <w:t xml:space="preserve"> </w:t>
      </w:r>
      <w:r>
        <w:t xml:space="preserve">Dies verlangend </w:t>
      </w:r>
      <w:r w:rsidRPr="00287C4A">
        <w:t xml:space="preserve">Hufen, </w:t>
      </w:r>
      <w:r>
        <w:t>Verwaltungsprozessrecht</w:t>
      </w:r>
      <w:r w:rsidRPr="00287C4A">
        <w:t xml:space="preserve">, 11. Aufl. 2019, § 29 Rn. 12; </w:t>
      </w:r>
      <w:bookmarkStart w:id="494" w:name="_Hlk8471833"/>
      <w:r>
        <w:t xml:space="preserve">Würtenberger/Heckmann, Verwaltungsprozessrecht, 4. Aufl. 2018, Rn. 494; </w:t>
      </w:r>
      <w:bookmarkEnd w:id="494"/>
      <w:r>
        <w:t xml:space="preserve">a.A. indes </w:t>
      </w:r>
      <w:r w:rsidRPr="00287C4A">
        <w:t xml:space="preserve">Wienbracke, </w:t>
      </w:r>
      <w:r>
        <w:t>Verwaltungsprozessrecht</w:t>
      </w:r>
      <w:r w:rsidRPr="00287C4A">
        <w:t xml:space="preserve">, </w:t>
      </w:r>
      <w:r>
        <w:t>3.</w:t>
      </w:r>
      <w:r w:rsidRPr="00287C4A">
        <w:t> Aufl. 201</w:t>
      </w:r>
      <w:r>
        <w:t>9</w:t>
      </w:r>
      <w:r w:rsidRPr="00287C4A">
        <w:t>, Rn. 484.</w:t>
      </w:r>
    </w:p>
  </w:footnote>
  <w:footnote w:id="419">
    <w:p w14:paraId="76FCCE78" w14:textId="4F6329A2" w:rsidR="006D1FD1" w:rsidRDefault="006D1FD1" w:rsidP="003F18F9">
      <w:pPr>
        <w:pStyle w:val="Funotentext"/>
      </w:pPr>
      <w:r>
        <w:rPr>
          <w:rStyle w:val="Funotenzeichen"/>
        </w:rPr>
        <w:footnoteRef/>
      </w:r>
      <w:r>
        <w:t xml:space="preserve"> Ausführlich zur Eröffnung des Verwaltungsrechtswegs </w:t>
      </w:r>
      <w:hyperlink r:id="rId295" w:history="1">
        <w:r w:rsidRPr="00C87B0D">
          <w:rPr>
            <w:rStyle w:val="Hyperlink"/>
          </w:rPr>
          <w:t>Eisentraut, in: Eisentraut, Ver</w:t>
        </w:r>
        <w:r>
          <w:rPr>
            <w:rStyle w:val="Hyperlink"/>
          </w:rPr>
          <w:t>w</w:t>
        </w:r>
        <w:r w:rsidRPr="00C87B0D">
          <w:rPr>
            <w:rStyle w:val="Hyperlink"/>
          </w:rPr>
          <w:t>altungsrecht in der Klausur, 2020, § 1 Rn. 162 ff.</w:t>
        </w:r>
      </w:hyperlink>
    </w:p>
  </w:footnote>
  <w:footnote w:id="420">
    <w:p w14:paraId="43D28EB4" w14:textId="3708C597" w:rsidR="006D1FD1" w:rsidRDefault="006D1FD1" w:rsidP="00D14356">
      <w:pPr>
        <w:pStyle w:val="Funotentext"/>
      </w:pPr>
      <w:r>
        <w:rPr>
          <w:rStyle w:val="Funotenzeichen"/>
        </w:rPr>
        <w:footnoteRef/>
      </w:r>
      <w:r>
        <w:t xml:space="preserve"> Ausführlich zur verwaltungsgerichtlichen Normenkontrolle als statthafter Antragsart </w:t>
      </w:r>
      <w:hyperlink r:id="rId296" w:history="1">
        <w:r w:rsidRPr="008C1818">
          <w:rPr>
            <w:rStyle w:val="Hyperlink"/>
          </w:rPr>
          <w:t>Kienle, in: Eisentraut, Verwaltungsrecht in der Klausur, 2020, § 7 Rn. 2 ff.</w:t>
        </w:r>
      </w:hyperlink>
    </w:p>
  </w:footnote>
  <w:footnote w:id="421">
    <w:p w14:paraId="2FD78178" w14:textId="5DFE1526" w:rsidR="006D1FD1" w:rsidRDefault="006D1FD1">
      <w:pPr>
        <w:pStyle w:val="Funotentext"/>
      </w:pPr>
      <w:r>
        <w:rPr>
          <w:rStyle w:val="Funotenzeichen"/>
        </w:rPr>
        <w:footnoteRef/>
      </w:r>
      <w:r>
        <w:t xml:space="preserve"> Ausführlich zur Antragsberechtigung bei der verwaltungsgerichtlichen Normenkontrolle </w:t>
      </w:r>
      <w:hyperlink r:id="rId297" w:history="1">
        <w:r w:rsidRPr="008C1818">
          <w:rPr>
            <w:rStyle w:val="Hyperlink"/>
          </w:rPr>
          <w:t>Kienle, in: Eisentraut, Verwaltungsrecht in der Klausur, 2020, § 7 Rn. 34 ff.</w:t>
        </w:r>
      </w:hyperlink>
    </w:p>
  </w:footnote>
  <w:footnote w:id="422">
    <w:p w14:paraId="4C799F75" w14:textId="27DD9B02" w:rsidR="006D1FD1" w:rsidRDefault="006D1FD1">
      <w:pPr>
        <w:pStyle w:val="Funotentext"/>
      </w:pPr>
      <w:r>
        <w:rPr>
          <w:rStyle w:val="Funotenzeichen"/>
        </w:rPr>
        <w:footnoteRef/>
      </w:r>
      <w:r>
        <w:t xml:space="preserve"> Ausführlich zur Antragsbefugnis bei der verwaltungsgerichtlichen Normenkontrolle </w:t>
      </w:r>
      <w:hyperlink r:id="rId298" w:history="1">
        <w:r w:rsidRPr="008C1818">
          <w:rPr>
            <w:rStyle w:val="Hyperlink"/>
          </w:rPr>
          <w:t>Burbach/Kienle, in: Eisentraut, Verwaltungsrecht in der Klausur, 2020, § 7 Rn. 36 ff.</w:t>
        </w:r>
      </w:hyperlink>
    </w:p>
  </w:footnote>
  <w:footnote w:id="423">
    <w:p w14:paraId="5209BD89" w14:textId="44486EEA" w:rsidR="006D1FD1" w:rsidRDefault="006D1FD1">
      <w:pPr>
        <w:pStyle w:val="Funotentext"/>
      </w:pPr>
      <w:r>
        <w:rPr>
          <w:rStyle w:val="Funotenzeichen"/>
        </w:rPr>
        <w:footnoteRef/>
      </w:r>
      <w:r>
        <w:t xml:space="preserve"> Ausführlich zur Antragsfrist bei der verwaltungsgerichtlichen Normenkontrolle </w:t>
      </w:r>
      <w:hyperlink r:id="rId299" w:history="1">
        <w:r w:rsidRPr="008C1818">
          <w:rPr>
            <w:rStyle w:val="Hyperlink"/>
          </w:rPr>
          <w:t>Stockebrandt, in: Eisentraut, Verwaltungsrecht in der Klausur, 2020, § 7 Rn. 40 ff.</w:t>
        </w:r>
      </w:hyperlink>
    </w:p>
  </w:footnote>
  <w:footnote w:id="424">
    <w:p w14:paraId="5EFF4AB4" w14:textId="3E4E63FD" w:rsidR="006D1FD1" w:rsidRDefault="006D1FD1">
      <w:pPr>
        <w:pStyle w:val="Funotentext"/>
      </w:pPr>
      <w:r>
        <w:rPr>
          <w:rStyle w:val="Funotenzeichen"/>
        </w:rPr>
        <w:footnoteRef/>
      </w:r>
      <w:r>
        <w:t xml:space="preserve"> Ausführlich zu den Beteiligten bei der verwaltungsgerichtlichen Normenkontrolle </w:t>
      </w:r>
      <w:hyperlink r:id="rId300" w:history="1">
        <w:r w:rsidRPr="008C1818">
          <w:rPr>
            <w:rStyle w:val="Hyperlink"/>
          </w:rPr>
          <w:t>Creemers, in: Eisentraut, Verwaltungsrecht in der Klausur, 2020, § 7 Rn. 43 ff.</w:t>
        </w:r>
      </w:hyperlink>
    </w:p>
  </w:footnote>
  <w:footnote w:id="425">
    <w:p w14:paraId="59A5495A" w14:textId="0770413F" w:rsidR="006D1FD1" w:rsidRDefault="006D1FD1">
      <w:pPr>
        <w:pStyle w:val="Funotentext"/>
      </w:pPr>
      <w:r>
        <w:rPr>
          <w:rStyle w:val="Funotenzeichen"/>
        </w:rPr>
        <w:footnoteRef/>
      </w:r>
      <w:r>
        <w:t xml:space="preserve"> Ausführlich zum zuständigen Gericht bei der verwaltungsgerichtlichen Normenkontrolle </w:t>
      </w:r>
      <w:hyperlink r:id="rId301" w:history="1">
        <w:r w:rsidRPr="008C1818">
          <w:rPr>
            <w:rStyle w:val="Hyperlink"/>
          </w:rPr>
          <w:t>Goldberg, in: Eisentraut, Verwaltungsrecht in der Klausur, 2020, § 7 Rn. 49 ff.</w:t>
        </w:r>
      </w:hyperlink>
    </w:p>
  </w:footnote>
  <w:footnote w:id="426">
    <w:p w14:paraId="03D22A93" w14:textId="2D5C8116" w:rsidR="006D1FD1" w:rsidRDefault="006D1FD1">
      <w:pPr>
        <w:pStyle w:val="Funotentext"/>
      </w:pPr>
      <w:r>
        <w:rPr>
          <w:rStyle w:val="Funotenzeichen"/>
        </w:rPr>
        <w:footnoteRef/>
      </w:r>
      <w:r>
        <w:t xml:space="preserve"> Ausführlich zum Rechtsschutzbedürfnis bei der verwaltungsgerichtlichen Normenkontrolle </w:t>
      </w:r>
      <w:hyperlink r:id="rId302" w:history="1">
        <w:r w:rsidRPr="008C1818">
          <w:rPr>
            <w:rStyle w:val="Hyperlink"/>
          </w:rPr>
          <w:t>Valentiner, in: Eisentraut, Verwaltungsrecht in der Klausur, 2020, § 7 Rn. 53 ff.</w:t>
        </w:r>
      </w:hyperlink>
    </w:p>
  </w:footnote>
  <w:footnote w:id="427">
    <w:p w14:paraId="5E46ABCA" w14:textId="2DEE4818" w:rsidR="006D1FD1" w:rsidRDefault="006D1FD1">
      <w:pPr>
        <w:pStyle w:val="Funotentext"/>
      </w:pPr>
      <w:r>
        <w:rPr>
          <w:rStyle w:val="Funotenzeichen"/>
        </w:rPr>
        <w:footnoteRef/>
      </w:r>
      <w:r>
        <w:t xml:space="preserve"> Ausführlich zur Struktur der Begründetheitsprüfung der verwaltungsgerichtlichen Normenkontrolle </w:t>
      </w:r>
      <w:hyperlink r:id="rId303" w:history="1">
        <w:r w:rsidRPr="008C1818">
          <w:rPr>
            <w:rStyle w:val="Hyperlink"/>
          </w:rPr>
          <w:t>Kienle, in: Eisentraut, Verwaltungsrecht in der Klausur, 2020, § 7 Rn. 60 ff.</w:t>
        </w:r>
      </w:hyperlink>
      <w:r>
        <w:t xml:space="preserve">; </w:t>
      </w:r>
      <w:r w:rsidRPr="003F18F9">
        <w:t xml:space="preserve">Zum Normenkontrollverfahren im Baurecht </w:t>
      </w:r>
      <w:hyperlink r:id="rId304" w:history="1">
        <w:r w:rsidRPr="008C1818">
          <w:rPr>
            <w:rStyle w:val="Hyperlink"/>
          </w:rPr>
          <w:t>Kienle/Steengrafe, a.a.O., § 7 Rn. 79 ff</w:t>
        </w:r>
      </w:hyperlink>
      <w:r w:rsidRPr="003F18F9">
        <w:t>.; zum Polizei</w:t>
      </w:r>
      <w:r>
        <w:t>-</w:t>
      </w:r>
      <w:r w:rsidRPr="003F18F9">
        <w:t xml:space="preserve"> und Ordnungsrecht</w:t>
      </w:r>
      <w:r>
        <w:t xml:space="preserve"> </w:t>
      </w:r>
      <w:hyperlink r:id="rId305" w:history="1">
        <w:r w:rsidRPr="008C1818">
          <w:rPr>
            <w:rStyle w:val="Hyperlink"/>
          </w:rPr>
          <w:t>Eisentraut, a.a.O., § 7 Rn. 106 ff.</w:t>
        </w:r>
      </w:hyperlink>
      <w:r w:rsidRPr="003F18F9">
        <w:t xml:space="preserve"> </w:t>
      </w:r>
      <w:r>
        <w:t xml:space="preserve">und </w:t>
      </w:r>
      <w:r w:rsidRPr="003F18F9">
        <w:t xml:space="preserve">zum Kommunalrecht </w:t>
      </w:r>
      <w:hyperlink r:id="rId306" w:history="1">
        <w:r w:rsidRPr="008C1818">
          <w:rPr>
            <w:rStyle w:val="Hyperlink"/>
          </w:rPr>
          <w:t>Piecha, a.a.O., § 7 Rn. 119 ff.</w:t>
        </w:r>
      </w:hyperlink>
    </w:p>
  </w:footnote>
  <w:footnote w:id="428">
    <w:p w14:paraId="7D547DAA" w14:textId="77777777" w:rsidR="006D1FD1" w:rsidRPr="002C6743" w:rsidRDefault="006D1FD1" w:rsidP="009E471F">
      <w:pPr>
        <w:pStyle w:val="Funotentext"/>
      </w:pPr>
      <w:r w:rsidRPr="002C6743">
        <w:rPr>
          <w:rStyle w:val="Funotenzeichen"/>
        </w:rPr>
        <w:footnoteRef/>
      </w:r>
      <w:r w:rsidRPr="002C6743">
        <w:t xml:space="preserve"> = NVwZ 2018, 1656 m. Anm. Janson = JuS 2019, 286 (Waldhoff) = DVBl 2018, 1440 m. Anm. F. Michl. Lesenswert auch die Vorinstanz VGH Kassel, Urt. v. 5.4.2017, Az.: 8 C 459.17.N = NVwZ 2017, 886 m. Anm. Meyer sowie der Fall bei RÜ 2018, 740 (Wüstenbecker).</w:t>
      </w:r>
    </w:p>
  </w:footnote>
  <w:footnote w:id="429">
    <w:p w14:paraId="2D65E6DC" w14:textId="0F1591E8" w:rsidR="006D1FD1" w:rsidRPr="002C6743" w:rsidRDefault="006D1FD1" w:rsidP="009E471F">
      <w:pPr>
        <w:pStyle w:val="Funotentext"/>
      </w:pPr>
      <w:r w:rsidRPr="002C6743">
        <w:rPr>
          <w:rStyle w:val="Funotenzeichen"/>
        </w:rPr>
        <w:footnoteRef/>
      </w:r>
      <w:r w:rsidRPr="002C6743">
        <w:t xml:space="preserve"> Hinweis: In Bayern werden die Originale des Referendar- und Assessorexamens mit zeitlichem Abstand in den BayVBl. nebst Lösungsskizzen veröffentlicht. Beispiele zur Normenkontrolle</w:t>
      </w:r>
      <w:r>
        <w:t>: Aufgabe 6 der EJP 2011/1, BayVBl. 2014, 611, Lösungsskizze BayVBl. 2014, 638; Aufgabe 10 der ZJP 2009/1, BayVBl. 2014, 285, Lösungsskizze BayVBl. 2014, 316; Aufgabe 8 der ZJP 2012/1 BayVBl. 2016, 685, Lösungsskizze BayVBl. 2016, 720</w:t>
      </w:r>
      <w:r w:rsidRPr="002C6743">
        <w:t>.</w:t>
      </w:r>
    </w:p>
  </w:footnote>
  <w:footnote w:id="430">
    <w:p w14:paraId="2106A458" w14:textId="138519EC" w:rsidR="006D1FD1" w:rsidRDefault="006D1FD1">
      <w:pPr>
        <w:pStyle w:val="Funotentext"/>
      </w:pPr>
      <w:r>
        <w:rPr>
          <w:rStyle w:val="Funotenzeichen"/>
        </w:rPr>
        <w:footnoteRef/>
      </w:r>
      <w:r>
        <w:t xml:space="preserve"> Sogenannte Vollzugs-Formel; allgemein zur Eröffnung des Verwaltungsrechtswegs Eisentraut, in: Eisentraut, Verwaltungsrecht in der Klausur, 2020,  § 1 Rn. 162 ff.</w:t>
      </w:r>
    </w:p>
  </w:footnote>
  <w:footnote w:id="431">
    <w:p w14:paraId="023B42F9" w14:textId="77777777" w:rsidR="006D1FD1" w:rsidRPr="002C6743" w:rsidRDefault="006D1FD1" w:rsidP="00F75EC6">
      <w:pPr>
        <w:pStyle w:val="Funotentext"/>
      </w:pPr>
      <w:r w:rsidRPr="002C6743">
        <w:rPr>
          <w:rStyle w:val="Funotenzeichen"/>
        </w:rPr>
        <w:footnoteRef/>
      </w:r>
      <w:r w:rsidRPr="002C6743">
        <w:t xml:space="preserve"> Vgl. zur Vertiefung </w:t>
      </w:r>
      <w:hyperlink r:id="rId307" w:history="1">
        <w:r w:rsidRPr="002C6743">
          <w:rPr>
            <w:rStyle w:val="Hyperlink"/>
          </w:rPr>
          <w:t>Michael, ZJS 2014, 621</w:t>
        </w:r>
      </w:hyperlink>
      <w:r w:rsidRPr="002C6743">
        <w:t xml:space="preserve"> (621).</w:t>
      </w:r>
    </w:p>
  </w:footnote>
  <w:footnote w:id="432">
    <w:p w14:paraId="3684EA87" w14:textId="77777777" w:rsidR="006D1FD1" w:rsidRPr="002C6743" w:rsidRDefault="006D1FD1" w:rsidP="00F75EC6">
      <w:pPr>
        <w:pStyle w:val="Funotentext"/>
      </w:pPr>
      <w:r w:rsidRPr="002C6743">
        <w:rPr>
          <w:rStyle w:val="Funotenzeichen"/>
        </w:rPr>
        <w:footnoteRef/>
      </w:r>
      <w:r w:rsidRPr="002C6743">
        <w:t xml:space="preserve"> Instruktiv zum Kommunalverfassungsstreit im Verwaltungsprozess Ogorek, JuS 2009, 511 ff.</w:t>
      </w:r>
    </w:p>
  </w:footnote>
  <w:footnote w:id="433">
    <w:p w14:paraId="24260CFF" w14:textId="0562E28D" w:rsidR="006D1FD1" w:rsidRDefault="006D1FD1" w:rsidP="00F75EC6">
      <w:pPr>
        <w:pStyle w:val="Funotentext"/>
      </w:pPr>
      <w:r>
        <w:rPr>
          <w:rStyle w:val="Funotenzeichen"/>
        </w:rPr>
        <w:footnoteRef/>
      </w:r>
      <w:r>
        <w:t xml:space="preserve"> S. </w:t>
      </w:r>
      <w:hyperlink r:id="rId308" w:history="1">
        <w:r w:rsidRPr="00C87B0D">
          <w:rPr>
            <w:rStyle w:val="Hyperlink"/>
          </w:rPr>
          <w:t>Eisentraut, in: Eisentraut, Verwaltungsrecht in der Klausur, 2020, § 1 Rn. 210</w:t>
        </w:r>
      </w:hyperlink>
      <w:r>
        <w:t>.</w:t>
      </w:r>
    </w:p>
  </w:footnote>
  <w:footnote w:id="434">
    <w:p w14:paraId="62CD55D8" w14:textId="7DB508E9" w:rsidR="006D1FD1" w:rsidRPr="002C6743" w:rsidRDefault="006D1FD1" w:rsidP="00F75EC6">
      <w:pPr>
        <w:pStyle w:val="Funotentext"/>
      </w:pPr>
      <w:r w:rsidRPr="002C6743">
        <w:rPr>
          <w:rStyle w:val="Funotenzeichen"/>
        </w:rPr>
        <w:footnoteRef/>
      </w:r>
      <w:r w:rsidRPr="002C6743">
        <w:t xml:space="preserve"> </w:t>
      </w:r>
      <w:r>
        <w:t>S</w:t>
      </w:r>
      <w:r w:rsidRPr="002C6743">
        <w:t>. Ogorek, JuS 2009, 511 (512).</w:t>
      </w:r>
    </w:p>
  </w:footnote>
  <w:footnote w:id="435">
    <w:p w14:paraId="4C29DFAF" w14:textId="211E973D" w:rsidR="006D1FD1" w:rsidRDefault="006D1FD1" w:rsidP="00F75EC6">
      <w:pPr>
        <w:pStyle w:val="Funotentext"/>
      </w:pPr>
      <w:r>
        <w:rPr>
          <w:rStyle w:val="Funotenzeichen"/>
        </w:rPr>
        <w:footnoteRef/>
      </w:r>
      <w:r>
        <w:t xml:space="preserve"> Dazu </w:t>
      </w:r>
      <w:hyperlink r:id="rId309" w:history="1">
        <w:r w:rsidRPr="008C1818">
          <w:rPr>
            <w:rStyle w:val="Hyperlink"/>
          </w:rPr>
          <w:t>Kienle, in: Eisentraut, Verwaltungsrecht in der Klausur, 2020, § 7 Rn. 9</w:t>
        </w:r>
      </w:hyperlink>
      <w:r>
        <w:t>.</w:t>
      </w:r>
    </w:p>
  </w:footnote>
  <w:footnote w:id="436">
    <w:p w14:paraId="7D770CD2" w14:textId="78C4C45C" w:rsidR="006D1FD1" w:rsidRDefault="006D1FD1" w:rsidP="00F75EC6">
      <w:pPr>
        <w:pStyle w:val="Funotentext"/>
      </w:pPr>
      <w:r>
        <w:rPr>
          <w:rStyle w:val="Funotenzeichen"/>
        </w:rPr>
        <w:footnoteRef/>
      </w:r>
      <w:r>
        <w:t xml:space="preserve"> Zu den Bundesländern, die von der Ermächtigung des § 47 I Nr. 2 VwGO Gebrauch gemacht haben, s. </w:t>
      </w:r>
      <w:hyperlink r:id="rId310" w:history="1">
        <w:r w:rsidRPr="008C1818">
          <w:rPr>
            <w:rStyle w:val="Hyperlink"/>
          </w:rPr>
          <w:t>Kienle, in: Eisentraut, Verwaltungsrecht in der Klausur, 2020, § 7 Rn. 32</w:t>
        </w:r>
      </w:hyperlink>
      <w:r>
        <w:t>.</w:t>
      </w:r>
    </w:p>
  </w:footnote>
  <w:footnote w:id="437">
    <w:p w14:paraId="5B33C2BB" w14:textId="61481FF9" w:rsidR="006D1FD1" w:rsidRDefault="006D1FD1" w:rsidP="00F75EC6">
      <w:pPr>
        <w:pStyle w:val="Funotentext"/>
      </w:pPr>
      <w:r>
        <w:rPr>
          <w:rStyle w:val="Funotenzeichen"/>
        </w:rPr>
        <w:footnoteRef/>
      </w:r>
      <w:r>
        <w:t xml:space="preserve"> Vgl. dazu Kienle, in: Eisentraut, Verwaltungsrecht in der Klausur, 2020, § 7 Rn. 35.</w:t>
      </w:r>
    </w:p>
  </w:footnote>
  <w:footnote w:id="438">
    <w:p w14:paraId="6BC2763E" w14:textId="4DE4C7E9" w:rsidR="006D1FD1" w:rsidRPr="002C6743" w:rsidRDefault="006D1FD1" w:rsidP="00F75EC6">
      <w:pPr>
        <w:pStyle w:val="Funotentext"/>
      </w:pPr>
      <w:r w:rsidRPr="002C6743">
        <w:rPr>
          <w:rStyle w:val="Funotenzeichen"/>
        </w:rPr>
        <w:footnoteRef/>
      </w:r>
      <w:r w:rsidRPr="002C6743">
        <w:t xml:space="preserve"> </w:t>
      </w:r>
      <w:r>
        <w:t xml:space="preserve">Zu Sinn und Zweck des § 47 VwGO vgl. </w:t>
      </w:r>
      <w:hyperlink r:id="rId311" w:history="1">
        <w:r w:rsidRPr="008C1818">
          <w:rPr>
            <w:rStyle w:val="Hyperlink"/>
          </w:rPr>
          <w:t>Kienle, in: Eisentraut, Verwaltungsrecht in der Klausur, 2020, § 7 Rn. </w:t>
        </w:r>
        <w:r>
          <w:rPr>
            <w:rStyle w:val="Hyperlink"/>
          </w:rPr>
          <w:t>21, 27; zur Rechtsnatur § 7 Rn. 5, 62</w:t>
        </w:r>
      </w:hyperlink>
      <w:r w:rsidRPr="002C6743">
        <w:t>.</w:t>
      </w:r>
    </w:p>
  </w:footnote>
  <w:footnote w:id="439">
    <w:p w14:paraId="1E3F2176" w14:textId="77777777" w:rsidR="006D1FD1" w:rsidRPr="002C6743" w:rsidRDefault="006D1FD1" w:rsidP="00F75EC6">
      <w:pPr>
        <w:pStyle w:val="Funotentext"/>
      </w:pPr>
      <w:r w:rsidRPr="002C6743">
        <w:rPr>
          <w:rStyle w:val="Funotenzeichen"/>
        </w:rPr>
        <w:footnoteRef/>
      </w:r>
      <w:r w:rsidRPr="002C6743">
        <w:t xml:space="preserve"> S. etwa </w:t>
      </w:r>
      <w:hyperlink r:id="rId312" w:history="1">
        <w:r w:rsidRPr="002C6743">
          <w:rPr>
            <w:rStyle w:val="Hyperlink"/>
          </w:rPr>
          <w:t>VGH München, Beschl. v. 10.4.2018, Az.: 4 CE 17.2450</w:t>
        </w:r>
      </w:hyperlink>
      <w:r w:rsidRPr="002C6743">
        <w:t xml:space="preserve"> = DVBl 2019, 54 = RÜ 2018, 383 (Wüstenbecker) – Ausschluss aus einer Gemeinderatsfraktion.</w:t>
      </w:r>
    </w:p>
  </w:footnote>
  <w:footnote w:id="440">
    <w:p w14:paraId="76F365EF" w14:textId="447E97D6" w:rsidR="006D1FD1" w:rsidRPr="001E2F4B" w:rsidRDefault="006D1FD1" w:rsidP="00F75EC6">
      <w:pPr>
        <w:pStyle w:val="Funotentext"/>
      </w:pPr>
      <w:r>
        <w:rPr>
          <w:rStyle w:val="Funotenzeichen"/>
        </w:rPr>
        <w:footnoteRef/>
      </w:r>
      <w:r>
        <w:t xml:space="preserve"> S. dazu ausführlich </w:t>
      </w:r>
      <w:hyperlink r:id="rId313" w:history="1">
        <w:r w:rsidRPr="00144A4A">
          <w:rPr>
            <w:rStyle w:val="Hyperlink"/>
          </w:rPr>
          <w:t>Burbach, in: Eisentraut, Verwaltungsrecht in der Klausur, 2020, § 2 Rn. 290 ff.</w:t>
        </w:r>
      </w:hyperlink>
    </w:p>
  </w:footnote>
  <w:footnote w:id="441">
    <w:p w14:paraId="729A7942" w14:textId="0823E566" w:rsidR="006D1FD1" w:rsidRPr="002C6743" w:rsidRDefault="006D1FD1" w:rsidP="00F75EC6">
      <w:pPr>
        <w:pStyle w:val="Funotentext"/>
      </w:pPr>
      <w:r w:rsidRPr="002C6743">
        <w:rPr>
          <w:rStyle w:val="Funotenzeichen"/>
        </w:rPr>
        <w:footnoteRef/>
      </w:r>
      <w:r w:rsidRPr="002C6743">
        <w:t xml:space="preserve"> S. </w:t>
      </w:r>
      <w:r>
        <w:t>z.B.</w:t>
      </w:r>
      <w:r w:rsidRPr="002C6743">
        <w:t xml:space="preserve"> VGH Kassel, Beschl. v. 15.12.1994, Az.: 6 N 2588.93 = DVBl 1995, 931.</w:t>
      </w:r>
    </w:p>
  </w:footnote>
  <w:footnote w:id="442">
    <w:p w14:paraId="2B2AC77F" w14:textId="692BAA53" w:rsidR="006D1FD1" w:rsidRPr="001E2F4B" w:rsidRDefault="006D1FD1" w:rsidP="00F75EC6">
      <w:pPr>
        <w:pStyle w:val="Funotentext"/>
      </w:pPr>
      <w:r w:rsidRPr="001E2F4B">
        <w:rPr>
          <w:rStyle w:val="Funotenzeichen"/>
        </w:rPr>
        <w:footnoteRef/>
      </w:r>
      <w:r w:rsidRPr="001E2F4B">
        <w:t xml:space="preserve"> Das BVerwG ergänzte an dieser Stelle (ohne Begründung), dass § 47 II VwGO eine Prozessstandschaft nicht vorsehe. Prozessstandschaft meint, ganz allgemein, fremde Rechte im eigenen Namen geltend zu machen. A kann sich i.R.d. Normenkontrolle aber von vornherein nicht darauf berufen, er mache Rechte seiner Fraktion geltend. Dem Verwaltungsprozess ist bei § 47 VwGO eine Prozessstandschaft ebenso fremd wie bei der Klagebefugnis i.S.d. § 42 II VwGO (s. </w:t>
      </w:r>
      <w:r>
        <w:t>Burbach, in: Eisentraut, Verwaltungsrecht in der Klausur, 2020, Rn. </w:t>
      </w:r>
      <w:r w:rsidRPr="001E2F4B">
        <w:t>§ </w:t>
      </w:r>
      <w:r>
        <w:t>2 </w:t>
      </w:r>
      <w:r w:rsidRPr="001E2F4B">
        <w:t>Rn. </w:t>
      </w:r>
      <w:r>
        <w:t>292, 297</w:t>
      </w:r>
      <w:r w:rsidRPr="001E2F4B">
        <w:t>). Der Wortlaut des § 47 II 1 VwGO („in ihren Rechten“) ist insoweit eindeutig. Der Antragsteller muss selbst betroffen sein. Ohne Hinweis im Sachverhalt kann selbst von guten Bearbeiter*innen nicht erwartet werden, dass sie diesen Punkt ansprechen.</w:t>
      </w:r>
    </w:p>
  </w:footnote>
  <w:footnote w:id="443">
    <w:p w14:paraId="233429FB" w14:textId="02C7AF9F" w:rsidR="006D1FD1" w:rsidRPr="002C6743" w:rsidRDefault="006D1FD1" w:rsidP="00F75EC6">
      <w:pPr>
        <w:pStyle w:val="Funotentext"/>
      </w:pPr>
      <w:r w:rsidRPr="002C6743">
        <w:rPr>
          <w:rStyle w:val="Funotenzeichen"/>
        </w:rPr>
        <w:footnoteRef/>
      </w:r>
      <w:r w:rsidRPr="002C6743">
        <w:t xml:space="preserve"> So im Ergebnis auch </w:t>
      </w:r>
      <w:hyperlink r:id="rId314" w:history="1">
        <w:r w:rsidRPr="002C6743">
          <w:rPr>
            <w:rStyle w:val="Hyperlink"/>
          </w:rPr>
          <w:t>BVerwG, Urt. v. 27.6.2018, Az.: 10 CN 1.17 = NVwZ 2018, 1656</w:t>
        </w:r>
      </w:hyperlink>
      <w:r w:rsidRPr="002C6743">
        <w:t xml:space="preserve"> (1657</w:t>
      </w:r>
      <w:r>
        <w:t xml:space="preserve"> f.</w:t>
      </w:r>
      <w:r w:rsidRPr="002C6743">
        <w:t xml:space="preserve">, Rn. 18-28); a.A. die Vorinstanz </w:t>
      </w:r>
      <w:hyperlink r:id="rId315" w:history="1">
        <w:r w:rsidRPr="00B44F9D">
          <w:rPr>
            <w:rStyle w:val="Hyperlink"/>
          </w:rPr>
          <w:t>VGH Kassel, Urt. v. 5.4.2017, Az.: 8 C 459.17.N</w:t>
        </w:r>
      </w:hyperlink>
      <w:r w:rsidRPr="002C6743">
        <w:t xml:space="preserve"> = NVwZ 2017, 886 (88</w:t>
      </w:r>
      <w:r>
        <w:t>7</w:t>
      </w:r>
      <w:r w:rsidRPr="002C6743">
        <w:t>, Rn. 16).</w:t>
      </w:r>
    </w:p>
  </w:footnote>
  <w:footnote w:id="444">
    <w:p w14:paraId="233B49AB" w14:textId="3DEE1151" w:rsidR="006D1FD1" w:rsidRDefault="006D1FD1" w:rsidP="00F75EC6">
      <w:pPr>
        <w:pStyle w:val="Funotentext"/>
      </w:pPr>
      <w:r>
        <w:rPr>
          <w:rStyle w:val="Funotenzeichen"/>
        </w:rPr>
        <w:footnoteRef/>
      </w:r>
      <w:r>
        <w:t xml:space="preserve"> Zur Fristberechnung s. </w:t>
      </w:r>
      <w:hyperlink r:id="rId316" w:history="1">
        <w:r>
          <w:rPr>
            <w:rStyle w:val="Hyperlink"/>
          </w:rPr>
          <w:t>Stockebrandt</w:t>
        </w:r>
        <w:r w:rsidRPr="008C1818">
          <w:rPr>
            <w:rStyle w:val="Hyperlink"/>
          </w:rPr>
          <w:t>, in: Eisentraut, Verwaltungsrecht in der Klausur, 2020, § 7 Rn. 40</w:t>
        </w:r>
      </w:hyperlink>
      <w:r>
        <w:t xml:space="preserve"> sowie ausführlich </w:t>
      </w:r>
      <w:hyperlink r:id="rId317" w:history="1">
        <w:r w:rsidRPr="00144A4A">
          <w:rPr>
            <w:rStyle w:val="Hyperlink"/>
          </w:rPr>
          <w:t xml:space="preserve">Stockebrandt, </w:t>
        </w:r>
        <w:r>
          <w:rPr>
            <w:rStyle w:val="Hyperlink"/>
          </w:rPr>
          <w:t>a.a.O.</w:t>
        </w:r>
        <w:r w:rsidRPr="00144A4A">
          <w:rPr>
            <w:rStyle w:val="Hyperlink"/>
          </w:rPr>
          <w:t>, § 2 Rn. 353 ff.</w:t>
        </w:r>
      </w:hyperlink>
    </w:p>
  </w:footnote>
  <w:footnote w:id="445">
    <w:p w14:paraId="3485E38A" w14:textId="3C447251" w:rsidR="006D1FD1" w:rsidRDefault="006D1FD1" w:rsidP="00F75EC6">
      <w:pPr>
        <w:pStyle w:val="Funotentext"/>
      </w:pPr>
      <w:r>
        <w:rPr>
          <w:rStyle w:val="Funotenzeichen"/>
        </w:rPr>
        <w:footnoteRef/>
      </w:r>
      <w:r>
        <w:t xml:space="preserve"> Das BVerwG führt insoweit schlicht aus, dass die Fraktion „entsprechend § 61 Nr. 2 und § 47 II 1 VwGO beteiligtenfähig und antragsberechtigt“ sei, s. </w:t>
      </w:r>
      <w:hyperlink r:id="rId318" w:history="1">
        <w:r w:rsidRPr="002C6743">
          <w:rPr>
            <w:rStyle w:val="Hyperlink"/>
          </w:rPr>
          <w:t>BVerwG, Urt. v. 27.6.2018, Az.: 10 CN 1.17</w:t>
        </w:r>
      </w:hyperlink>
      <w:r w:rsidRPr="002C6743">
        <w:t xml:space="preserve"> = NVwZ 2018, 1656 (1658, Rn. 30).</w:t>
      </w:r>
    </w:p>
  </w:footnote>
  <w:footnote w:id="446">
    <w:p w14:paraId="0F76E460" w14:textId="4FB8BCC7" w:rsidR="006D1FD1" w:rsidRPr="001E2F4B" w:rsidRDefault="006D1FD1" w:rsidP="00F75EC6">
      <w:pPr>
        <w:pStyle w:val="Funotentext"/>
      </w:pPr>
      <w:r w:rsidRPr="001E2F4B">
        <w:rPr>
          <w:rStyle w:val="Funotenzeichen"/>
        </w:rPr>
        <w:footnoteRef/>
      </w:r>
      <w:r w:rsidRPr="001E2F4B">
        <w:t xml:space="preserve"> Nach dem Sachverhalt, der der Entscheidung des BVerwG zugrunde lag, hatte der Magistrat der Stadt die Revision eingelegt. Dessen gesetzliche Befugnis, die </w:t>
      </w:r>
      <w:r>
        <w:t>Stadt</w:t>
      </w:r>
      <w:r w:rsidRPr="001E2F4B">
        <w:t xml:space="preserve"> im Außenverhältnis und damit auch gerichtlich zu vertreten (§ 62 III VwGO), sei gem. § 71 I 1 HGO unbeschränkt und </w:t>
      </w:r>
      <w:r>
        <w:t xml:space="preserve">auch </w:t>
      </w:r>
      <w:r w:rsidRPr="001E2F4B">
        <w:t>nicht beschränkbar. Die Frage, ob die Stadtverordnetenversammlung nach § 51 Nr. 18 HGO im Innenverhältnis über die Fortführung des Rechtsstreits zu entscheiden hatte, könne mithin dahinstehen. Im Übrigen liege jedenfalls auch keine rechtsmissbräuchliche Ausnutzung der Vertretungsbefugnis vor. Die Revision wurde hiernach wirksam durch den Magistrat eingelegt</w:t>
      </w:r>
      <w:r>
        <w:t xml:space="preserve">, s. </w:t>
      </w:r>
      <w:hyperlink r:id="rId319" w:history="1">
        <w:r w:rsidRPr="002C6743">
          <w:rPr>
            <w:rStyle w:val="Hyperlink"/>
          </w:rPr>
          <w:t>BVerwG, Urt. v. 27.6.2018, Az.: 10 CN 1.17</w:t>
        </w:r>
      </w:hyperlink>
      <w:r w:rsidRPr="002C6743">
        <w:t xml:space="preserve"> = NVwZ 2018,</w:t>
      </w:r>
      <w:r>
        <w:t xml:space="preserve"> 1656 (1656 f., Rn. 16)</w:t>
      </w:r>
      <w:r w:rsidRPr="001E2F4B">
        <w:t>.</w:t>
      </w:r>
    </w:p>
  </w:footnote>
  <w:footnote w:id="447">
    <w:p w14:paraId="5F23F60A" w14:textId="77777777" w:rsidR="006D1FD1" w:rsidRDefault="006D1FD1" w:rsidP="00F75EC6">
      <w:pPr>
        <w:pStyle w:val="Funotentext"/>
      </w:pPr>
      <w:r>
        <w:rPr>
          <w:rStyle w:val="Funotenzeichen"/>
        </w:rPr>
        <w:footnoteRef/>
      </w:r>
      <w:r>
        <w:t xml:space="preserve"> Beachte: „Behörden“ und „juristische Personen des öffentlichen Rechts“ können sich auch durch Beschäftigte mit Befähigung zum Richteramt vertreten lassen, § 67 IV 4 VwGO.</w:t>
      </w:r>
    </w:p>
  </w:footnote>
  <w:footnote w:id="448">
    <w:p w14:paraId="01A2BC32" w14:textId="5E730B53" w:rsidR="006D1FD1" w:rsidRDefault="006D1FD1" w:rsidP="00F75EC6">
      <w:pPr>
        <w:pStyle w:val="Funotentext"/>
      </w:pPr>
      <w:r>
        <w:rPr>
          <w:rStyle w:val="Funotenzeichen"/>
        </w:rPr>
        <w:footnoteRef/>
      </w:r>
      <w:r>
        <w:t xml:space="preserve"> S. dazu</w:t>
      </w:r>
      <w:r w:rsidRPr="001A34E4">
        <w:t xml:space="preserve"> </w:t>
      </w:r>
      <w:hyperlink r:id="rId320" w:history="1">
        <w:r>
          <w:rPr>
            <w:rStyle w:val="Hyperlink"/>
          </w:rPr>
          <w:t>Creemers</w:t>
        </w:r>
        <w:r w:rsidRPr="008C1818">
          <w:rPr>
            <w:rStyle w:val="Hyperlink"/>
          </w:rPr>
          <w:t>, in: Eisentraut, Verwaltungsrecht in der Klausur, 2020, § 7 Rn. 46</w:t>
        </w:r>
      </w:hyperlink>
      <w:r>
        <w:t xml:space="preserve"> sowie allgemein </w:t>
      </w:r>
      <w:hyperlink r:id="rId321" w:history="1">
        <w:r>
          <w:rPr>
            <w:rStyle w:val="Hyperlink"/>
          </w:rPr>
          <w:t>a.a.O.,</w:t>
        </w:r>
        <w:r w:rsidRPr="00144A4A">
          <w:rPr>
            <w:rStyle w:val="Hyperlink"/>
          </w:rPr>
          <w:t xml:space="preserve"> § 2 Rn. 442 ff.</w:t>
        </w:r>
      </w:hyperlink>
    </w:p>
  </w:footnote>
  <w:footnote w:id="449">
    <w:p w14:paraId="5B1A867B" w14:textId="77777777" w:rsidR="006D1FD1" w:rsidRPr="002C6743" w:rsidRDefault="006D1FD1" w:rsidP="00F75EC6">
      <w:pPr>
        <w:pStyle w:val="Funotentext"/>
      </w:pPr>
      <w:r w:rsidRPr="002C6743">
        <w:rPr>
          <w:rStyle w:val="Funotenzeichen"/>
        </w:rPr>
        <w:footnoteRef/>
      </w:r>
      <w:r w:rsidRPr="002C6743">
        <w:t xml:space="preserve"> Es ist ebenso vertretbar, mit Ziekow, in: Sodan/Ziekow, VwGO, 5. Aufl. 2018, § 47 Rn. 62 auf § 52 Nr. 5 VwGO abzustellen. Der Sitz des Normgebers bestimmt dann das örtlich zuständige OVG.</w:t>
      </w:r>
    </w:p>
  </w:footnote>
  <w:footnote w:id="450">
    <w:p w14:paraId="23A5FEFE" w14:textId="07066291" w:rsidR="006D1FD1" w:rsidRDefault="006D1FD1" w:rsidP="00F75EC6">
      <w:pPr>
        <w:pStyle w:val="Funotentext"/>
      </w:pPr>
      <w:r>
        <w:rPr>
          <w:rStyle w:val="Funotenzeichen"/>
        </w:rPr>
        <w:footnoteRef/>
      </w:r>
      <w:r>
        <w:t xml:space="preserve"> Vgl. </w:t>
      </w:r>
      <w:hyperlink r:id="rId322" w:history="1">
        <w:r>
          <w:rPr>
            <w:rStyle w:val="Hyperlink"/>
          </w:rPr>
          <w:t>Valentiner</w:t>
        </w:r>
        <w:r w:rsidRPr="008C1818">
          <w:rPr>
            <w:rStyle w:val="Hyperlink"/>
          </w:rPr>
          <w:t>, in: Eisentraut, Verwaltungsrecht in der Klausur, 2020, § 7 Rn. 54</w:t>
        </w:r>
      </w:hyperlink>
      <w:r>
        <w:t>.</w:t>
      </w:r>
    </w:p>
  </w:footnote>
  <w:footnote w:id="451">
    <w:p w14:paraId="32342134" w14:textId="79506D08" w:rsidR="006D1FD1" w:rsidRPr="003257E7" w:rsidRDefault="006D1FD1" w:rsidP="00F75EC6">
      <w:pPr>
        <w:pStyle w:val="Funotentext"/>
      </w:pPr>
      <w:r w:rsidRPr="003257E7">
        <w:rPr>
          <w:rStyle w:val="Funotenzeichen"/>
        </w:rPr>
        <w:footnoteRef/>
      </w:r>
      <w:r w:rsidRPr="003257E7">
        <w:t xml:space="preserve"> Beachte: Im Rahmen der Begründetheit kommt es – anders als bei § 113 I 1 und V VwGO – nicht darauf an, dass der Antragsteller in seinen Rechten verletzt ist (objektives Rechtsbeanstan</w:t>
      </w:r>
      <w:r>
        <w:t xml:space="preserve">dungsverfahren, s. </w:t>
      </w:r>
      <w:hyperlink r:id="rId323" w:history="1">
        <w:r w:rsidRPr="008C1818">
          <w:rPr>
            <w:rStyle w:val="Hyperlink"/>
          </w:rPr>
          <w:t>Kienle, in: Eisentraut, Verwaltungsrecht in der Klausur, 2020, § 7 Rn. 62</w:t>
        </w:r>
      </w:hyperlink>
      <w:r w:rsidRPr="003257E7">
        <w:t>).</w:t>
      </w:r>
    </w:p>
  </w:footnote>
  <w:footnote w:id="452">
    <w:p w14:paraId="17FCF4D0" w14:textId="58F59BEF" w:rsidR="006D1FD1" w:rsidRDefault="006D1FD1" w:rsidP="001A34E4">
      <w:pPr>
        <w:pStyle w:val="Funotentext"/>
      </w:pPr>
      <w:r>
        <w:rPr>
          <w:rStyle w:val="Funotenzeichen"/>
        </w:rPr>
        <w:footnoteRef/>
      </w:r>
      <w:r>
        <w:t xml:space="preserve"> Es ist ebenso gut vertretbar, den richtigen Antragsgegner in der Zulässigkeit (etwa bei den Beteiligten) abzuhandeln, s. dazu </w:t>
      </w:r>
      <w:hyperlink r:id="rId324" w:history="1">
        <w:r>
          <w:rPr>
            <w:rStyle w:val="Hyperlink"/>
          </w:rPr>
          <w:t>Creemers</w:t>
        </w:r>
        <w:r w:rsidRPr="008C1818">
          <w:rPr>
            <w:rStyle w:val="Hyperlink"/>
          </w:rPr>
          <w:t>, in: Eisentraut, Verwaltungsrecht in der Klausur, 2020, § 7 Rn. </w:t>
        </w:r>
        <w:r>
          <w:rPr>
            <w:rStyle w:val="Hyperlink"/>
          </w:rPr>
          <w:t>4</w:t>
        </w:r>
        <w:r w:rsidRPr="008C1818">
          <w:rPr>
            <w:rStyle w:val="Hyperlink"/>
          </w:rPr>
          <w:t>4</w:t>
        </w:r>
      </w:hyperlink>
      <w:r>
        <w:t>.</w:t>
      </w:r>
    </w:p>
  </w:footnote>
  <w:footnote w:id="453">
    <w:p w14:paraId="14EA93F2" w14:textId="1BA8ED40" w:rsidR="006D1FD1" w:rsidRDefault="006D1FD1" w:rsidP="00F75EC6">
      <w:pPr>
        <w:pStyle w:val="Funotentext"/>
      </w:pPr>
      <w:r>
        <w:rPr>
          <w:rStyle w:val="Funotenzeichen"/>
        </w:rPr>
        <w:footnoteRef/>
      </w:r>
      <w:r>
        <w:t xml:space="preserve"> S. ausführlich </w:t>
      </w:r>
      <w:hyperlink r:id="rId325" w:history="1">
        <w:r w:rsidRPr="008C1818">
          <w:rPr>
            <w:rStyle w:val="Hyperlink"/>
          </w:rPr>
          <w:t>Kienle, in: Eisentraut, Verwaltungsrecht in der Klausur, 2020, § 7 Rn. 70</w:t>
        </w:r>
      </w:hyperlink>
      <w:r>
        <w:t>.</w:t>
      </w:r>
    </w:p>
  </w:footnote>
  <w:footnote w:id="454">
    <w:p w14:paraId="063A6C68" w14:textId="77777777" w:rsidR="006D1FD1" w:rsidRPr="002C6743" w:rsidRDefault="006D1FD1" w:rsidP="00F75EC6">
      <w:pPr>
        <w:pStyle w:val="Funotentext"/>
      </w:pPr>
      <w:r w:rsidRPr="002C6743">
        <w:rPr>
          <w:rStyle w:val="Funotenzeichen"/>
        </w:rPr>
        <w:footnoteRef/>
      </w:r>
      <w:r w:rsidRPr="002C6743">
        <w:t xml:space="preserve"> S. etwa VGH Kassel, Urt. v. 24.11.2006, Az.: 7 N 1420.05, juris Rn. 37.</w:t>
      </w:r>
    </w:p>
  </w:footnote>
  <w:footnote w:id="455">
    <w:p w14:paraId="0A5D7BD2" w14:textId="304196CF" w:rsidR="006D1FD1" w:rsidRPr="002C6743" w:rsidRDefault="006D1FD1" w:rsidP="00F75EC6">
      <w:pPr>
        <w:pStyle w:val="Funotentext"/>
      </w:pPr>
      <w:r w:rsidRPr="002C6743">
        <w:rPr>
          <w:rStyle w:val="Funotenzeichen"/>
        </w:rPr>
        <w:footnoteRef/>
      </w:r>
      <w:r w:rsidRPr="002C6743">
        <w:t xml:space="preserve"> Vgl. dazu auch Ogorek, in: Dietlein/Ogorek, KommunalR Hessen, </w:t>
      </w:r>
      <w:r>
        <w:t xml:space="preserve">9. Ed., Stand: </w:t>
      </w:r>
      <w:r w:rsidRPr="002C6743">
        <w:t>1.</w:t>
      </w:r>
      <w:r>
        <w:t>5.2019</w:t>
      </w:r>
      <w:r w:rsidRPr="002C6743">
        <w:t xml:space="preserve">, § 36a </w:t>
      </w:r>
      <w:r>
        <w:t xml:space="preserve">HGO </w:t>
      </w:r>
      <w:r w:rsidRPr="002C6743">
        <w:t>Rn. 52.</w:t>
      </w:r>
    </w:p>
  </w:footnote>
  <w:footnote w:id="456">
    <w:p w14:paraId="3F63D6F2" w14:textId="77777777" w:rsidR="006D1FD1" w:rsidRPr="002C6743" w:rsidRDefault="006D1FD1" w:rsidP="00F75EC6">
      <w:pPr>
        <w:pStyle w:val="Funotentext"/>
      </w:pPr>
      <w:r w:rsidRPr="002C6743">
        <w:rPr>
          <w:rStyle w:val="Funotenzeichen"/>
        </w:rPr>
        <w:footnoteRef/>
      </w:r>
      <w:r w:rsidRPr="002C6743">
        <w:t xml:space="preserve"> Vgl. zum Ganzen auch </w:t>
      </w:r>
      <w:hyperlink r:id="rId326" w:history="1">
        <w:r w:rsidRPr="002C6743">
          <w:rPr>
            <w:rStyle w:val="Hyperlink"/>
          </w:rPr>
          <w:t>BVerwG, Urt. v. 5.7.2012, Az.: 8 C 22.11</w:t>
        </w:r>
      </w:hyperlink>
      <w:r w:rsidRPr="002C6743">
        <w:t xml:space="preserve"> = NVwZ 2013, 442 (443, Rn. 18 ff.).</w:t>
      </w:r>
    </w:p>
  </w:footnote>
  <w:footnote w:id="457">
    <w:p w14:paraId="7439C978" w14:textId="77777777" w:rsidR="006D1FD1" w:rsidRPr="002C6743" w:rsidRDefault="006D1FD1" w:rsidP="00F75EC6">
      <w:pPr>
        <w:pStyle w:val="Funotentext"/>
      </w:pPr>
      <w:r w:rsidRPr="002C6743">
        <w:rPr>
          <w:rStyle w:val="Funotenzeichen"/>
        </w:rPr>
        <w:footnoteRef/>
      </w:r>
      <w:r w:rsidRPr="002C6743">
        <w:t xml:space="preserve"> </w:t>
      </w:r>
      <w:hyperlink r:id="rId327" w:history="1">
        <w:r w:rsidRPr="002C6743">
          <w:rPr>
            <w:rStyle w:val="Hyperlink"/>
          </w:rPr>
          <w:t>BVerfG, Beschl. v. 13.7.2018, Az.: 1 BvR 1474.12 u.a.</w:t>
        </w:r>
      </w:hyperlink>
      <w:r w:rsidRPr="002C6743">
        <w:t xml:space="preserve"> = NVwZ 2018, 1788 = JZ 2019, 144 (147, Rn. 94).</w:t>
      </w:r>
    </w:p>
  </w:footnote>
  <w:footnote w:id="458">
    <w:p w14:paraId="67F2EC57" w14:textId="77777777" w:rsidR="006D1FD1" w:rsidRPr="002C6743" w:rsidRDefault="006D1FD1" w:rsidP="00F75EC6">
      <w:pPr>
        <w:pStyle w:val="Funotentext"/>
      </w:pPr>
      <w:r w:rsidRPr="002C6743">
        <w:rPr>
          <w:rStyle w:val="Funotenzeichen"/>
        </w:rPr>
        <w:footnoteRef/>
      </w:r>
      <w:r w:rsidRPr="002C6743">
        <w:t xml:space="preserve"> Baer/Markard, in: von Mangoldt/Klein/Starck, GG, 3. Aufl. 2018, Art. 3 Rn. 411 f.</w:t>
      </w:r>
    </w:p>
  </w:footnote>
  <w:footnote w:id="459">
    <w:p w14:paraId="6D61A73C" w14:textId="6E46F0B8" w:rsidR="006D1FD1" w:rsidRDefault="006D1FD1" w:rsidP="00F75EC6">
      <w:pPr>
        <w:pStyle w:val="Funotentext"/>
      </w:pPr>
      <w:r>
        <w:rPr>
          <w:rStyle w:val="Funotenzeichen"/>
        </w:rPr>
        <w:footnoteRef/>
      </w:r>
      <w:r>
        <w:t xml:space="preserve"> S. bereits BVerfG, Beschl. v. 16.1.1963, Az.: 1 BvR 316.60 = BVerfGE 15, 256 (262). Der Begriff „Konfusionsargument“ geht auf Karl August Bettermann, NJW 1969, 1321 zurück. Kritisch zuletzt Merten, DÖV 2019, 41 ff.</w:t>
      </w:r>
    </w:p>
  </w:footnote>
  <w:footnote w:id="460">
    <w:p w14:paraId="56599CA3" w14:textId="77777777" w:rsidR="006D1FD1" w:rsidRPr="002C6743" w:rsidRDefault="006D1FD1" w:rsidP="00F75EC6">
      <w:pPr>
        <w:pStyle w:val="Funotentext"/>
      </w:pPr>
      <w:r w:rsidRPr="002C6743">
        <w:rPr>
          <w:rStyle w:val="Funotenzeichen"/>
        </w:rPr>
        <w:footnoteRef/>
      </w:r>
      <w:r w:rsidRPr="002C6743">
        <w:t xml:space="preserve"> So auch Wüstenbecker, RÜ 2018, 740 (743).</w:t>
      </w:r>
    </w:p>
  </w:footnote>
  <w:footnote w:id="461">
    <w:p w14:paraId="46DAEC29" w14:textId="46770702" w:rsidR="006D1FD1" w:rsidRPr="002C6743" w:rsidRDefault="006D1FD1" w:rsidP="00F75EC6">
      <w:pPr>
        <w:pStyle w:val="Funotentext"/>
      </w:pPr>
      <w:r w:rsidRPr="002C6743">
        <w:rPr>
          <w:rStyle w:val="Funotenzeichen"/>
        </w:rPr>
        <w:footnoteRef/>
      </w:r>
      <w:r w:rsidRPr="002C6743">
        <w:t xml:space="preserve"> </w:t>
      </w:r>
      <w:hyperlink r:id="rId328" w:history="1">
        <w:r w:rsidRPr="002C6743">
          <w:rPr>
            <w:rStyle w:val="Hyperlink"/>
          </w:rPr>
          <w:t>BVerwG, Urt. v. 27.6.2018, Az.: 10 CN 1.17</w:t>
        </w:r>
      </w:hyperlink>
      <w:r w:rsidRPr="002C6743">
        <w:t xml:space="preserve"> = NVwZ 2018, 1656 (1658, Rn. 32 a.E.), vgl. auch </w:t>
      </w:r>
      <w:hyperlink r:id="rId329" w:history="1">
        <w:r w:rsidRPr="002C6743">
          <w:rPr>
            <w:rStyle w:val="Hyperlink"/>
          </w:rPr>
          <w:t>BVerfG, Beschl. v. 28.9.2004, Az.: 2 BvR 622.03</w:t>
        </w:r>
      </w:hyperlink>
      <w:r w:rsidRPr="002C6743">
        <w:t xml:space="preserve"> = NVwZ 2005, 82 (83).</w:t>
      </w:r>
    </w:p>
  </w:footnote>
  <w:footnote w:id="462">
    <w:p w14:paraId="57A2BDA8" w14:textId="5D40D191" w:rsidR="006D1FD1" w:rsidRPr="002C6743" w:rsidRDefault="006D1FD1" w:rsidP="00F75EC6">
      <w:pPr>
        <w:pStyle w:val="Funotentext"/>
      </w:pPr>
      <w:r w:rsidRPr="002C6743">
        <w:rPr>
          <w:rStyle w:val="Funotenzeichen"/>
        </w:rPr>
        <w:footnoteRef/>
      </w:r>
      <w:r w:rsidRPr="002C6743">
        <w:t xml:space="preserve"> Zur Prüfung von Gleichheitsgrundrechten s. </w:t>
      </w:r>
      <w:r>
        <w:t>z.B.</w:t>
      </w:r>
      <w:r w:rsidRPr="002C6743">
        <w:t xml:space="preserve"> Papier/Krönke, Grundkurs ÖR 2 – Grundrechte, 3. Aufl. 2018, R</w:t>
      </w:r>
      <w:r>
        <w:t xml:space="preserve">n. 210 ff. (mit Prüfungsschema </w:t>
      </w:r>
      <w:r w:rsidRPr="002C6743">
        <w:t>S. 120).</w:t>
      </w:r>
    </w:p>
  </w:footnote>
  <w:footnote w:id="463">
    <w:p w14:paraId="1952AAED" w14:textId="77777777" w:rsidR="006D1FD1" w:rsidRPr="002C6743" w:rsidRDefault="006D1FD1" w:rsidP="00F75EC6">
      <w:pPr>
        <w:pStyle w:val="Funotentext"/>
      </w:pPr>
      <w:r w:rsidRPr="002C6743">
        <w:rPr>
          <w:rStyle w:val="Funotenzeichen"/>
        </w:rPr>
        <w:footnoteRef/>
      </w:r>
      <w:r w:rsidRPr="002C6743">
        <w:t xml:space="preserve"> Vgl. zum Ganzen </w:t>
      </w:r>
      <w:hyperlink r:id="rId330" w:history="1">
        <w:r w:rsidRPr="002C6743">
          <w:rPr>
            <w:rStyle w:val="Hyperlink"/>
          </w:rPr>
          <w:t>BVerwG, Urt. v. 27.6.2018, Az.: 10 CN 1.17</w:t>
        </w:r>
      </w:hyperlink>
      <w:r w:rsidRPr="002C6743">
        <w:t xml:space="preserve"> = NVwZ 2018, 1656 (1659, Rn. 38).</w:t>
      </w:r>
    </w:p>
  </w:footnote>
  <w:footnote w:id="464">
    <w:p w14:paraId="13741839" w14:textId="77777777" w:rsidR="006D1FD1" w:rsidRPr="002C6743" w:rsidRDefault="006D1FD1" w:rsidP="00F75EC6">
      <w:pPr>
        <w:pStyle w:val="Funotentext"/>
      </w:pPr>
      <w:r w:rsidRPr="002C6743">
        <w:rPr>
          <w:rStyle w:val="Funotenzeichen"/>
        </w:rPr>
        <w:footnoteRef/>
      </w:r>
      <w:r w:rsidRPr="002C6743">
        <w:t xml:space="preserve"> </w:t>
      </w:r>
      <w:hyperlink r:id="rId331" w:history="1">
        <w:r w:rsidRPr="002C6743">
          <w:rPr>
            <w:rStyle w:val="Hyperlink"/>
          </w:rPr>
          <w:t>BVerwG, Urt. v. 27.6.2018, Az.: 10 CN 1.17</w:t>
        </w:r>
      </w:hyperlink>
      <w:r w:rsidRPr="002C6743">
        <w:t xml:space="preserve"> = NVwZ 2018, 1656 (1659, Rn. 38).</w:t>
      </w:r>
    </w:p>
  </w:footnote>
  <w:footnote w:id="465">
    <w:p w14:paraId="67D1F92E" w14:textId="278CEB35" w:rsidR="006D1FD1" w:rsidRPr="002C6743" w:rsidRDefault="006D1FD1" w:rsidP="00F75EC6">
      <w:pPr>
        <w:pStyle w:val="Funotentext"/>
      </w:pPr>
      <w:r w:rsidRPr="002C6743">
        <w:rPr>
          <w:rStyle w:val="Funotenzeichen"/>
        </w:rPr>
        <w:footnoteRef/>
      </w:r>
      <w:r w:rsidRPr="002C6743">
        <w:t xml:space="preserve"> </w:t>
      </w:r>
      <w:hyperlink r:id="rId332" w:history="1">
        <w:r w:rsidRPr="002C6743">
          <w:rPr>
            <w:rStyle w:val="Hyperlink"/>
          </w:rPr>
          <w:t>BVerfG, Urt. v. 17.1.2017, Az.: 2 BvB 1.13</w:t>
        </w:r>
      </w:hyperlink>
      <w:r w:rsidRPr="002C6743">
        <w:t xml:space="preserve"> = NJW 2017, 611 (614, Rn. 418).</w:t>
      </w:r>
      <w:r>
        <w:t xml:space="preserve"> S. </w:t>
      </w:r>
      <w:r w:rsidRPr="002C6743">
        <w:t xml:space="preserve">dazu die Entscheidungsbesprechungen von Sachs (JuS 2017, 377) und Hillgruber (JA 2017, 398); ferner </w:t>
      </w:r>
      <w:hyperlink r:id="rId333" w:history="1">
        <w:r>
          <w:rPr>
            <w:rStyle w:val="Hyperlink"/>
          </w:rPr>
          <w:t xml:space="preserve">Piecha, </w:t>
        </w:r>
        <w:r w:rsidRPr="00B0379E">
          <w:rPr>
            <w:rStyle w:val="Hyperlink"/>
          </w:rPr>
          <w:t>JuWissBlog Nr. 8/2017 v. 24.1.2017</w:t>
        </w:r>
      </w:hyperlink>
      <w:r w:rsidRPr="002C6743">
        <w:t xml:space="preserve">; </w:t>
      </w:r>
      <w:hyperlink r:id="rId334" w:history="1">
        <w:r w:rsidRPr="00B0379E">
          <w:rPr>
            <w:rStyle w:val="Hyperlink"/>
          </w:rPr>
          <w:t>Jürgensen/Ramson, JuWissBlog Nr. 9/2017 v. 25.1.2017</w:t>
        </w:r>
      </w:hyperlink>
      <w:r w:rsidRPr="002C6743">
        <w:t>.</w:t>
      </w:r>
    </w:p>
  </w:footnote>
  <w:footnote w:id="466">
    <w:p w14:paraId="7D513592" w14:textId="77777777" w:rsidR="006D1FD1" w:rsidRPr="002C6743" w:rsidRDefault="006D1FD1" w:rsidP="00F75EC6">
      <w:pPr>
        <w:pStyle w:val="Funotentext"/>
      </w:pPr>
      <w:r w:rsidRPr="002C6743">
        <w:rPr>
          <w:rStyle w:val="Funotenzeichen"/>
        </w:rPr>
        <w:footnoteRef/>
      </w:r>
      <w:r w:rsidRPr="002C6743">
        <w:t xml:space="preserve"> </w:t>
      </w:r>
      <w:hyperlink r:id="rId335" w:history="1">
        <w:r w:rsidRPr="002C6743">
          <w:rPr>
            <w:rStyle w:val="Hyperlink"/>
          </w:rPr>
          <w:t>BVerfG, Urt. v. 17.1.2017, Az.: 2 BvB 1.13</w:t>
        </w:r>
      </w:hyperlink>
      <w:r w:rsidRPr="002C6743">
        <w:t xml:space="preserve"> = NJW 2017, 611 – Leitsatz 3.</w:t>
      </w:r>
    </w:p>
  </w:footnote>
  <w:footnote w:id="467">
    <w:p w14:paraId="2F811667" w14:textId="77777777" w:rsidR="006D1FD1" w:rsidRPr="002C6743" w:rsidRDefault="006D1FD1" w:rsidP="00F75EC6">
      <w:pPr>
        <w:pStyle w:val="Funotentext"/>
      </w:pPr>
      <w:r w:rsidRPr="002C6743">
        <w:rPr>
          <w:rStyle w:val="Funotenzeichen"/>
        </w:rPr>
        <w:footnoteRef/>
      </w:r>
      <w:r w:rsidRPr="002C6743">
        <w:t xml:space="preserve"> </w:t>
      </w:r>
      <w:hyperlink r:id="rId336" w:history="1">
        <w:r w:rsidRPr="002C6743">
          <w:rPr>
            <w:rStyle w:val="Hyperlink"/>
          </w:rPr>
          <w:t>BVerfG, Urt. v. 17.8.1956, Az.: 1 BvB 2.51</w:t>
        </w:r>
      </w:hyperlink>
      <w:r w:rsidRPr="002C6743">
        <w:t xml:space="preserve"> = BVerfGE 5, 85 (138) – KPD-Verbot.</w:t>
      </w:r>
    </w:p>
  </w:footnote>
  <w:footnote w:id="468">
    <w:p w14:paraId="06454AB5" w14:textId="77777777" w:rsidR="006D1FD1" w:rsidRPr="002C6743" w:rsidRDefault="006D1FD1" w:rsidP="00F75EC6">
      <w:pPr>
        <w:pStyle w:val="Funotentext"/>
      </w:pPr>
      <w:r w:rsidRPr="002C6743">
        <w:rPr>
          <w:rStyle w:val="Funotenzeichen"/>
        </w:rPr>
        <w:footnoteRef/>
      </w:r>
      <w:r w:rsidRPr="002C6743">
        <w:t xml:space="preserve"> </w:t>
      </w:r>
      <w:hyperlink r:id="rId337" w:history="1">
        <w:r w:rsidRPr="002C6743">
          <w:rPr>
            <w:rStyle w:val="Hyperlink"/>
          </w:rPr>
          <w:t>BVerfG, Urt. v. 17.1.2017, Az.: 2 BvB 1.13</w:t>
        </w:r>
      </w:hyperlink>
      <w:r w:rsidRPr="002C6743">
        <w:t xml:space="preserve"> = NJW 2017, 611 (616, Rn. 514).</w:t>
      </w:r>
    </w:p>
  </w:footnote>
  <w:footnote w:id="469">
    <w:p w14:paraId="2B4FBAB3" w14:textId="77777777" w:rsidR="006D1FD1" w:rsidRPr="002C6743" w:rsidRDefault="006D1FD1" w:rsidP="00F75EC6">
      <w:pPr>
        <w:pStyle w:val="Funotentext"/>
      </w:pPr>
      <w:r w:rsidRPr="002C6743">
        <w:rPr>
          <w:rStyle w:val="Funotenzeichen"/>
        </w:rPr>
        <w:footnoteRef/>
      </w:r>
      <w:r w:rsidRPr="002C6743">
        <w:t xml:space="preserve"> Vgl. dazu etwa Streinz, in: von Mangoldt/Klein/Starck, GG, 7. Aufl. 2018, Art. 21 Rn. 215.</w:t>
      </w:r>
    </w:p>
  </w:footnote>
  <w:footnote w:id="470">
    <w:p w14:paraId="2CBA40AB" w14:textId="77777777" w:rsidR="006D1FD1" w:rsidRPr="002C6743" w:rsidRDefault="006D1FD1" w:rsidP="00F75EC6">
      <w:pPr>
        <w:pStyle w:val="Funotentext"/>
      </w:pPr>
      <w:r w:rsidRPr="002C6743">
        <w:rPr>
          <w:rStyle w:val="Funotenzeichen"/>
        </w:rPr>
        <w:footnoteRef/>
      </w:r>
      <w:r w:rsidRPr="002C6743">
        <w:t xml:space="preserve"> Vgl. Grzeszick/Rauber, in: Schmidt-Bleibtreu/Hofmann/Henneke, GG, 14. Aufl. 2017, Art. 21 Rn. 121, 144.</w:t>
      </w:r>
      <w:r w:rsidRPr="00A32B6C">
        <w:t xml:space="preserve"> Die Zuständigkeit des BVerfG folgt aus Art. 21 I</w:t>
      </w:r>
      <w:r>
        <w:t>V</w:t>
      </w:r>
      <w:r w:rsidRPr="00A32B6C">
        <w:t xml:space="preserve"> Alt. 2 GG i.V.m. § 13 Nr. 2a, § 46a BVerfGG. Das neue Verfahren über den Ausschluss von der staatlichen Parteienfinanzierung ist somit selbständig und vom „klassischen“ Parteiverbotsverfahren (Art. 21 I</w:t>
      </w:r>
      <w:r>
        <w:t>V</w:t>
      </w:r>
      <w:r w:rsidRPr="00A32B6C">
        <w:t xml:space="preserve"> Alt. 1 GG i.V.m. § 13 Nr. 2, § 46 BVerfGG) zu unterscheiden.</w:t>
      </w:r>
    </w:p>
  </w:footnote>
  <w:footnote w:id="471">
    <w:p w14:paraId="004F9938" w14:textId="5B3001D8" w:rsidR="006D1FD1" w:rsidRPr="00ED0432" w:rsidRDefault="006D1FD1" w:rsidP="00F75EC6">
      <w:pPr>
        <w:pStyle w:val="Funotentext"/>
      </w:pPr>
      <w:r w:rsidRPr="00ED0432">
        <w:rPr>
          <w:rStyle w:val="Funotenzeichen"/>
        </w:rPr>
        <w:footnoteRef/>
      </w:r>
      <w:r w:rsidRPr="00ED0432">
        <w:t xml:space="preserve"> Das Parteienprivileg greift nicht nur i.R.d. Finanzierung, sondern bspw. auch bei der Zulassung zu öffentlichen Einrichtungen (</w:t>
      </w:r>
      <w:r>
        <w:t>z.B.</w:t>
      </w:r>
      <w:r w:rsidRPr="00ED0432">
        <w:t xml:space="preserve"> Art. 21 BayGO; § 14 II GemO RP</w:t>
      </w:r>
      <w:r>
        <w:t xml:space="preserve">, s. dazu </w:t>
      </w:r>
      <w:hyperlink r:id="rId338" w:history="1">
        <w:r w:rsidRPr="005B4212">
          <w:rPr>
            <w:rStyle w:val="Hyperlink"/>
          </w:rPr>
          <w:t>Piecha, in: Eisentraut, Verwaltungsrecht in der Klausur, 2020, § 3 Rn. 160 ff.</w:t>
        </w:r>
      </w:hyperlink>
      <w:r w:rsidRPr="00ED0432">
        <w:t>). Ein „Klassiker“ ist der sog. Stadthallen-Fall. Jüngst hatte die Stadt Wetzlar bundesweit für Schlagzeilen gesorgt, indem sie sich bis zuletzt vehement weigerte, der NPD die örtliche Stadthalle für eine Wahlkampfveranstaltung zur Verfügung zu stellen</w:t>
      </w:r>
      <w:r>
        <w:t xml:space="preserve">, vgl. dazu </w:t>
      </w:r>
      <w:hyperlink r:id="rId339" w:history="1">
        <w:r w:rsidRPr="00B0379E">
          <w:rPr>
            <w:rStyle w:val="Hyperlink"/>
          </w:rPr>
          <w:t>Ferreau, JuWissBlog Nr. 26/2018 v. 29.3.2018</w:t>
        </w:r>
      </w:hyperlink>
      <w:r>
        <w:t xml:space="preserve">. Der Weg durch die Instanzen: einstweilige Anordnung des VG Gießen, Beschl. v. 20.12.2017, Az.: 8 L 9187.17.GI = BeckRS 2017, 144110; Beschwerde zurückgewiesen durch VGH Kassel, Beschl. v. 23.2.2018, Az.: 8 B 23/18 = BeckRS 2018, 1847 = RÜ 2018, 328 (Wüstenbecker); im Vollstreckungsverfahren: VG Gießen, Beschl. v. 22.3.2018, Az.: 8 N 1539.18.GI = BeckRS 2018, 5474 (Zwangsgeldandrohung); sodann VGH Kassel, Beschl. v. 23.3.2018, Az.: 8 E 555.18 = BeckRS 2018, 5473 und schließlich </w:t>
      </w:r>
      <w:hyperlink r:id="rId340" w:history="1">
        <w:r w:rsidRPr="00B001AB">
          <w:rPr>
            <w:rStyle w:val="Hyperlink"/>
          </w:rPr>
          <w:t>BVerfG, Beschl. v. 24.3.2018, Az.: 1 BvQ 18.18</w:t>
        </w:r>
      </w:hyperlink>
      <w:r>
        <w:rPr>
          <w:rStyle w:val="Hyperlink"/>
        </w:rPr>
        <w:t>.</w:t>
      </w:r>
    </w:p>
  </w:footnote>
  <w:footnote w:id="472">
    <w:p w14:paraId="08B5BC8F" w14:textId="77777777" w:rsidR="006D1FD1" w:rsidRPr="00ED0432" w:rsidRDefault="006D1FD1" w:rsidP="00F75EC6">
      <w:pPr>
        <w:pStyle w:val="Funotentext"/>
      </w:pPr>
      <w:r w:rsidRPr="00ED0432">
        <w:rPr>
          <w:rStyle w:val="Funotenzeichen"/>
        </w:rPr>
        <w:footnoteRef/>
      </w:r>
      <w:r w:rsidRPr="00ED0432">
        <w:t xml:space="preserve"> Die Entscheidung des BVerwG rekurriert zuvörderst auf Art. 21 II GG a.F., da der Sachverhalt nach der Rechtslage vor Änderung des Grundgesetzes zu entscheiden war. Diese, im Wesentlichen unverändert gebliebene Vorschrift verbiete jede rechtliche Anknüpfung an die verfassungsfeindliche Partei und jede darauf gestützte strafrechtliche oder administrative Behinderung ihrer politischen Tätigkeit bis das BVerfG ihre Verfassungswidrigkeit feststellt. In einem obiter dictum nahm das BVerwG einem erneuten Antrag nach der Verfassungsänderung aber bereits den „Wind aus den Segeln“: Auch die Neufassung des Art. 21 GG vermöge die angegriffene Vorschrift nicht zu rechtfertigen, s. </w:t>
      </w:r>
      <w:hyperlink r:id="rId341" w:history="1">
        <w:r w:rsidRPr="00ED0432">
          <w:rPr>
            <w:rStyle w:val="Hyperlink"/>
          </w:rPr>
          <w:t>BVerwG, Urt. v. 27.6.2018, Az.: 10 CN 1.17</w:t>
        </w:r>
      </w:hyperlink>
      <w:r w:rsidRPr="00ED0432">
        <w:t xml:space="preserve"> = NVwZ 2018, 1656 (1659 f., Rn. 41-44).</w:t>
      </w:r>
    </w:p>
  </w:footnote>
  <w:footnote w:id="473">
    <w:p w14:paraId="3F0F6ACE" w14:textId="77777777" w:rsidR="006D1FD1" w:rsidRPr="002C6743" w:rsidRDefault="006D1FD1" w:rsidP="00F75EC6">
      <w:pPr>
        <w:pStyle w:val="Funotentext"/>
      </w:pPr>
      <w:r w:rsidRPr="002C6743">
        <w:rPr>
          <w:rStyle w:val="Funotenzeichen"/>
        </w:rPr>
        <w:footnoteRef/>
      </w:r>
      <w:r w:rsidRPr="002C6743">
        <w:t xml:space="preserve"> Vgl. </w:t>
      </w:r>
      <w:hyperlink r:id="rId342" w:history="1">
        <w:r w:rsidRPr="002C6743">
          <w:rPr>
            <w:rStyle w:val="Hyperlink"/>
          </w:rPr>
          <w:t>BVerfG, Urt. v. 19.7.1966, Az.: 2 BvF 1.65</w:t>
        </w:r>
      </w:hyperlink>
      <w:r w:rsidRPr="002C6743">
        <w:t xml:space="preserve"> = BVerfGE 20, 56 (120) – Parteienfinanzierung I.</w:t>
      </w:r>
    </w:p>
  </w:footnote>
  <w:footnote w:id="474">
    <w:p w14:paraId="4D81332C" w14:textId="77777777" w:rsidR="006D1FD1" w:rsidRPr="002C6743" w:rsidRDefault="006D1FD1" w:rsidP="00F75EC6">
      <w:pPr>
        <w:pStyle w:val="Funotentext"/>
      </w:pPr>
      <w:r w:rsidRPr="002C6743">
        <w:rPr>
          <w:rStyle w:val="Funotenzeichen"/>
        </w:rPr>
        <w:footnoteRef/>
      </w:r>
      <w:r w:rsidRPr="002C6743">
        <w:t xml:space="preserve"> </w:t>
      </w:r>
      <w:hyperlink r:id="rId343" w:history="1">
        <w:r w:rsidRPr="002C6743">
          <w:rPr>
            <w:rStyle w:val="Hyperlink"/>
          </w:rPr>
          <w:t>BVerfG, Urt. v. 19.7.1966, Az.: 2 BvF 1.65</w:t>
        </w:r>
      </w:hyperlink>
      <w:r w:rsidRPr="002C6743">
        <w:t xml:space="preserve"> = BVerfGE 20, 56 – Leitsatz 5.</w:t>
      </w:r>
    </w:p>
  </w:footnote>
  <w:footnote w:id="475">
    <w:p w14:paraId="70950170" w14:textId="77777777" w:rsidR="006D1FD1" w:rsidRPr="002C6743" w:rsidRDefault="006D1FD1" w:rsidP="00F75EC6">
      <w:pPr>
        <w:pStyle w:val="Funotentext"/>
      </w:pPr>
      <w:r w:rsidRPr="002C6743">
        <w:rPr>
          <w:rStyle w:val="Funotenzeichen"/>
        </w:rPr>
        <w:footnoteRef/>
      </w:r>
      <w:r w:rsidRPr="002C6743">
        <w:t xml:space="preserve"> </w:t>
      </w:r>
      <w:hyperlink r:id="rId344" w:history="1">
        <w:r w:rsidRPr="002C6743">
          <w:rPr>
            <w:rStyle w:val="Hyperlink"/>
          </w:rPr>
          <w:t>BVerfG, Urt. v. 9.4.1992, Az.: 2 BvE 2.89</w:t>
        </w:r>
      </w:hyperlink>
      <w:r w:rsidRPr="002C6743">
        <w:t xml:space="preserve"> = BVerfGE 85, 264 (287 f.) – Parteienfinanzierung II. </w:t>
      </w:r>
    </w:p>
  </w:footnote>
  <w:footnote w:id="476">
    <w:p w14:paraId="1F651974" w14:textId="77777777" w:rsidR="006D1FD1" w:rsidRPr="002C6743" w:rsidRDefault="006D1FD1" w:rsidP="00F75EC6">
      <w:pPr>
        <w:pStyle w:val="Funotentext"/>
      </w:pPr>
      <w:r w:rsidRPr="002C6743">
        <w:rPr>
          <w:rStyle w:val="Funotenzeichen"/>
        </w:rPr>
        <w:footnoteRef/>
      </w:r>
      <w:r w:rsidRPr="002C6743">
        <w:t xml:space="preserve"> </w:t>
      </w:r>
      <w:hyperlink r:id="rId345" w:history="1">
        <w:r w:rsidRPr="002C6743">
          <w:rPr>
            <w:rStyle w:val="Hyperlink"/>
          </w:rPr>
          <w:t>BVerfG, Urt. v. 9.4.1992, Az.: 2 BvE 2.89</w:t>
        </w:r>
      </w:hyperlink>
      <w:r w:rsidRPr="002C6743">
        <w:t xml:space="preserve"> = BVerfGE 85, 264 (288).</w:t>
      </w:r>
    </w:p>
  </w:footnote>
  <w:footnote w:id="477">
    <w:p w14:paraId="048E430C" w14:textId="77777777" w:rsidR="006D1FD1" w:rsidRPr="002C6743" w:rsidRDefault="006D1FD1" w:rsidP="00F75EC6">
      <w:pPr>
        <w:pStyle w:val="Funotentext"/>
      </w:pPr>
      <w:r w:rsidRPr="002C6743">
        <w:rPr>
          <w:rStyle w:val="Funotenzeichen"/>
        </w:rPr>
        <w:footnoteRef/>
      </w:r>
      <w:r w:rsidRPr="002C6743">
        <w:t xml:space="preserve"> </w:t>
      </w:r>
      <w:hyperlink r:id="rId346" w:history="1">
        <w:r w:rsidRPr="002C6743">
          <w:rPr>
            <w:rStyle w:val="Hyperlink"/>
          </w:rPr>
          <w:t>BVerfG, Urt. v. 19.7.1966, Az.: 2 BvF 1.65</w:t>
        </w:r>
      </w:hyperlink>
      <w:r w:rsidRPr="002C6743">
        <w:t xml:space="preserve"> = BVerfGE 20, 56 (104)</w:t>
      </w:r>
      <w:r>
        <w:t>; vgl. auch Morlok, ZRP 2017, 66 (67) m.w.N</w:t>
      </w:r>
      <w:r w:rsidRPr="002C6743">
        <w:t>.</w:t>
      </w:r>
    </w:p>
  </w:footnote>
  <w:footnote w:id="478">
    <w:p w14:paraId="60AED6E9" w14:textId="77777777" w:rsidR="006D1FD1" w:rsidRPr="002C6743" w:rsidRDefault="006D1FD1" w:rsidP="00F75EC6">
      <w:pPr>
        <w:pStyle w:val="Funotentext"/>
      </w:pPr>
      <w:r w:rsidRPr="002C6743">
        <w:rPr>
          <w:rStyle w:val="Funotenzeichen"/>
        </w:rPr>
        <w:footnoteRef/>
      </w:r>
      <w:r w:rsidRPr="002C6743">
        <w:t xml:space="preserve"> Vgl. dazu etwa Streinz, in: von Mangoldt/Klein/Starck, GG, 7. Aufl. 2018, Art. 21 Rn. 193.</w:t>
      </w:r>
    </w:p>
  </w:footnote>
  <w:footnote w:id="479">
    <w:p w14:paraId="2E778149" w14:textId="77777777" w:rsidR="006D1FD1" w:rsidRPr="002C6743" w:rsidRDefault="006D1FD1" w:rsidP="00F75EC6">
      <w:pPr>
        <w:pStyle w:val="Funotentext"/>
      </w:pPr>
      <w:r w:rsidRPr="002C6743">
        <w:rPr>
          <w:rStyle w:val="Funotenzeichen"/>
        </w:rPr>
        <w:footnoteRef/>
      </w:r>
      <w:r w:rsidRPr="002C6743">
        <w:t xml:space="preserve"> So Janson, NVwZ 2018, 1660 (1661) Anm. zu </w:t>
      </w:r>
      <w:hyperlink r:id="rId347" w:history="1">
        <w:r w:rsidRPr="002C6743">
          <w:rPr>
            <w:rStyle w:val="Hyperlink"/>
          </w:rPr>
          <w:t>BVerwG, Urt. v. 27.6.2018, Az.: 10 CN 1.17</w:t>
        </w:r>
      </w:hyperlink>
      <w:r w:rsidRPr="002C6743">
        <w:t>.</w:t>
      </w:r>
    </w:p>
  </w:footnote>
  <w:footnote w:id="480">
    <w:p w14:paraId="39A7A2CA" w14:textId="77777777" w:rsidR="006D1FD1" w:rsidRDefault="006D1FD1" w:rsidP="00F75EC6">
      <w:pPr>
        <w:pStyle w:val="Funotentext"/>
      </w:pPr>
      <w:r>
        <w:rPr>
          <w:rStyle w:val="Funotenzeichen"/>
        </w:rPr>
        <w:footnoteRef/>
      </w:r>
      <w:r>
        <w:t xml:space="preserve"> Morlok, ZRP 2017, 66 (67).</w:t>
      </w:r>
    </w:p>
  </w:footnote>
  <w:footnote w:id="481">
    <w:p w14:paraId="6F1CEDFB" w14:textId="77777777" w:rsidR="006D1FD1" w:rsidRPr="002C6743" w:rsidRDefault="006D1FD1" w:rsidP="00F75EC6">
      <w:pPr>
        <w:pStyle w:val="Funotentext"/>
      </w:pPr>
      <w:r w:rsidRPr="002C6743">
        <w:rPr>
          <w:rStyle w:val="Funotenzeichen"/>
        </w:rPr>
        <w:footnoteRef/>
      </w:r>
      <w:r w:rsidRPr="002C6743">
        <w:t xml:space="preserve"> </w:t>
      </w:r>
      <w:r>
        <w:t xml:space="preserve">So </w:t>
      </w:r>
      <w:r w:rsidRPr="002C6743">
        <w:t>Janson, NVwZ 2018, 1660 (1661).</w:t>
      </w:r>
    </w:p>
  </w:footnote>
  <w:footnote w:id="482">
    <w:p w14:paraId="43E2A4C7" w14:textId="77777777" w:rsidR="006D1FD1" w:rsidRPr="00ED0432" w:rsidRDefault="006D1FD1" w:rsidP="00F75EC6">
      <w:pPr>
        <w:pStyle w:val="Funotentext"/>
      </w:pPr>
      <w:r w:rsidRPr="00ED0432">
        <w:rPr>
          <w:rStyle w:val="Funotenzeichen"/>
        </w:rPr>
        <w:footnoteRef/>
      </w:r>
      <w:r w:rsidRPr="00ED0432">
        <w:t xml:space="preserve"> Endlich verstoße die Satzungsbestimmung, so das BVerwG, auch gegen Art. 9 II GG, soweit sie Fraktionen aus Vertretern verfassungsfeindlicher (Wähler-)Vereinigungen ungleich behandelt. Art. 9 GG schließe (wie Art. 21 II GG a.F.) jede Benachteiligung von Fraktionen wegen einer Zugehörigkeit ihrer Mitglieder zu verfassungsfeindlichen Vereinigungen aus, bis gem. § 3 des Vereinsgesetzes in einem förmlichen Verfahren festgestellt wird, dass der Verein gem. Art. 9 II GG verboten ist. Da sich hinter der N-Fraktion aber (laut Sachverhalt) eine Partei und nicht eine Wählervereinigung verbirgt, sind Ausführungen zu Art. 9 GG nicht veranlasst.</w:t>
      </w:r>
    </w:p>
  </w:footnote>
  <w:footnote w:id="483">
    <w:p w14:paraId="47CDB1C9" w14:textId="443698BB" w:rsidR="006D1FD1" w:rsidRDefault="006D1FD1">
      <w:pPr>
        <w:pStyle w:val="Funotentext"/>
      </w:pPr>
      <w:r>
        <w:rPr>
          <w:rStyle w:val="Funotenzeichen"/>
        </w:rPr>
        <w:footnoteRef/>
      </w:r>
      <w:r>
        <w:t xml:space="preserve"> Ausführlich zur Eröffnung des Verwaltungsrechtswegs </w:t>
      </w:r>
      <w:hyperlink r:id="rId348" w:history="1">
        <w:r w:rsidRPr="00C87B0D">
          <w:rPr>
            <w:rStyle w:val="Hyperlink"/>
          </w:rPr>
          <w:t>Eisentraut, in: Eisentraut, Veraltungsrecht in der Klausur, 2020, § 1 Rn. 162 ff.</w:t>
        </w:r>
      </w:hyperlink>
    </w:p>
  </w:footnote>
  <w:footnote w:id="484">
    <w:p w14:paraId="49C77D2B" w14:textId="5DAB0007" w:rsidR="006D1FD1" w:rsidRDefault="006D1FD1" w:rsidP="003F18F9">
      <w:pPr>
        <w:pStyle w:val="Funotentext"/>
      </w:pPr>
      <w:r>
        <w:rPr>
          <w:rStyle w:val="Funotenzeichen"/>
        </w:rPr>
        <w:footnoteRef/>
      </w:r>
      <w:r>
        <w:t xml:space="preserve"> Ausführlich zum Antrag nach § 80 V VwGO als statthafter Antragsart </w:t>
      </w:r>
      <w:hyperlink r:id="rId349" w:history="1">
        <w:r w:rsidRPr="005B4212">
          <w:rPr>
            <w:rStyle w:val="Hyperlink"/>
          </w:rPr>
          <w:t>Heilmann, in: Eisentraut, Verwaltungsrecht in der Klausur, 2020, § 8 Rn. 2 ff.</w:t>
        </w:r>
      </w:hyperlink>
    </w:p>
  </w:footnote>
  <w:footnote w:id="485">
    <w:p w14:paraId="183BD9F5" w14:textId="6D524399" w:rsidR="006D1FD1" w:rsidRDefault="006D1FD1">
      <w:pPr>
        <w:pStyle w:val="Funotentext"/>
      </w:pPr>
      <w:r>
        <w:rPr>
          <w:rStyle w:val="Funotenzeichen"/>
        </w:rPr>
        <w:footnoteRef/>
      </w:r>
      <w:r>
        <w:t xml:space="preserve"> Ausführlich zur Antragsbefugnis beim Antrag nach § 80 V VwGO </w:t>
      </w:r>
      <w:hyperlink r:id="rId350" w:history="1">
        <w:r w:rsidRPr="005B4212">
          <w:rPr>
            <w:rStyle w:val="Hyperlink"/>
          </w:rPr>
          <w:t>Burbach, in: Eisentraut, Verwaltungsrecht in der Klausur, 2020, § 8 Rn. 30 f.</w:t>
        </w:r>
      </w:hyperlink>
    </w:p>
  </w:footnote>
  <w:footnote w:id="486">
    <w:p w14:paraId="5B0D6765" w14:textId="6C601C7B" w:rsidR="006D1FD1" w:rsidRDefault="006D1FD1">
      <w:pPr>
        <w:pStyle w:val="Funotentext"/>
      </w:pPr>
      <w:r>
        <w:rPr>
          <w:rStyle w:val="Funotenzeichen"/>
        </w:rPr>
        <w:footnoteRef/>
      </w:r>
      <w:r>
        <w:t xml:space="preserve"> Ausführlich zu den Beteiligten beim Antrag nach § 80 V VwGO </w:t>
      </w:r>
      <w:hyperlink r:id="rId351" w:history="1">
        <w:r w:rsidRPr="005B4212">
          <w:rPr>
            <w:rStyle w:val="Hyperlink"/>
          </w:rPr>
          <w:t>Creemers, in: Eisentraut, Verwaltungsrecht in der Klausur, 2020, § 8 Rn. 34 ff.</w:t>
        </w:r>
      </w:hyperlink>
    </w:p>
  </w:footnote>
  <w:footnote w:id="487">
    <w:p w14:paraId="4123676C" w14:textId="4BE9E1F0" w:rsidR="006D1FD1" w:rsidRDefault="006D1FD1">
      <w:pPr>
        <w:pStyle w:val="Funotentext"/>
      </w:pPr>
      <w:r>
        <w:rPr>
          <w:rStyle w:val="Funotenzeichen"/>
        </w:rPr>
        <w:footnoteRef/>
      </w:r>
      <w:r>
        <w:t xml:space="preserve"> Ausführlich zum zuständigen Gericht beim Antrag nach § 80 V VwGO </w:t>
      </w:r>
      <w:hyperlink r:id="rId352" w:history="1">
        <w:r w:rsidRPr="005B4212">
          <w:rPr>
            <w:rStyle w:val="Hyperlink"/>
          </w:rPr>
          <w:t>Goldberg, in: Eisentraut, Verwaltungsrecht in der Klausur, 2020, § 8 Rn. 39 f.</w:t>
        </w:r>
      </w:hyperlink>
    </w:p>
  </w:footnote>
  <w:footnote w:id="488">
    <w:p w14:paraId="7044B97A" w14:textId="0B1D1E34" w:rsidR="006D1FD1" w:rsidRDefault="006D1FD1">
      <w:pPr>
        <w:pStyle w:val="Funotentext"/>
      </w:pPr>
      <w:r>
        <w:rPr>
          <w:rStyle w:val="Funotenzeichen"/>
        </w:rPr>
        <w:footnoteRef/>
      </w:r>
      <w:r>
        <w:t xml:space="preserve"> Ausführlich zur Rechtsschutzbedürfnis beim Antrag nach § 80 V VwGO </w:t>
      </w:r>
      <w:hyperlink r:id="rId353" w:history="1">
        <w:r w:rsidRPr="005B4212">
          <w:rPr>
            <w:rStyle w:val="Hyperlink"/>
          </w:rPr>
          <w:t>Valentiner, in: Eisentraut, Verwaltungsrecht in der Klausur, 2020, § 8 Rn. 41 ff.</w:t>
        </w:r>
      </w:hyperlink>
    </w:p>
  </w:footnote>
  <w:footnote w:id="489">
    <w:p w14:paraId="74735568" w14:textId="62D8DDCD" w:rsidR="006D1FD1" w:rsidRDefault="006D1FD1">
      <w:pPr>
        <w:pStyle w:val="Funotentext"/>
      </w:pPr>
      <w:r>
        <w:rPr>
          <w:rStyle w:val="Funotenzeichen"/>
        </w:rPr>
        <w:footnoteRef/>
      </w:r>
      <w:r>
        <w:t xml:space="preserve"> Ausführlich zur Struktur der Begründetheitsprüfung beim Antrag nach § 80 V VwGO </w:t>
      </w:r>
      <w:hyperlink r:id="rId354" w:history="1">
        <w:r w:rsidRPr="005B4212">
          <w:rPr>
            <w:rStyle w:val="Hyperlink"/>
          </w:rPr>
          <w:t>Heilmann, in: Eisentraut, Verwaltungsrecht in der Klausur, 2020, § 8 Rn. 50 ff.</w:t>
        </w:r>
      </w:hyperlink>
      <w:r>
        <w:t xml:space="preserve">; zum Antrag nach § 80 V VwGO im Polizei- und Ordnungsrecht </w:t>
      </w:r>
      <w:hyperlink r:id="rId355" w:history="1">
        <w:r w:rsidRPr="005B4212">
          <w:rPr>
            <w:rStyle w:val="Hyperlink"/>
          </w:rPr>
          <w:t>Eisentraut, a.a.O., § 8 Rn. Rn. 79 ff.</w:t>
        </w:r>
      </w:hyperlink>
      <w:r>
        <w:t xml:space="preserve">; Zum Antrag nach 80 V VwGO im Kommunalrecht </w:t>
      </w:r>
      <w:hyperlink r:id="rId356" w:history="1">
        <w:r w:rsidRPr="005B4212">
          <w:rPr>
            <w:rStyle w:val="Hyperlink"/>
          </w:rPr>
          <w:t>Piecha, a.a.O., § 5 Rn. 81 ff.</w:t>
        </w:r>
      </w:hyperlink>
    </w:p>
  </w:footnote>
  <w:footnote w:id="490">
    <w:p w14:paraId="3DD3B948" w14:textId="48079297" w:rsidR="006D1FD1" w:rsidRDefault="006D1FD1" w:rsidP="0062057E">
      <w:pPr>
        <w:pStyle w:val="Funotentext"/>
      </w:pPr>
      <w:r>
        <w:rPr>
          <w:rStyle w:val="Funotenzeichen"/>
        </w:rPr>
        <w:footnoteRef/>
      </w:r>
      <w:r>
        <w:t xml:space="preserve"> Vgl. entsprechend Art. 15 I BayVersG (Bayern), § 8 I NVersG (Niedersachsen), § 13 I VersammlG LSA (Sachsen-Anhalt), § 13 I VersFG SH (Schleswig-Holstein); in den übrigen Bundesländern gilt gem. Art. 125a I 1 GG auch weiterhin § 15 I VersG.</w:t>
      </w:r>
    </w:p>
  </w:footnote>
  <w:footnote w:id="491">
    <w:p w14:paraId="7E77D732" w14:textId="797F91BB" w:rsidR="006D1FD1" w:rsidRPr="00563B7F" w:rsidRDefault="006D1FD1" w:rsidP="0018163D">
      <w:pPr>
        <w:pStyle w:val="Funotentext"/>
      </w:pPr>
      <w:r>
        <w:rPr>
          <w:rStyle w:val="Funotenzeichen"/>
        </w:rPr>
        <w:footnoteRef/>
      </w:r>
      <w:r>
        <w:t xml:space="preserve"> </w:t>
      </w:r>
      <w:r w:rsidRPr="00563B7F">
        <w:t>Auf § 47 VI VwGO muss insoweit i.d.R. nicht eingegangen werden, wenn offensichtlich ist, dass es nicht um die Überprüfung einer Satzung oder sonstiger unter dem Landesgesetz st</w:t>
      </w:r>
      <w:r>
        <w:t>ehender</w:t>
      </w:r>
      <w:r w:rsidRPr="00563B7F">
        <w:t xml:space="preserve"> Rechtsvorschriften i.S.v. § 47 I VwGO geht</w:t>
      </w:r>
      <w:r>
        <w:t xml:space="preserve">, s. zu diesem Antrag näher </w:t>
      </w:r>
      <w:hyperlink r:id="rId357" w:history="1">
        <w:r w:rsidRPr="008C1818">
          <w:rPr>
            <w:rStyle w:val="Hyperlink"/>
          </w:rPr>
          <w:t>Eisentraut, Verwaltungsrecht in der Klausur, 2020, § 7</w:t>
        </w:r>
      </w:hyperlink>
      <w:r>
        <w:t>.</w:t>
      </w:r>
    </w:p>
  </w:footnote>
  <w:footnote w:id="492">
    <w:p w14:paraId="56878369" w14:textId="2B92A6CA" w:rsidR="006D1FD1" w:rsidRDefault="006D1FD1" w:rsidP="0062057E">
      <w:pPr>
        <w:pStyle w:val="Funotentext"/>
      </w:pPr>
      <w:r>
        <w:rPr>
          <w:rStyle w:val="Funotenzeichen"/>
        </w:rPr>
        <w:footnoteRef/>
      </w:r>
      <w:r>
        <w:t xml:space="preserve"> Näher zu dieser Antragsart s. Eisentraut, Verwaltungsrecht in der Klausur, § 9.</w:t>
      </w:r>
    </w:p>
  </w:footnote>
  <w:footnote w:id="493">
    <w:p w14:paraId="27C942DD" w14:textId="343DE88D" w:rsidR="006D1FD1" w:rsidRPr="00563B7F" w:rsidRDefault="006D1FD1" w:rsidP="0018163D">
      <w:pPr>
        <w:pStyle w:val="Funotentext"/>
      </w:pPr>
      <w:r w:rsidRPr="00563B7F">
        <w:rPr>
          <w:rStyle w:val="Funotenzeichen"/>
          <w:sz w:val="20"/>
        </w:rPr>
        <w:footnoteRef/>
      </w:r>
      <w:r w:rsidRPr="00563B7F">
        <w:t xml:space="preserve"> </w:t>
      </w:r>
      <w:r>
        <w:t xml:space="preserve">Verweise auf das VwVfG verstehen sich im Folgenden stets unter Verweis auf § 1 SächsVwVfZG; näher zum Begriff des Verwaltungsakts </w:t>
      </w:r>
      <w:hyperlink r:id="rId358" w:history="1">
        <w:r w:rsidRPr="00144A4A">
          <w:rPr>
            <w:rStyle w:val="Hyperlink"/>
          </w:rPr>
          <w:t>Milker, in: Eisentraut, Verwaltungsrecht in der Klausur, 2020, § 2 Rn. 38 ff.</w:t>
        </w:r>
      </w:hyperlink>
      <w:r>
        <w:t>; näher zum Erfordernis eines Verweises auf das Landesrecht Baade, in: a.a.O., § 1 Rn. 96 ff. und Senders, a.a.O., § 2 Rn. 621.</w:t>
      </w:r>
    </w:p>
  </w:footnote>
  <w:footnote w:id="494">
    <w:p w14:paraId="6F16EB74" w14:textId="0191A885" w:rsidR="006D1FD1" w:rsidRPr="00563B7F" w:rsidRDefault="006D1FD1" w:rsidP="0018163D">
      <w:pPr>
        <w:pStyle w:val="Funotentext"/>
      </w:pPr>
      <w:r w:rsidRPr="00563B7F">
        <w:rPr>
          <w:rStyle w:val="Funotenzeichen"/>
          <w:sz w:val="20"/>
        </w:rPr>
        <w:footnoteRef/>
      </w:r>
      <w:r w:rsidRPr="00563B7F">
        <w:t xml:space="preserve"> Versammlungen stehen nicht unter einem Genehmigungsvorbehalt, sondern sind lediglich anzuzeigen, vgl.</w:t>
      </w:r>
      <w:r>
        <w:t xml:space="preserve"> Art. 13 I 1 BayVersG, § 5 I 1 NVersG,</w:t>
      </w:r>
      <w:r w:rsidRPr="00E07925">
        <w:t xml:space="preserve"> </w:t>
      </w:r>
      <w:r w:rsidRPr="00563B7F">
        <w:t>§ 14 I SächsVersG</w:t>
      </w:r>
      <w:r>
        <w:t xml:space="preserve">, § 12 I 1 VersammlG LSA, § 11 I 1 VersFG SH; im Übrigen § 14 I VersG. </w:t>
      </w:r>
      <w:r w:rsidRPr="00563B7F">
        <w:t>Deshalb ist in der Hauptsache weder eine Verpflichtungsklage auf Erlass der Genehmigung (einstweiliger Rechtsschutz: Ant</w:t>
      </w:r>
      <w:r>
        <w:t>rag nach § 123 I VwGO), noch</w:t>
      </w:r>
      <w:r w:rsidRPr="00563B7F">
        <w:t xml:space="preserve"> eine Teilanfechtung der „</w:t>
      </w:r>
      <w:r>
        <w:t>Auflage</w:t>
      </w:r>
      <w:r w:rsidRPr="00563B7F">
        <w:t>“ etwa als Nebenbestimmung statthaft, denn es fehlt an der Hauptregelung. Vielmehr stellt die vermeintliche „</w:t>
      </w:r>
      <w:r>
        <w:t>Auflage</w:t>
      </w:r>
      <w:r w:rsidRPr="00563B7F">
        <w:t xml:space="preserve">“ einen eigenständigen, belastenden </w:t>
      </w:r>
      <w:r>
        <w:t>Verwaltungsakt</w:t>
      </w:r>
      <w:r w:rsidRPr="00563B7F">
        <w:t xml:space="preserve"> dar</w:t>
      </w:r>
      <w:r>
        <w:t xml:space="preserve">; s. näher zum Versammlungsrecht </w:t>
      </w:r>
      <w:hyperlink r:id="rId359" w:history="1">
        <w:r w:rsidRPr="00144A4A">
          <w:rPr>
            <w:rStyle w:val="Hyperlink"/>
          </w:rPr>
          <w:t>Eickenjäger, in: Eisentraut, Verwaltungsrecht in der Klausur, 2020, § 2 Rn. 1141 ff.</w:t>
        </w:r>
      </w:hyperlink>
    </w:p>
  </w:footnote>
  <w:footnote w:id="495">
    <w:p w14:paraId="508A603D" w14:textId="3D52A7ED" w:rsidR="006D1FD1" w:rsidRDefault="006D1FD1">
      <w:pPr>
        <w:pStyle w:val="Funotentext"/>
      </w:pPr>
      <w:r>
        <w:rPr>
          <w:rStyle w:val="Funotenzeichen"/>
        </w:rPr>
        <w:footnoteRef/>
      </w:r>
      <w:r>
        <w:t xml:space="preserve"> </w:t>
      </w:r>
      <w:r w:rsidRPr="005B4212">
        <w:t xml:space="preserve">S. ausführlich zu dieser Problematik </w:t>
      </w:r>
      <w:hyperlink r:id="rId360" w:history="1">
        <w:r w:rsidRPr="005B4212">
          <w:rPr>
            <w:rStyle w:val="Hyperlink"/>
          </w:rPr>
          <w:t>Creemers, in: Eisentraut, Verwaltungsrecht in der Klausur, 2020, § 2 Rn. 416 ff.</w:t>
        </w:r>
      </w:hyperlink>
    </w:p>
  </w:footnote>
  <w:footnote w:id="496">
    <w:p w14:paraId="5D53B2CE" w14:textId="546CCAFA" w:rsidR="006D1FD1" w:rsidRPr="00A57E60" w:rsidRDefault="006D1FD1" w:rsidP="0062057E">
      <w:pPr>
        <w:pStyle w:val="Funotentext"/>
      </w:pPr>
      <w:r>
        <w:rPr>
          <w:rStyle w:val="Funotenzeichen"/>
        </w:rPr>
        <w:footnoteRef/>
      </w:r>
      <w:r>
        <w:t xml:space="preserve"> Zur Fristberechnung s. näher </w:t>
      </w:r>
      <w:hyperlink r:id="rId361" w:history="1">
        <w:r w:rsidRPr="005B4212">
          <w:rPr>
            <w:rStyle w:val="Hyperlink"/>
          </w:rPr>
          <w:t>Stockebrandt, in: Eisentraut, Verwaltungsrecht in der Klausur, 2020, § 2 Rn. 361 ff.</w:t>
        </w:r>
      </w:hyperlink>
    </w:p>
  </w:footnote>
  <w:footnote w:id="497">
    <w:p w14:paraId="6EFF77CD" w14:textId="3625CFCB" w:rsidR="006D1FD1" w:rsidRDefault="006D1FD1" w:rsidP="0062057E">
      <w:pPr>
        <w:pStyle w:val="Funotentext"/>
      </w:pPr>
      <w:r>
        <w:rPr>
          <w:rStyle w:val="Funotenzeichen"/>
        </w:rPr>
        <w:footnoteRef/>
      </w:r>
      <w:r>
        <w:t xml:space="preserve"> Zum Streitstand s. näher </w:t>
      </w:r>
      <w:hyperlink r:id="rId362" w:history="1">
        <w:r w:rsidRPr="005B4212">
          <w:rPr>
            <w:rStyle w:val="Hyperlink"/>
          </w:rPr>
          <w:t>Valentiner/Heilmann, in: Eisentraut, Verwaltungsrecht in der Klausur, 2020, § 8 Rn. 44</w:t>
        </w:r>
      </w:hyperlink>
      <w:r>
        <w:t>.</w:t>
      </w:r>
    </w:p>
  </w:footnote>
  <w:footnote w:id="498">
    <w:p w14:paraId="59A3F40C" w14:textId="5824F496" w:rsidR="006D1FD1" w:rsidRDefault="006D1FD1" w:rsidP="0062057E">
      <w:pPr>
        <w:pStyle w:val="Funotentext"/>
      </w:pPr>
      <w:r>
        <w:rPr>
          <w:rStyle w:val="Funotenzeichen"/>
        </w:rPr>
        <w:footnoteRef/>
      </w:r>
      <w:r>
        <w:t xml:space="preserve"> S. näher </w:t>
      </w:r>
      <w:hyperlink r:id="rId363" w:history="1">
        <w:r w:rsidRPr="005B4212">
          <w:rPr>
            <w:rStyle w:val="Hyperlink"/>
          </w:rPr>
          <w:t>Valentiner/Heilmann, in: Eisentraut, Verwaltungsrecht in der Klausur, 2020, § 8 Rn. 46</w:t>
        </w:r>
      </w:hyperlink>
      <w:r>
        <w:t>.</w:t>
      </w:r>
    </w:p>
  </w:footnote>
  <w:footnote w:id="499">
    <w:p w14:paraId="01D664E1" w14:textId="77777777" w:rsidR="006D1FD1" w:rsidRDefault="006D1FD1" w:rsidP="0062057E">
      <w:pPr>
        <w:pStyle w:val="Funotentext"/>
      </w:pPr>
      <w:r>
        <w:rPr>
          <w:rStyle w:val="Funotenzeichen"/>
        </w:rPr>
        <w:footnoteRef/>
      </w:r>
      <w:r>
        <w:t xml:space="preserve"> Dies gilt nur in den Bundesländern, in denen das Rechtsträgerprinzip gilt. In den übrigen Bundesländern ist der Antrag ggf. an die Behörde zu richten (ggf. analog § 78 I Nr. 2 VwGO).</w:t>
      </w:r>
    </w:p>
  </w:footnote>
  <w:footnote w:id="500">
    <w:p w14:paraId="18E8AA29" w14:textId="33CF51D9" w:rsidR="006D1FD1" w:rsidRDefault="006D1FD1" w:rsidP="0062057E">
      <w:pPr>
        <w:pStyle w:val="Funotentext"/>
      </w:pPr>
      <w:r>
        <w:rPr>
          <w:rStyle w:val="Funotenzeichen"/>
        </w:rPr>
        <w:footnoteRef/>
      </w:r>
      <w:r>
        <w:t xml:space="preserve"> Zur Prüfung der Eingriffsermächtigungen im Versammlungsrecht ausführlich </w:t>
      </w:r>
      <w:hyperlink r:id="rId364" w:history="1">
        <w:r w:rsidRPr="00144A4A">
          <w:rPr>
            <w:rStyle w:val="Hyperlink"/>
          </w:rPr>
          <w:t>Eickenjäger, in: Eisentraut, Verwaltungsrecht in der Klausur, 2020, § 2 Rn. 1149 ff.</w:t>
        </w:r>
      </w:hyperlink>
    </w:p>
  </w:footnote>
  <w:footnote w:id="501">
    <w:p w14:paraId="30D4B6FF" w14:textId="77777777" w:rsidR="006D1FD1" w:rsidRDefault="006D1FD1" w:rsidP="0062057E">
      <w:pPr>
        <w:pStyle w:val="Funotentext"/>
      </w:pPr>
      <w:r>
        <w:rPr>
          <w:rStyle w:val="Funotenzeichen"/>
        </w:rPr>
        <w:footnoteRef/>
      </w:r>
      <w:r>
        <w:t xml:space="preserve"> Vgl. entsprechend § 6 I PolG (Baden-Württemberg); Art. 7 I PAG (Bayern); § 13 I ASOG Bln (Berlin); § 5 I BbgPolG (Brandenburg); § 5 I BremPolG (Bremen); § 8 I SOG (Hamburg); § 6 I HSOG (Hessen); §§ 68, 69 I SOG M-V (Mecklenburg-Vorpommern); § 6 I Nds. SOG (Niedersachsen); § 4 I PolG NRW (Nordrhein-Westfalen); § 4 I POG (Rheinland-Pfalz); § 4 I SPolG (Saarland); § 7 I SOG LSA (Sachsen-Anhalt); §§ 217, 218 I LVwG (Schleswig-Holstein); § 7 I PAG (Thüringen). </w:t>
      </w:r>
    </w:p>
  </w:footnote>
  <w:footnote w:id="502">
    <w:p w14:paraId="6B7D25C8" w14:textId="58437168" w:rsidR="006D1FD1" w:rsidRDefault="006D1FD1" w:rsidP="0062057E">
      <w:pPr>
        <w:pStyle w:val="Funotentext"/>
      </w:pPr>
      <w:r>
        <w:rPr>
          <w:rStyle w:val="Funotenzeichen"/>
        </w:rPr>
        <w:footnoteRef/>
      </w:r>
      <w:r>
        <w:t xml:space="preserve"> Zur polizei- und ordnungsrechtlichen Verantwortlichkeit allgemein näher </w:t>
      </w:r>
      <w:hyperlink r:id="rId365" w:history="1">
        <w:r w:rsidRPr="00144A4A">
          <w:rPr>
            <w:rStyle w:val="Hyperlink"/>
          </w:rPr>
          <w:t>Eisentraut, in: Eisentraut, Verwaltungsrecht in der Klausur, 2020, § 2 Rn. 1118</w:t>
        </w:r>
      </w:hyperlink>
      <w:r>
        <w:t xml:space="preserve"> und bezogen auf das Versammlungsrecht näher Eickenjäger, a.a.O., § 2 Rn. 1209 ff.</w:t>
      </w:r>
    </w:p>
  </w:footnote>
  <w:footnote w:id="503">
    <w:p w14:paraId="3B1F5EFF" w14:textId="003B523D" w:rsidR="006D1FD1" w:rsidRDefault="006D1FD1" w:rsidP="0062057E">
      <w:pPr>
        <w:pStyle w:val="Funotentext"/>
      </w:pPr>
      <w:r>
        <w:rPr>
          <w:rStyle w:val="Funotenzeichen"/>
        </w:rPr>
        <w:footnoteRef/>
      </w:r>
      <w:r>
        <w:t xml:space="preserve"> Allgemein zum Begriff des Ermessens </w:t>
      </w:r>
      <w:hyperlink r:id="rId366" w:history="1">
        <w:r w:rsidRPr="00144A4A">
          <w:rPr>
            <w:rStyle w:val="Hyperlink"/>
          </w:rPr>
          <w:t>Benrath, in: Eisentraut, Verwaltungsrecht in der Klausur, 2020, § 2 Rn. 729 ff.</w:t>
        </w:r>
      </w:hyperlink>
    </w:p>
  </w:footnote>
  <w:footnote w:id="504">
    <w:p w14:paraId="3D8C217F" w14:textId="24F72F57" w:rsidR="006D1FD1" w:rsidRDefault="006D1FD1" w:rsidP="0062057E">
      <w:pPr>
        <w:pStyle w:val="Funotentext"/>
      </w:pPr>
      <w:r>
        <w:rPr>
          <w:rStyle w:val="Funotenzeichen"/>
        </w:rPr>
        <w:footnoteRef/>
      </w:r>
      <w:r>
        <w:t xml:space="preserve"> A.A. mit entsprechender Begründung vertretbar.</w:t>
      </w:r>
    </w:p>
  </w:footnote>
  <w:footnote w:id="505">
    <w:p w14:paraId="7A4C3729" w14:textId="4B074A83" w:rsidR="006D1FD1" w:rsidRDefault="006D1FD1" w:rsidP="001B1D71">
      <w:pPr>
        <w:pStyle w:val="Funotentext"/>
      </w:pPr>
      <w:r>
        <w:rPr>
          <w:rStyle w:val="Funotenzeichen"/>
        </w:rPr>
        <w:footnoteRef/>
      </w:r>
      <w:r>
        <w:t xml:space="preserve"> Ausführlich zur Eröffnung des Verwaltungsrechtswegs </w:t>
      </w:r>
      <w:hyperlink r:id="rId367" w:history="1">
        <w:r w:rsidRPr="00C87B0D">
          <w:rPr>
            <w:rStyle w:val="Hyperlink"/>
          </w:rPr>
          <w:t>Eisentraut, in: Eisentraut, Veraltungsrecht in der Klausur, 2020, § 1 Rn. 162 ff.</w:t>
        </w:r>
      </w:hyperlink>
    </w:p>
  </w:footnote>
  <w:footnote w:id="506">
    <w:p w14:paraId="58ED0E56" w14:textId="21328C06" w:rsidR="006D1FD1" w:rsidRDefault="006D1FD1" w:rsidP="001B1D71">
      <w:pPr>
        <w:pStyle w:val="Funotentext"/>
      </w:pPr>
      <w:r>
        <w:rPr>
          <w:rStyle w:val="Funotenzeichen"/>
        </w:rPr>
        <w:footnoteRef/>
      </w:r>
      <w:r>
        <w:t xml:space="preserve"> Ausführlich zum Antrag nach § 123 VwGO als statthafter Antragsart </w:t>
      </w:r>
      <w:hyperlink r:id="rId368" w:history="1">
        <w:r w:rsidRPr="00A10E8C">
          <w:rPr>
            <w:rStyle w:val="Hyperlink"/>
          </w:rPr>
          <w:t>Wichmann, in: Eisentraut, Verwaltungsrecht in der Klausur, 2020, § 10 Rn. 2 ff.</w:t>
        </w:r>
      </w:hyperlink>
    </w:p>
  </w:footnote>
  <w:footnote w:id="507">
    <w:p w14:paraId="0E978005" w14:textId="58AC0CBC" w:rsidR="006D1FD1" w:rsidRDefault="006D1FD1">
      <w:pPr>
        <w:pStyle w:val="Funotentext"/>
      </w:pPr>
      <w:r>
        <w:rPr>
          <w:rStyle w:val="Funotenzeichen"/>
        </w:rPr>
        <w:footnoteRef/>
      </w:r>
      <w:r>
        <w:t xml:space="preserve"> Ausführlich zur Antragsbefugnis beim Antrag nach § 123 VwGO </w:t>
      </w:r>
      <w:hyperlink r:id="rId369" w:history="1">
        <w:r w:rsidRPr="00A10E8C">
          <w:rPr>
            <w:rStyle w:val="Hyperlink"/>
          </w:rPr>
          <w:t>Burbach/Wichmann, in: Eisentraut, Verwaltungsrecht in der Klausur, 2020, § 10 Rn. 11 ff.</w:t>
        </w:r>
      </w:hyperlink>
    </w:p>
  </w:footnote>
  <w:footnote w:id="508">
    <w:p w14:paraId="6BCE42AF" w14:textId="227FBB65" w:rsidR="006D1FD1" w:rsidRDefault="006D1FD1">
      <w:pPr>
        <w:pStyle w:val="Funotentext"/>
      </w:pPr>
      <w:r>
        <w:rPr>
          <w:rStyle w:val="Funotenzeichen"/>
        </w:rPr>
        <w:footnoteRef/>
      </w:r>
      <w:r>
        <w:t xml:space="preserve"> Ausführlich zu den Beteiligten beim Antrag nach § 123 VwGO </w:t>
      </w:r>
      <w:hyperlink r:id="rId370" w:history="1">
        <w:r w:rsidRPr="00A10E8C">
          <w:rPr>
            <w:rStyle w:val="Hyperlink"/>
          </w:rPr>
          <w:t>Creemers, in: Eisentraut, Verwaltungsrecht in der Klausur, 2020, § 10 Rn. 17 ff.</w:t>
        </w:r>
      </w:hyperlink>
    </w:p>
  </w:footnote>
  <w:footnote w:id="509">
    <w:p w14:paraId="6C2E4BCF" w14:textId="77D45B6E" w:rsidR="006D1FD1" w:rsidRDefault="006D1FD1">
      <w:pPr>
        <w:pStyle w:val="Funotentext"/>
      </w:pPr>
      <w:r>
        <w:rPr>
          <w:rStyle w:val="Funotenzeichen"/>
        </w:rPr>
        <w:footnoteRef/>
      </w:r>
      <w:r>
        <w:t xml:space="preserve"> Ausführlich zum zuständigen Gericht beim Antrag nach § 123 VwGO </w:t>
      </w:r>
      <w:hyperlink r:id="rId371" w:history="1">
        <w:r w:rsidRPr="00A10E8C">
          <w:rPr>
            <w:rStyle w:val="Hyperlink"/>
          </w:rPr>
          <w:t>Goldberg, in: Eisentraut, Verwaltungsrecht in der Klausur, 2020, § 10 Rn. 20 f.</w:t>
        </w:r>
      </w:hyperlink>
    </w:p>
  </w:footnote>
  <w:footnote w:id="510">
    <w:p w14:paraId="321BA8F1" w14:textId="4C2674DF" w:rsidR="006D1FD1" w:rsidRDefault="006D1FD1">
      <w:pPr>
        <w:pStyle w:val="Funotentext"/>
      </w:pPr>
      <w:r>
        <w:rPr>
          <w:rStyle w:val="Funotenzeichen"/>
        </w:rPr>
        <w:footnoteRef/>
      </w:r>
      <w:r>
        <w:t xml:space="preserve"> Ausführlich zum Rechtsschutzbedürfnis beim Antrag nach § 123 VwGO </w:t>
      </w:r>
      <w:hyperlink r:id="rId372" w:history="1">
        <w:r w:rsidRPr="00A10E8C">
          <w:rPr>
            <w:rStyle w:val="Hyperlink"/>
          </w:rPr>
          <w:t>Valentiner/Wichmann, in: Eisentraut, Verwaltungsrecht in der Klausur, 2020, § 10 Rn. 21 ff.</w:t>
        </w:r>
      </w:hyperlink>
    </w:p>
  </w:footnote>
  <w:footnote w:id="511">
    <w:p w14:paraId="4E09A601" w14:textId="707B5FCB" w:rsidR="006D1FD1" w:rsidRDefault="006D1FD1">
      <w:pPr>
        <w:pStyle w:val="Funotentext"/>
      </w:pPr>
      <w:r>
        <w:rPr>
          <w:rStyle w:val="Funotenzeichen"/>
        </w:rPr>
        <w:footnoteRef/>
      </w:r>
      <w:r>
        <w:t xml:space="preserve"> Ausführlich zur Struktur der Begründetheitsprüfung des Antrags nach § 123 VwGO </w:t>
      </w:r>
      <w:hyperlink r:id="rId373" w:history="1">
        <w:r w:rsidRPr="00A10E8C">
          <w:rPr>
            <w:rStyle w:val="Hyperlink"/>
          </w:rPr>
          <w:t>Wichmann, in: Eisentraut, Verwaltungsrecht in der Klausur, 2020, § 10 Rn. 27 ff.</w:t>
        </w:r>
      </w:hyperlink>
      <w:r>
        <w:t xml:space="preserve">; </w:t>
      </w:r>
      <w:r w:rsidRPr="00A32846">
        <w:t xml:space="preserve">Näher zum Antrag nach § 123 VwGO im Baurecht </w:t>
      </w:r>
      <w:hyperlink r:id="rId374" w:history="1">
        <w:r w:rsidRPr="00A10E8C">
          <w:rPr>
            <w:rStyle w:val="Hyperlink"/>
          </w:rPr>
          <w:t>Steengrafe, a.a.O., § 10 Rn. 45</w:t>
        </w:r>
      </w:hyperlink>
      <w:r w:rsidRPr="00A32846">
        <w:t xml:space="preserve"> und im Kommunalrecht </w:t>
      </w:r>
      <w:hyperlink r:id="rId375" w:history="1">
        <w:r w:rsidRPr="00A10E8C">
          <w:rPr>
            <w:rStyle w:val="Hyperlink"/>
          </w:rPr>
          <w:t>Piecha, a.a.O., § 10 Rn.46 ff.</w:t>
        </w:r>
      </w:hyperlink>
    </w:p>
  </w:footnote>
  <w:footnote w:id="512">
    <w:p w14:paraId="0F8F4F36" w14:textId="23F1B3CE" w:rsidR="006D1FD1" w:rsidRPr="004240E8" w:rsidRDefault="006D1FD1" w:rsidP="00A10E8C">
      <w:pPr>
        <w:pStyle w:val="Funotentext"/>
        <w:rPr>
          <w:rFonts w:cstheme="majorHAnsi"/>
        </w:rPr>
      </w:pPr>
      <w:r w:rsidRPr="004240E8">
        <w:rPr>
          <w:rStyle w:val="Funotenzeichen"/>
          <w:rFonts w:cstheme="majorHAnsi"/>
        </w:rPr>
        <w:footnoteRef/>
      </w:r>
      <w:r w:rsidRPr="007A61F1">
        <w:rPr>
          <w:rFonts w:cstheme="majorHAnsi"/>
        </w:rPr>
        <w:t xml:space="preserve"> </w:t>
      </w:r>
      <w:r>
        <w:rPr>
          <w:rFonts w:cstheme="majorHAnsi"/>
        </w:rPr>
        <w:t>S. </w:t>
      </w:r>
      <w:r w:rsidRPr="007A61F1">
        <w:rPr>
          <w:rFonts w:cstheme="majorHAnsi"/>
        </w:rPr>
        <w:t xml:space="preserve">dazu </w:t>
      </w:r>
      <w:hyperlink r:id="rId376" w:history="1">
        <w:r w:rsidRPr="00A10E8C">
          <w:rPr>
            <w:rStyle w:val="Hyperlink"/>
            <w:rFonts w:cstheme="majorHAnsi"/>
          </w:rPr>
          <w:t>Eisentraut, in: Eisentraut, Verwaltungsrecht in der Klausur, 2020, § 1 Rn. 171</w:t>
        </w:r>
      </w:hyperlink>
      <w:r w:rsidRPr="007A61F1">
        <w:rPr>
          <w:rFonts w:cstheme="majorHAnsi"/>
        </w:rPr>
        <w:t>.</w:t>
      </w:r>
    </w:p>
  </w:footnote>
  <w:footnote w:id="513">
    <w:p w14:paraId="07DE7661" w14:textId="554EF59E" w:rsidR="006D1FD1" w:rsidRPr="004240E8" w:rsidRDefault="006D1FD1" w:rsidP="00A10E8C">
      <w:pPr>
        <w:pStyle w:val="Funotentext"/>
        <w:rPr>
          <w:rFonts w:cstheme="majorHAnsi"/>
        </w:rPr>
      </w:pPr>
      <w:r w:rsidRPr="007A61F1">
        <w:rPr>
          <w:rStyle w:val="Funotenzeichen"/>
          <w:rFonts w:cstheme="majorHAnsi"/>
        </w:rPr>
        <w:footnoteRef/>
      </w:r>
      <w:r w:rsidRPr="007A61F1">
        <w:rPr>
          <w:rFonts w:cstheme="majorHAnsi"/>
        </w:rPr>
        <w:t xml:space="preserve"> </w:t>
      </w:r>
      <w:r>
        <w:rPr>
          <w:rFonts w:cstheme="majorHAnsi"/>
        </w:rPr>
        <w:t>Zur Subsidiarität des § 123 I VwGO</w:t>
      </w:r>
      <w:r w:rsidRPr="007A61F1">
        <w:rPr>
          <w:rFonts w:cstheme="majorHAnsi"/>
        </w:rPr>
        <w:t xml:space="preserve"> </w:t>
      </w:r>
      <w:r>
        <w:rPr>
          <w:rFonts w:cstheme="majorHAnsi"/>
        </w:rPr>
        <w:t xml:space="preserve">s. </w:t>
      </w:r>
      <w:hyperlink r:id="rId377" w:history="1">
        <w:r w:rsidRPr="00A10E8C">
          <w:rPr>
            <w:rStyle w:val="Hyperlink"/>
            <w:rFonts w:cstheme="majorHAnsi"/>
          </w:rPr>
          <w:t>Wichmann, in: Eisentraut, Verwaltungsrecht in der Klausur, 2020, § 10 Rn. 5</w:t>
        </w:r>
      </w:hyperlink>
      <w:r w:rsidRPr="00A10E8C">
        <w:rPr>
          <w:rFonts w:cstheme="majorHAnsi"/>
        </w:rPr>
        <w:t>.</w:t>
      </w:r>
    </w:p>
  </w:footnote>
  <w:footnote w:id="514">
    <w:p w14:paraId="7C701DB5" w14:textId="7777777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Zu dieser Differenzierung: Mayer, VerwArch 2013, 344 (362 f.).</w:t>
      </w:r>
    </w:p>
  </w:footnote>
  <w:footnote w:id="515">
    <w:p w14:paraId="7430AAFA" w14:textId="512A67FC"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Dazu </w:t>
      </w:r>
      <w:hyperlink r:id="rId378" w:history="1">
        <w:r w:rsidRPr="00A10E8C">
          <w:rPr>
            <w:rStyle w:val="Hyperlink"/>
            <w:rFonts w:cstheme="majorHAnsi"/>
          </w:rPr>
          <w:t xml:space="preserve">Wichmann, </w:t>
        </w:r>
        <w:r w:rsidRPr="00A10E8C">
          <w:rPr>
            <w:rStyle w:val="Hyperlink"/>
          </w:rPr>
          <w:t>in: Eisentraut, Verwaltungsrecht in der Klausur, 2020, § 10 Rn.</w:t>
        </w:r>
        <w:r w:rsidRPr="00A10E8C">
          <w:rPr>
            <w:rStyle w:val="Hyperlink"/>
            <w:rFonts w:cstheme="majorHAnsi"/>
          </w:rPr>
          <w:t> 7 ff.</w:t>
        </w:r>
      </w:hyperlink>
    </w:p>
  </w:footnote>
  <w:footnote w:id="516">
    <w:p w14:paraId="0A1C2D56" w14:textId="33A783E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Dazu im Zusammenhang mit der Begründetheit des Antrags</w:t>
      </w:r>
      <w:r w:rsidRPr="005000BD">
        <w:rPr>
          <w:rFonts w:cstheme="majorHAnsi"/>
        </w:rPr>
        <w:t xml:space="preserve"> </w:t>
      </w:r>
      <w:hyperlink r:id="rId379" w:history="1">
        <w:r w:rsidRPr="00A10E8C">
          <w:rPr>
            <w:rStyle w:val="Hyperlink"/>
            <w:rFonts w:cstheme="majorHAnsi"/>
          </w:rPr>
          <w:t xml:space="preserve">Wichmann, </w:t>
        </w:r>
        <w:r w:rsidRPr="00A10E8C">
          <w:rPr>
            <w:rStyle w:val="Hyperlink"/>
          </w:rPr>
          <w:t xml:space="preserve">in: Eisentraut, Verwaltungsrecht in der Klausur, 2020, § 10 </w:t>
        </w:r>
        <w:r w:rsidRPr="00A10E8C">
          <w:rPr>
            <w:rStyle w:val="Hyperlink"/>
            <w:rFonts w:cstheme="majorHAnsi"/>
          </w:rPr>
          <w:t>Rn. 35</w:t>
        </w:r>
      </w:hyperlink>
      <w:r w:rsidRPr="007A61F1">
        <w:rPr>
          <w:rFonts w:cstheme="majorHAnsi"/>
        </w:rPr>
        <w:t>.</w:t>
      </w:r>
    </w:p>
  </w:footnote>
  <w:footnote w:id="517">
    <w:p w14:paraId="76040119" w14:textId="11D61FFA"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Vgl. Struck, in: Wiesner, SGB VIII, 5. Aufl. 2015, § 24</w:t>
      </w:r>
      <w:r>
        <w:rPr>
          <w:rFonts w:cstheme="majorHAnsi"/>
        </w:rPr>
        <w:t xml:space="preserve"> Rn. 47. In diese Richtung auch</w:t>
      </w:r>
      <w:r w:rsidRPr="007A61F1">
        <w:rPr>
          <w:rFonts w:cstheme="majorHAnsi"/>
        </w:rPr>
        <w:t xml:space="preserve"> </w:t>
      </w:r>
      <w:hyperlink r:id="rId380" w:history="1">
        <w:r w:rsidRPr="00D323D0">
          <w:rPr>
            <w:rStyle w:val="Hyperlink"/>
            <w:rFonts w:cstheme="majorHAnsi"/>
          </w:rPr>
          <w:t>SächsOVG, Beschl. v. 7.6.2017, Az.: 4 B 100/17</w:t>
        </w:r>
      </w:hyperlink>
      <w:r>
        <w:rPr>
          <w:rFonts w:cstheme="majorHAnsi"/>
        </w:rPr>
        <w:t xml:space="preserve"> </w:t>
      </w:r>
      <w:r w:rsidRPr="007A61F1">
        <w:rPr>
          <w:rFonts w:cstheme="majorHAnsi"/>
        </w:rPr>
        <w:t xml:space="preserve">Rn. 10. Strenger – nicht bloß auf die die Nichterfüllung des unaufschiebbaren Anspruchs abstellend – </w:t>
      </w:r>
      <w:hyperlink r:id="rId381" w:history="1">
        <w:r w:rsidRPr="00044B44">
          <w:rPr>
            <w:rStyle w:val="Hyperlink"/>
            <w:rFonts w:cstheme="majorHAnsi"/>
          </w:rPr>
          <w:t>VGH Mannheim, Beschl. v. 18.7.2018, Az.: 12 S 643/18</w:t>
        </w:r>
      </w:hyperlink>
      <w:r w:rsidRPr="007A61F1">
        <w:rPr>
          <w:rFonts w:cstheme="majorHAnsi"/>
        </w:rPr>
        <w:t xml:space="preserve"> = BeckRS 2018, 17027 Rn. 20.</w:t>
      </w:r>
    </w:p>
  </w:footnote>
  <w:footnote w:id="518">
    <w:p w14:paraId="12AB1984" w14:textId="4E2E390B"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w:t>
      </w:r>
      <w:r>
        <w:rPr>
          <w:rFonts w:cstheme="majorHAnsi"/>
        </w:rPr>
        <w:t>S. </w:t>
      </w:r>
      <w:r w:rsidRPr="007A61F1">
        <w:rPr>
          <w:rFonts w:cstheme="majorHAnsi"/>
        </w:rPr>
        <w:t>dazu</w:t>
      </w:r>
      <w:r>
        <w:rPr>
          <w:rFonts w:cstheme="majorHAnsi"/>
        </w:rPr>
        <w:t xml:space="preserve"> </w:t>
      </w:r>
      <w:hyperlink r:id="rId382" w:history="1">
        <w:r w:rsidRPr="00AA1753">
          <w:rPr>
            <w:rStyle w:val="Hyperlink"/>
            <w:rFonts w:cstheme="majorHAnsi"/>
          </w:rPr>
          <w:t xml:space="preserve">Weidinger, </w:t>
        </w:r>
        <w:r w:rsidRPr="00AA1753">
          <w:rPr>
            <w:rStyle w:val="Hyperlink"/>
          </w:rPr>
          <w:t xml:space="preserve">in: Eisentraut, Verwaltungsrecht in der Klausur, 2020, </w:t>
        </w:r>
        <w:r w:rsidRPr="00AA1753">
          <w:rPr>
            <w:rStyle w:val="Hyperlink"/>
            <w:rFonts w:cstheme="majorHAnsi"/>
          </w:rPr>
          <w:t>§ 5 Rn. 54</w:t>
        </w:r>
      </w:hyperlink>
      <w:r w:rsidRPr="007A61F1">
        <w:rPr>
          <w:rFonts w:cstheme="majorHAnsi"/>
        </w:rPr>
        <w:t>.</w:t>
      </w:r>
    </w:p>
  </w:footnote>
  <w:footnote w:id="519">
    <w:p w14:paraId="48FE9320" w14:textId="53A5B84A" w:rsidR="006D1FD1" w:rsidRPr="004240E8" w:rsidRDefault="006D1FD1" w:rsidP="007D1377">
      <w:pPr>
        <w:pStyle w:val="Funotentext"/>
      </w:pPr>
      <w:r w:rsidRPr="007A61F1">
        <w:rPr>
          <w:rStyle w:val="Funotenzeichen"/>
        </w:rPr>
        <w:footnoteRef/>
      </w:r>
      <w:r w:rsidRPr="007A61F1">
        <w:t xml:space="preserve"> Zu dieser Frage s.</w:t>
      </w:r>
      <w:r>
        <w:t xml:space="preserve"> </w:t>
      </w:r>
      <w:hyperlink r:id="rId383" w:history="1">
        <w:r w:rsidRPr="00144A4A">
          <w:rPr>
            <w:rStyle w:val="Hyperlink"/>
          </w:rPr>
          <w:t>Creemers</w:t>
        </w:r>
        <w:r w:rsidRPr="00144A4A">
          <w:rPr>
            <w:rStyle w:val="Hyperlink"/>
            <w:rFonts w:cstheme="majorHAnsi"/>
          </w:rPr>
          <w:t xml:space="preserve">, </w:t>
        </w:r>
        <w:r w:rsidRPr="00144A4A">
          <w:rPr>
            <w:rStyle w:val="Hyperlink"/>
          </w:rPr>
          <w:t>in: Eisentraut, Verwaltungsrecht in der Klausur, 2020, § 2 Rn. 416 ff.</w:t>
        </w:r>
      </w:hyperlink>
    </w:p>
  </w:footnote>
  <w:footnote w:id="520">
    <w:p w14:paraId="004E0D4F" w14:textId="6254952E" w:rsidR="006D1FD1" w:rsidRPr="004240E8" w:rsidRDefault="006D1FD1" w:rsidP="007D1377">
      <w:pPr>
        <w:pStyle w:val="Funotentext"/>
      </w:pPr>
      <w:r w:rsidRPr="007A61F1">
        <w:rPr>
          <w:rStyle w:val="Funotenzeichen"/>
        </w:rPr>
        <w:footnoteRef/>
      </w:r>
      <w:r w:rsidRPr="007A61F1">
        <w:t xml:space="preserve"> Zur einfachen Beiladung näher</w:t>
      </w:r>
      <w:r>
        <w:t xml:space="preserve"> </w:t>
      </w:r>
      <w:hyperlink r:id="rId384" w:history="1">
        <w:r w:rsidRPr="00144A4A">
          <w:rPr>
            <w:rStyle w:val="Hyperlink"/>
          </w:rPr>
          <w:t>Creemers,</w:t>
        </w:r>
        <w:r w:rsidRPr="00144A4A">
          <w:rPr>
            <w:rStyle w:val="Hyperlink"/>
            <w:rFonts w:cstheme="majorHAnsi"/>
          </w:rPr>
          <w:t xml:space="preserve"> </w:t>
        </w:r>
        <w:r w:rsidRPr="00144A4A">
          <w:rPr>
            <w:rStyle w:val="Hyperlink"/>
          </w:rPr>
          <w:t>in: Eisentraut, Verwaltungsrecht in der Klausur, 2020, § 2 Rn. 447 ff.</w:t>
        </w:r>
      </w:hyperlink>
    </w:p>
  </w:footnote>
  <w:footnote w:id="521">
    <w:p w14:paraId="4D61450C" w14:textId="5763C86B"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Zum Maßstab der Glaubhaftmachung </w:t>
      </w:r>
      <w:r>
        <w:rPr>
          <w:rFonts w:cstheme="majorHAnsi"/>
        </w:rPr>
        <w:t>s. </w:t>
      </w:r>
      <w:hyperlink r:id="rId385" w:history="1">
        <w:r w:rsidRPr="00A10E8C">
          <w:rPr>
            <w:rStyle w:val="Hyperlink"/>
            <w:rFonts w:cstheme="majorHAnsi"/>
          </w:rPr>
          <w:t xml:space="preserve">Wichmann, </w:t>
        </w:r>
        <w:r w:rsidRPr="00A10E8C">
          <w:rPr>
            <w:rStyle w:val="Hyperlink"/>
          </w:rPr>
          <w:t xml:space="preserve">in: Eisentraut, Verwaltungsrecht in der Klausur, 2020, § 10 </w:t>
        </w:r>
        <w:r w:rsidRPr="00A10E8C">
          <w:rPr>
            <w:rStyle w:val="Hyperlink"/>
            <w:rFonts w:cstheme="majorHAnsi"/>
          </w:rPr>
          <w:t>Rn. 28 ff.</w:t>
        </w:r>
      </w:hyperlink>
    </w:p>
  </w:footnote>
  <w:footnote w:id="522">
    <w:p w14:paraId="27A2C3CA" w14:textId="7777777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Dazu näher Brade, VR 2017, 130 (132 f.).</w:t>
      </w:r>
    </w:p>
  </w:footnote>
  <w:footnote w:id="523">
    <w:p w14:paraId="2A3DE9DC" w14:textId="1D99C9CF"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w:t>
      </w:r>
      <w:hyperlink r:id="rId386" w:history="1">
        <w:r w:rsidRPr="00D323D0">
          <w:rPr>
            <w:rStyle w:val="Hyperlink"/>
            <w:rFonts w:cstheme="majorHAnsi"/>
          </w:rPr>
          <w:t>VG Köln, Beschl. v. 18.7.2013, Az.: 19 L 877/13</w:t>
        </w:r>
      </w:hyperlink>
      <w:r w:rsidRPr="007A61F1">
        <w:rPr>
          <w:rFonts w:cstheme="majorHAnsi"/>
        </w:rPr>
        <w:t xml:space="preserve"> – juris, Rn. 8 ff.</w:t>
      </w:r>
    </w:p>
  </w:footnote>
  <w:footnote w:id="524">
    <w:p w14:paraId="24416FB8" w14:textId="5E838303"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Jüngst </w:t>
      </w:r>
      <w:hyperlink r:id="rId387" w:history="1">
        <w:r w:rsidRPr="00044B44">
          <w:rPr>
            <w:rStyle w:val="Hyperlink"/>
            <w:rFonts w:cstheme="majorHAnsi"/>
          </w:rPr>
          <w:t>SächsOVG, Beschl. v. 28.3.2018, Az.: 4 B 40/18</w:t>
        </w:r>
      </w:hyperlink>
      <w:r w:rsidRPr="007A61F1">
        <w:rPr>
          <w:rFonts w:cstheme="majorHAnsi"/>
        </w:rPr>
        <w:t xml:space="preserve"> = LKV 2018, 282; 20 Minuten: OVG Saarland, Beschl. v. 16.12.1997, Az.: 8 W 6/97 = NVwZ-RR 1998, 435 (436).</w:t>
      </w:r>
    </w:p>
  </w:footnote>
  <w:footnote w:id="525">
    <w:p w14:paraId="7D67B4AA" w14:textId="7777777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Struck, in: Wiesner, SGB VIII, 5. Aufl. 2015, § 24 Rn. 39.</w:t>
      </w:r>
    </w:p>
  </w:footnote>
  <w:footnote w:id="526">
    <w:p w14:paraId="0E8AE143" w14:textId="7777777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Vgl. Rixen, NJW 2012, 2839 (2841).</w:t>
      </w:r>
    </w:p>
  </w:footnote>
  <w:footnote w:id="527">
    <w:p w14:paraId="00F0726E" w14:textId="7777777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Wiesner, in: Wiesner, SGB VIII, 5. Aufl. 2015, § 5 Rn. 9.</w:t>
      </w:r>
    </w:p>
  </w:footnote>
  <w:footnote w:id="528">
    <w:p w14:paraId="23628416" w14:textId="3277BBA8"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Vg</w:t>
      </w:r>
      <w:r w:rsidRPr="00435BA0">
        <w:rPr>
          <w:rFonts w:cstheme="majorHAnsi"/>
        </w:rPr>
        <w:t xml:space="preserve">l. Winkler, in: Giesen/Kreikebohm/Rolfs/Udsching, Sozialrecht, Stand: </w:t>
      </w:r>
      <w:r>
        <w:rPr>
          <w:rFonts w:cstheme="majorHAnsi"/>
        </w:rPr>
        <w:t>1.6.2019</w:t>
      </w:r>
      <w:r w:rsidRPr="00435BA0">
        <w:rPr>
          <w:rFonts w:cstheme="majorHAnsi"/>
        </w:rPr>
        <w:t>, § 5 SGB VIII Rn. 3 m.w.N.</w:t>
      </w:r>
    </w:p>
  </w:footnote>
  <w:footnote w:id="529">
    <w:p w14:paraId="1571F439" w14:textId="7777777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So auch SächsOVG, Beschl. v. 16.6.2017, Az.: 5 L 47/17 = BeckRS 2017, 137405 Rn. 9.</w:t>
      </w:r>
    </w:p>
  </w:footnote>
  <w:footnote w:id="530">
    <w:p w14:paraId="4FB2DE79" w14:textId="2497009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Dagegen: </w:t>
      </w:r>
      <w:hyperlink r:id="rId388" w:history="1">
        <w:r w:rsidRPr="00017D77">
          <w:rPr>
            <w:rStyle w:val="Hyperlink"/>
            <w:rFonts w:cstheme="majorHAnsi"/>
          </w:rPr>
          <w:t>BVerwG, Urt. v. 26.10.2017, Az.: 5 C 19/16</w:t>
        </w:r>
      </w:hyperlink>
      <w:r w:rsidRPr="007A61F1">
        <w:rPr>
          <w:rFonts w:cstheme="majorHAnsi"/>
        </w:rPr>
        <w:t xml:space="preserve"> = NJW 2018, 1489 (1492 f.).</w:t>
      </w:r>
    </w:p>
  </w:footnote>
  <w:footnote w:id="531">
    <w:p w14:paraId="1C0DAD26" w14:textId="27AC5DC3"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w:t>
      </w:r>
      <w:hyperlink r:id="rId389" w:history="1">
        <w:r w:rsidRPr="00044B44">
          <w:rPr>
            <w:rStyle w:val="Hyperlink"/>
            <w:rFonts w:cstheme="majorHAnsi"/>
          </w:rPr>
          <w:t>VG Frankfurt, Beschl. v. 29.8.2013, Az.: 7 L 2889/13.F</w:t>
        </w:r>
      </w:hyperlink>
      <w:r w:rsidRPr="007A61F1">
        <w:rPr>
          <w:rFonts w:cstheme="majorHAnsi"/>
        </w:rPr>
        <w:t xml:space="preserve"> = BeckRS 2013, 55865.</w:t>
      </w:r>
    </w:p>
  </w:footnote>
  <w:footnote w:id="532">
    <w:p w14:paraId="53B85D3A" w14:textId="271CEBCB"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Pauly/Beutel, DÖV 2013, 445 (446 f.); </w:t>
      </w:r>
      <w:hyperlink r:id="rId390" w:history="1">
        <w:r w:rsidRPr="00017D77">
          <w:rPr>
            <w:rStyle w:val="Hyperlink"/>
            <w:rFonts w:cstheme="majorHAnsi"/>
          </w:rPr>
          <w:t>VGH Kassel, Beschl. v. 4.2.2014, Az.: 10 B 1973/13</w:t>
        </w:r>
      </w:hyperlink>
      <w:r w:rsidRPr="007A61F1">
        <w:rPr>
          <w:rFonts w:cstheme="majorHAnsi"/>
        </w:rPr>
        <w:t xml:space="preserve"> = NJW 2014, 1753. Jüngst VG Potsdam, Beschl. v. 21.7.2017, Az.: 7 L 417/17 – juris, Rn. 15 ff.; </w:t>
      </w:r>
      <w:hyperlink r:id="rId391" w:history="1">
        <w:r w:rsidRPr="00044B44">
          <w:rPr>
            <w:rStyle w:val="Hyperlink"/>
            <w:rFonts w:cstheme="majorHAnsi"/>
          </w:rPr>
          <w:t>VG Mainz, Beschl. v. 27.4.2018, Az.: 1 L 279/18.MZ</w:t>
        </w:r>
      </w:hyperlink>
      <w:r w:rsidRPr="007A61F1">
        <w:rPr>
          <w:rFonts w:cstheme="majorHAnsi"/>
        </w:rPr>
        <w:t xml:space="preserve"> = BeckRS 2018, 12810 Rn. 6.</w:t>
      </w:r>
    </w:p>
  </w:footnote>
  <w:footnote w:id="533">
    <w:p w14:paraId="62DD4C6A" w14:textId="561CCC6E"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SächsOVG, Beschl. v. 16.6.2017, Az.: 5 L 47/17 = BeckRS 2017, 137405 Rn. 7 ff.; </w:t>
      </w:r>
      <w:hyperlink r:id="rId392" w:anchor="focuspoint" w:history="1">
        <w:r w:rsidRPr="003B14EE">
          <w:rPr>
            <w:rStyle w:val="Hyperlink"/>
            <w:rFonts w:cstheme="majorHAnsi"/>
          </w:rPr>
          <w:t>OVG Berlin-Brandenburg, Beschl. v. 22.03.2018, Az.: 6 S 2.18</w:t>
        </w:r>
      </w:hyperlink>
      <w:r w:rsidRPr="007A61F1">
        <w:rPr>
          <w:rFonts w:cstheme="majorHAnsi"/>
        </w:rPr>
        <w:t xml:space="preserve"> – juris, Rn. 11 f.; ferner Mayer, VerwArch 2013, 344 (349 ff.); </w:t>
      </w:r>
      <w:hyperlink r:id="rId393" w:history="1">
        <w:r w:rsidRPr="003B14EE">
          <w:rPr>
            <w:rStyle w:val="Hyperlink"/>
            <w:rFonts w:cstheme="majorHAnsi"/>
          </w:rPr>
          <w:t>BayVGH, Urt. v. 22.7.2016, Az.: 12 BV 15.719</w:t>
        </w:r>
      </w:hyperlink>
      <w:r w:rsidRPr="007A61F1">
        <w:rPr>
          <w:rFonts w:cstheme="majorHAnsi"/>
        </w:rPr>
        <w:t xml:space="preserve"> = BeckRS 2016, 49986 Rn. 27.</w:t>
      </w:r>
    </w:p>
  </w:footnote>
  <w:footnote w:id="534">
    <w:p w14:paraId="5EC9703F" w14:textId="7777777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Vgl. Mayer, VerwArch 2013, 344 (348).</w:t>
      </w:r>
    </w:p>
  </w:footnote>
  <w:footnote w:id="535">
    <w:p w14:paraId="70E416BF" w14:textId="7777777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w:t>
      </w:r>
      <w:r w:rsidRPr="007A61F1">
        <w:rPr>
          <w:rFonts w:eastAsia="Times New Roman" w:cstheme="majorHAnsi"/>
        </w:rPr>
        <w:t>Vgl. Caspers, in: Staudinger, BGB, 2014, § 275 Rn. 22.</w:t>
      </w:r>
    </w:p>
  </w:footnote>
  <w:footnote w:id="536">
    <w:p w14:paraId="794992DF" w14:textId="7777777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So zu Recht SächsOVG, Beschl. v. 16.6.2017, Az.: 5 L 47/17 = BeckRS 2017, 137405 Rn. 7.</w:t>
      </w:r>
    </w:p>
  </w:footnote>
  <w:footnote w:id="537">
    <w:p w14:paraId="16946E06" w14:textId="7D094C66"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Vgl. auch </w:t>
      </w:r>
      <w:hyperlink r:id="rId394" w:history="1">
        <w:r w:rsidRPr="00C277B5">
          <w:rPr>
            <w:rStyle w:val="Hyperlink"/>
            <w:rFonts w:cstheme="majorHAnsi"/>
          </w:rPr>
          <w:t>BVerfG, Beschl. v. 10.11.1998, Az.: 2 BvR 1057, 1226, 980/91</w:t>
        </w:r>
      </w:hyperlink>
      <w:r w:rsidRPr="007A61F1">
        <w:rPr>
          <w:rFonts w:cstheme="majorHAnsi"/>
        </w:rPr>
        <w:t xml:space="preserve"> = BVerfGE 99, 216 (234). </w:t>
      </w:r>
      <w:r w:rsidRPr="007A61F1">
        <w:t>Das vom Schutzbereich der elterlichen Erziehungsverantwortung gem. Art. 6 II 1 GG erfasste Wahlrecht, ob die Eltern ihr Kind zu Hause betreuen oder in eine Kindertagesstätte geben, wird dadurch nicht berührt.</w:t>
      </w:r>
    </w:p>
  </w:footnote>
  <w:footnote w:id="538">
    <w:p w14:paraId="574D9D24" w14:textId="684725EE"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w:t>
      </w:r>
      <w:r>
        <w:rPr>
          <w:rFonts w:cstheme="majorHAnsi"/>
        </w:rPr>
        <w:t>S. </w:t>
      </w:r>
      <w:hyperlink r:id="rId395" w:history="1">
        <w:r w:rsidRPr="00A10E8C">
          <w:rPr>
            <w:rStyle w:val="Hyperlink"/>
            <w:rFonts w:cstheme="majorHAnsi"/>
          </w:rPr>
          <w:t xml:space="preserve">Wichmann, </w:t>
        </w:r>
        <w:r w:rsidRPr="00A10E8C">
          <w:rPr>
            <w:rStyle w:val="Hyperlink"/>
          </w:rPr>
          <w:t xml:space="preserve">in: Eisentraut, Verwaltungsrecht in der Klausur, 2020, § 10 </w:t>
        </w:r>
        <w:r w:rsidRPr="00A10E8C">
          <w:rPr>
            <w:rStyle w:val="Hyperlink"/>
            <w:rFonts w:cstheme="majorHAnsi"/>
          </w:rPr>
          <w:t>Rn. 41</w:t>
        </w:r>
      </w:hyperlink>
      <w:r w:rsidRPr="007A61F1">
        <w:rPr>
          <w:rFonts w:cstheme="majorHAnsi"/>
        </w:rPr>
        <w:t>.</w:t>
      </w:r>
    </w:p>
  </w:footnote>
  <w:footnote w:id="539">
    <w:p w14:paraId="57925A6C" w14:textId="77777777" w:rsidR="006D1FD1" w:rsidRPr="004240E8" w:rsidRDefault="006D1FD1" w:rsidP="007D1377">
      <w:pPr>
        <w:pStyle w:val="Funotentext"/>
        <w:rPr>
          <w:rFonts w:cstheme="majorHAnsi"/>
        </w:rPr>
      </w:pPr>
      <w:r w:rsidRPr="007A61F1">
        <w:rPr>
          <w:rStyle w:val="Funotenzeichen"/>
          <w:rFonts w:cstheme="majorHAnsi"/>
        </w:rPr>
        <w:footnoteRef/>
      </w:r>
      <w:r w:rsidRPr="007A61F1">
        <w:rPr>
          <w:rFonts w:cstheme="majorHAnsi"/>
        </w:rPr>
        <w:t xml:space="preserve"> Ähnlich SächsOVG, Beschl. v. 16.6.2017, Az.: 5 L 47/17 = BeckRS 2017, 137405 Rn. 18.</w:t>
      </w:r>
    </w:p>
  </w:footnote>
  <w:footnote w:id="540">
    <w:p w14:paraId="2700BD58" w14:textId="1633A6CF" w:rsidR="006D1FD1" w:rsidRPr="006007C7" w:rsidRDefault="006D1FD1" w:rsidP="00A64FD5">
      <w:pPr>
        <w:pStyle w:val="Funotentext"/>
      </w:pPr>
      <w:r w:rsidRPr="006007C7">
        <w:rPr>
          <w:rStyle w:val="Funotenzeichen"/>
        </w:rPr>
        <w:footnoteRef/>
      </w:r>
      <w:r w:rsidRPr="006007C7">
        <w:t xml:space="preserve"> </w:t>
      </w:r>
      <w:r>
        <w:rPr>
          <w:rFonts w:cstheme="minorHAnsi"/>
        </w:rPr>
        <w:t xml:space="preserve">S. </w:t>
      </w:r>
      <w:hyperlink r:id="rId396" w:history="1">
        <w:r w:rsidRPr="00A10E8C">
          <w:rPr>
            <w:rStyle w:val="Hyperlink"/>
            <w:rFonts w:cstheme="minorHAnsi"/>
          </w:rPr>
          <w:t>Himstedt</w:t>
        </w:r>
        <w:r w:rsidRPr="00A10E8C">
          <w:rPr>
            <w:rStyle w:val="Hyperlink"/>
            <w:rFonts w:cstheme="majorHAnsi"/>
          </w:rPr>
          <w:t xml:space="preserve">, </w:t>
        </w:r>
        <w:r w:rsidRPr="00A10E8C">
          <w:rPr>
            <w:rStyle w:val="Hyperlink"/>
          </w:rPr>
          <w:t>in: Eisentraut, Verwaltungsrecht in der Klausur, 2020, § 11</w:t>
        </w:r>
        <w:r w:rsidRPr="00A10E8C">
          <w:rPr>
            <w:rStyle w:val="Hyperlink"/>
            <w:rFonts w:cstheme="majorHAnsi"/>
          </w:rPr>
          <w:t> </w:t>
        </w:r>
        <w:r w:rsidRPr="00A10E8C">
          <w:rPr>
            <w:rStyle w:val="Hyperlink"/>
            <w:rFonts w:cstheme="minorHAnsi"/>
          </w:rPr>
          <w:t>Rn. 44</w:t>
        </w:r>
      </w:hyperlink>
      <w:r>
        <w:rPr>
          <w:rFonts w:cstheme="minorHAnsi"/>
        </w:rPr>
        <w:t>.</w:t>
      </w:r>
    </w:p>
  </w:footnote>
  <w:footnote w:id="541">
    <w:p w14:paraId="6FF2D2E4" w14:textId="134ADFA4" w:rsidR="006D1FD1" w:rsidRDefault="006D1FD1" w:rsidP="00943F09">
      <w:pPr>
        <w:pStyle w:val="Funotentext"/>
      </w:pPr>
      <w:r>
        <w:rPr>
          <w:rStyle w:val="Funotenzeichen"/>
        </w:rPr>
        <w:footnoteRef/>
      </w:r>
      <w:r>
        <w:t xml:space="preserve"> S. </w:t>
      </w:r>
      <w:hyperlink r:id="rId397" w:history="1">
        <w:r w:rsidRPr="00A10E8C">
          <w:rPr>
            <w:rStyle w:val="Hyperlink"/>
            <w:rFonts w:cstheme="minorHAnsi"/>
          </w:rPr>
          <w:t>Himstedt</w:t>
        </w:r>
        <w:r w:rsidRPr="00A10E8C">
          <w:rPr>
            <w:rStyle w:val="Hyperlink"/>
            <w:rFonts w:cstheme="majorHAnsi"/>
          </w:rPr>
          <w:t xml:space="preserve">, </w:t>
        </w:r>
        <w:r w:rsidRPr="00A10E8C">
          <w:rPr>
            <w:rStyle w:val="Hyperlink"/>
          </w:rPr>
          <w:t>in: Eisentraut, Verwaltungsrecht in der Klausur, 2020, § 11</w:t>
        </w:r>
        <w:r w:rsidRPr="00A10E8C">
          <w:rPr>
            <w:rStyle w:val="Hyperlink"/>
            <w:rFonts w:cstheme="majorHAnsi"/>
          </w:rPr>
          <w:t> </w:t>
        </w:r>
        <w:r w:rsidRPr="00A10E8C">
          <w:rPr>
            <w:rStyle w:val="Hyperlink"/>
            <w:rFonts w:cstheme="minorHAnsi"/>
          </w:rPr>
          <w:t>Rn. </w:t>
        </w:r>
        <w:r w:rsidRPr="00A10E8C">
          <w:rPr>
            <w:rStyle w:val="Hyperlink"/>
          </w:rPr>
          <w:t>55</w:t>
        </w:r>
      </w:hyperlink>
      <w:r>
        <w:t>.</w:t>
      </w:r>
    </w:p>
  </w:footnote>
  <w:footnote w:id="542">
    <w:p w14:paraId="00F3ED53" w14:textId="7C191303" w:rsidR="006D1FD1" w:rsidRDefault="006D1FD1" w:rsidP="00943F09">
      <w:pPr>
        <w:pStyle w:val="Funotentext"/>
      </w:pPr>
      <w:r>
        <w:rPr>
          <w:rStyle w:val="Funotenzeichen"/>
        </w:rPr>
        <w:footnoteRef/>
      </w:r>
      <w:r>
        <w:t xml:space="preserve"> Vgl.</w:t>
      </w:r>
      <w:r w:rsidRPr="005000BD">
        <w:rPr>
          <w:rFonts w:cstheme="minorHAnsi"/>
        </w:rPr>
        <w:t xml:space="preserve"> </w:t>
      </w:r>
      <w:hyperlink r:id="rId398" w:history="1">
        <w:r w:rsidRPr="00A10E8C">
          <w:rPr>
            <w:rStyle w:val="Hyperlink"/>
            <w:rFonts w:cstheme="minorHAnsi"/>
          </w:rPr>
          <w:t>Himstedt</w:t>
        </w:r>
        <w:r w:rsidRPr="00A10E8C">
          <w:rPr>
            <w:rStyle w:val="Hyperlink"/>
            <w:rFonts w:cstheme="majorHAnsi"/>
          </w:rPr>
          <w:t xml:space="preserve">, </w:t>
        </w:r>
        <w:r w:rsidRPr="00A10E8C">
          <w:rPr>
            <w:rStyle w:val="Hyperlink"/>
          </w:rPr>
          <w:t>in: Eisentraut, Verwaltungsrecht in der Klausur, 2020, § 11</w:t>
        </w:r>
        <w:r w:rsidRPr="00A10E8C">
          <w:rPr>
            <w:rStyle w:val="Hyperlink"/>
            <w:rFonts w:cstheme="majorHAnsi"/>
          </w:rPr>
          <w:t> </w:t>
        </w:r>
        <w:r w:rsidRPr="00A10E8C">
          <w:rPr>
            <w:rStyle w:val="Hyperlink"/>
            <w:rFonts w:cstheme="minorHAnsi"/>
          </w:rPr>
          <w:t>Rn.</w:t>
        </w:r>
        <w:r w:rsidRPr="00A10E8C">
          <w:rPr>
            <w:rStyle w:val="Hyperlink"/>
          </w:rPr>
          <w:t xml:space="preserve"> 57</w:t>
        </w:r>
      </w:hyperlink>
      <w:r>
        <w:t>.</w:t>
      </w:r>
    </w:p>
  </w:footnote>
  <w:footnote w:id="543">
    <w:p w14:paraId="7A62F6ED" w14:textId="76E9B67D" w:rsidR="006D1FD1" w:rsidRDefault="006D1FD1" w:rsidP="00A64FD5">
      <w:pPr>
        <w:pStyle w:val="Funotentext"/>
      </w:pPr>
      <w:r>
        <w:rPr>
          <w:rStyle w:val="Funotenzeichen"/>
        </w:rPr>
        <w:footnoteRef/>
      </w:r>
      <w:r>
        <w:t xml:space="preserve"> </w:t>
      </w:r>
      <w:hyperlink r:id="rId399" w:history="1">
        <w:r>
          <w:rPr>
            <w:rStyle w:val="Hyperlink"/>
          </w:rPr>
          <w:t>BGH, U</w:t>
        </w:r>
        <w:r w:rsidRPr="00AF6ACE">
          <w:rPr>
            <w:rStyle w:val="Hyperlink"/>
          </w:rPr>
          <w:t>rt. v. 23.11.2017, Az.: III ZR 60/16</w:t>
        </w:r>
      </w:hyperlink>
      <w:r w:rsidRPr="006007C7">
        <w:t xml:space="preserve"> = NJW 2018, 301 (304).</w:t>
      </w:r>
    </w:p>
  </w:footnote>
  <w:footnote w:id="544">
    <w:p w14:paraId="41A7DE1B" w14:textId="301FE528" w:rsidR="006D1FD1" w:rsidRPr="00213C60" w:rsidRDefault="006D1FD1" w:rsidP="00A64FD5">
      <w:pPr>
        <w:pStyle w:val="Funotentext"/>
        <w:rPr>
          <w:rFonts w:cstheme="minorHAnsi"/>
        </w:rPr>
      </w:pPr>
      <w:r>
        <w:rPr>
          <w:rStyle w:val="Funotenzeichen"/>
        </w:rPr>
        <w:footnoteRef/>
      </w:r>
      <w:r>
        <w:t xml:space="preserve"> S. </w:t>
      </w:r>
      <w:hyperlink r:id="rId400" w:history="1">
        <w:r w:rsidRPr="00A10E8C">
          <w:rPr>
            <w:rStyle w:val="Hyperlink"/>
            <w:rFonts w:cstheme="minorHAnsi"/>
          </w:rPr>
          <w:t>Himstedt</w:t>
        </w:r>
        <w:r w:rsidRPr="00A10E8C">
          <w:rPr>
            <w:rStyle w:val="Hyperlink"/>
            <w:rFonts w:cstheme="majorHAnsi"/>
          </w:rPr>
          <w:t xml:space="preserve">, </w:t>
        </w:r>
        <w:r w:rsidRPr="00A10E8C">
          <w:rPr>
            <w:rStyle w:val="Hyperlink"/>
          </w:rPr>
          <w:t>in: Eisentraut, Verwaltungsrecht in der Klausur, 2020, § 11</w:t>
        </w:r>
        <w:r w:rsidRPr="00A10E8C">
          <w:rPr>
            <w:rStyle w:val="Hyperlink"/>
            <w:rFonts w:cstheme="majorHAnsi"/>
          </w:rPr>
          <w:t> </w:t>
        </w:r>
        <w:r w:rsidRPr="00A10E8C">
          <w:rPr>
            <w:rStyle w:val="Hyperlink"/>
            <w:rFonts w:cstheme="minorHAnsi"/>
          </w:rPr>
          <w:t>Rn. </w:t>
        </w:r>
        <w:r w:rsidRPr="00A10E8C">
          <w:rPr>
            <w:rStyle w:val="Hyperlink"/>
          </w:rPr>
          <w:t>43</w:t>
        </w:r>
      </w:hyperlink>
      <w:r>
        <w:t>.</w:t>
      </w:r>
    </w:p>
  </w:footnote>
  <w:footnote w:id="545">
    <w:p w14:paraId="60007CF6" w14:textId="77777777" w:rsidR="006D1FD1" w:rsidRDefault="006D1FD1" w:rsidP="00A64FD5">
      <w:pPr>
        <w:pStyle w:val="Funotentext"/>
      </w:pPr>
      <w:r>
        <w:rPr>
          <w:rStyle w:val="Funotenzeichen"/>
        </w:rPr>
        <w:footnoteRef/>
      </w:r>
      <w:r>
        <w:t xml:space="preserve"> Schmitz in: Stelkens/Bonk/Sachs, VwVfG, 9. Aufl. 2018, § 12 Rn. 9.</w:t>
      </w:r>
    </w:p>
  </w:footnote>
  <w:footnote w:id="546">
    <w:p w14:paraId="0DC6CA54" w14:textId="77777777" w:rsidR="006D1FD1" w:rsidRDefault="006D1FD1" w:rsidP="00A64FD5">
      <w:pPr>
        <w:pStyle w:val="Funotentext"/>
      </w:pPr>
      <w:r>
        <w:rPr>
          <w:rStyle w:val="Funotenzeichen"/>
        </w:rPr>
        <w:footnoteRef/>
      </w:r>
      <w:r>
        <w:t xml:space="preserve"> De Wall, Die Anwendbarkeit privatrechtlicher Vorschriften im Verwaltungsrecht, 1999, S. 203; Meyer, Die Stellung des Minderjährigen im öffentlichen Recht, 1988, S. 76.</w:t>
      </w:r>
    </w:p>
  </w:footnote>
  <w:footnote w:id="547">
    <w:p w14:paraId="1E4CADA4" w14:textId="65D3D67B" w:rsidR="006D1FD1" w:rsidRDefault="006D1FD1" w:rsidP="00A64FD5">
      <w:pPr>
        <w:pStyle w:val="Funotentext"/>
      </w:pPr>
      <w:r>
        <w:rPr>
          <w:rStyle w:val="Funotenzeichen"/>
        </w:rPr>
        <w:footnoteRef/>
      </w:r>
      <w:r>
        <w:t xml:space="preserve"> </w:t>
      </w:r>
      <w:r w:rsidRPr="00A610B2">
        <w:t xml:space="preserve">Brinktrine in: </w:t>
      </w:r>
      <w:r>
        <w:t>Brinktrine</w:t>
      </w:r>
      <w:r w:rsidRPr="00A610B2">
        <w:t>/Kastner, Fallsammlung zum Verwaltungsrecht, 2. Aufl. 2005, S. 254.</w:t>
      </w:r>
    </w:p>
  </w:footnote>
  <w:footnote w:id="548">
    <w:p w14:paraId="7EAE3E19" w14:textId="385F4A34" w:rsidR="006D1FD1" w:rsidRDefault="006D1FD1" w:rsidP="00A64FD5">
      <w:pPr>
        <w:pStyle w:val="Funotentext"/>
      </w:pPr>
      <w:r>
        <w:rPr>
          <w:rStyle w:val="Funotenzeichen"/>
        </w:rPr>
        <w:footnoteRef/>
      </w:r>
      <w:r>
        <w:t xml:space="preserve"> </w:t>
      </w:r>
      <w:hyperlink r:id="rId401" w:history="1">
        <w:r>
          <w:rPr>
            <w:rStyle w:val="Hyperlink"/>
          </w:rPr>
          <w:t>LG Münster, U</w:t>
        </w:r>
        <w:r w:rsidRPr="00AF6ACE">
          <w:rPr>
            <w:rStyle w:val="Hyperlink"/>
          </w:rPr>
          <w:t>rt. v. 17.5.2006, Az.: 12 O 639/04</w:t>
        </w:r>
      </w:hyperlink>
      <w:r w:rsidRPr="00535253">
        <w:t xml:space="preserve"> </w:t>
      </w:r>
      <w:r>
        <w:t xml:space="preserve">= </w:t>
      </w:r>
      <w:r w:rsidRPr="00535253">
        <w:t>NJW-RR 2007, 904</w:t>
      </w:r>
      <w:r>
        <w:t xml:space="preserve"> (905).</w:t>
      </w:r>
      <w:r w:rsidRPr="00535253">
        <w:t xml:space="preserve"> </w:t>
      </w:r>
    </w:p>
  </w:footnote>
  <w:footnote w:id="549">
    <w:p w14:paraId="7D9136E5" w14:textId="6B806994" w:rsidR="006D1FD1" w:rsidRDefault="006D1FD1" w:rsidP="00A64FD5">
      <w:pPr>
        <w:pStyle w:val="Funotentext"/>
      </w:pPr>
      <w:r>
        <w:rPr>
          <w:rStyle w:val="Funotenzeichen"/>
        </w:rPr>
        <w:footnoteRef/>
      </w:r>
      <w:r>
        <w:t xml:space="preserve"> </w:t>
      </w:r>
      <w:hyperlink r:id="rId402" w:history="1">
        <w:r>
          <w:rPr>
            <w:rStyle w:val="Hyperlink"/>
          </w:rPr>
          <w:t>BGH, U</w:t>
        </w:r>
        <w:r w:rsidRPr="00AF6ACE">
          <w:rPr>
            <w:rStyle w:val="Hyperlink"/>
          </w:rPr>
          <w:t>rt. v. 21.3.2000, Az.: VI ZR 158/99</w:t>
        </w:r>
      </w:hyperlink>
      <w:r>
        <w:t xml:space="preserve"> = NJW 2000, 1946.</w:t>
      </w:r>
    </w:p>
  </w:footnote>
  <w:footnote w:id="550">
    <w:p w14:paraId="46F3EC19" w14:textId="405BFC0E" w:rsidR="006D1FD1" w:rsidRDefault="006D1FD1" w:rsidP="00A64FD5">
      <w:pPr>
        <w:pStyle w:val="Funotentext"/>
      </w:pPr>
      <w:r>
        <w:rPr>
          <w:rStyle w:val="Funotenzeichen"/>
        </w:rPr>
        <w:footnoteRef/>
      </w:r>
      <w:r>
        <w:t xml:space="preserve"> </w:t>
      </w:r>
      <w:hyperlink r:id="rId403" w:history="1">
        <w:r>
          <w:rPr>
            <w:rStyle w:val="Hyperlink"/>
          </w:rPr>
          <w:t>OLG Karlsruhe, U</w:t>
        </w:r>
        <w:r w:rsidRPr="00AF6ACE">
          <w:rPr>
            <w:rStyle w:val="Hyperlink"/>
          </w:rPr>
          <w:t>rt. v. 10.8.2007, Az.: 14 U 8/06</w:t>
        </w:r>
      </w:hyperlink>
      <w:r>
        <w:t xml:space="preserve"> = </w:t>
      </w:r>
      <w:r w:rsidRPr="00A610B2">
        <w:t>NJW-RR 2008, 184</w:t>
      </w:r>
      <w:r>
        <w:t xml:space="preserve"> (185); Katzenmeier, JZ 2018, 415 (416).</w:t>
      </w:r>
    </w:p>
  </w:footnote>
  <w:footnote w:id="551">
    <w:p w14:paraId="16B54D22" w14:textId="67A3CBC1" w:rsidR="006D1FD1" w:rsidRDefault="006D1FD1" w:rsidP="00A64FD5">
      <w:pPr>
        <w:pStyle w:val="Funotentext"/>
      </w:pPr>
      <w:r>
        <w:rPr>
          <w:rStyle w:val="Funotenzeichen"/>
        </w:rPr>
        <w:footnoteRef/>
      </w:r>
      <w:r>
        <w:t xml:space="preserve"> Insgesamt </w:t>
      </w:r>
      <w:hyperlink r:id="rId404" w:history="1">
        <w:r>
          <w:rPr>
            <w:rStyle w:val="Hyperlink"/>
          </w:rPr>
          <w:t>BGH, U</w:t>
        </w:r>
        <w:r w:rsidRPr="00AF6ACE">
          <w:rPr>
            <w:rStyle w:val="Hyperlink"/>
          </w:rPr>
          <w:t>rt. v. 23.11.2017, Az.: III ZR 60/16</w:t>
        </w:r>
      </w:hyperlink>
      <w:r w:rsidRPr="006007C7">
        <w:t xml:space="preserve"> = NJW 2018, 301</w:t>
      </w:r>
      <w:r>
        <w:t xml:space="preserve"> (302).</w:t>
      </w:r>
    </w:p>
  </w:footnote>
  <w:footnote w:id="552">
    <w:p w14:paraId="445CC0DB" w14:textId="3058D4D8" w:rsidR="006D1FD1" w:rsidRDefault="006D1FD1" w:rsidP="00A64FD5">
      <w:pPr>
        <w:pStyle w:val="Funotentext"/>
      </w:pPr>
      <w:r>
        <w:rPr>
          <w:rStyle w:val="Funotenzeichen"/>
        </w:rPr>
        <w:footnoteRef/>
      </w:r>
      <w:r>
        <w:t xml:space="preserve"> Mit diesem Aspekt zieht das Gericht der Sache nach die aus dem Polizeirecht im Rahmen des Gefahrenbegriffs bekannte </w:t>
      </w:r>
      <w:r w:rsidRPr="0077320D">
        <w:t xml:space="preserve">„Je-desto-Formel“ </w:t>
      </w:r>
      <w:r>
        <w:t xml:space="preserve">zur Bestimmung der Amtspflicht heran: Je bedeutsamer das gefährdete Rechtsgut und je höher der zu erwartende Schaden ist, desto eher ist ein hoheitliches Einschreiten geboten (s. zu diesem Grundsatz im Polizei- und Ordnungsrecht </w:t>
      </w:r>
      <w:hyperlink r:id="rId405" w:history="1">
        <w:r w:rsidRPr="001B5368">
          <w:rPr>
            <w:rStyle w:val="Hyperlink"/>
          </w:rPr>
          <w:t>Eisentraut, in: Eisentraut, Verwaltungsrecht in der Klausur, 2020, § 2 Rn. 1117</w:t>
        </w:r>
      </w:hyperlink>
      <w:r>
        <w:t>).</w:t>
      </w:r>
    </w:p>
  </w:footnote>
  <w:footnote w:id="553">
    <w:p w14:paraId="355F718B" w14:textId="70A3EC2B" w:rsidR="006D1FD1" w:rsidRDefault="006D1FD1" w:rsidP="00A64FD5">
      <w:pPr>
        <w:pStyle w:val="Funotentext"/>
      </w:pPr>
      <w:r>
        <w:rPr>
          <w:rStyle w:val="Funotenzeichen"/>
        </w:rPr>
        <w:footnoteRef/>
      </w:r>
      <w:r>
        <w:t xml:space="preserve"> </w:t>
      </w:r>
      <w:hyperlink r:id="rId406" w:history="1">
        <w:r>
          <w:rPr>
            <w:rStyle w:val="Hyperlink"/>
          </w:rPr>
          <w:t>BGH, U</w:t>
        </w:r>
        <w:r w:rsidRPr="00ED05DA">
          <w:rPr>
            <w:rStyle w:val="Hyperlink"/>
          </w:rPr>
          <w:t>rt. v. 23.11.2017, Az.: III ZR 60/16</w:t>
        </w:r>
      </w:hyperlink>
      <w:r w:rsidRPr="006007C7">
        <w:t xml:space="preserve"> = NJW 2018, 301</w:t>
      </w:r>
      <w:r>
        <w:t xml:space="preserve"> (303).</w:t>
      </w:r>
    </w:p>
  </w:footnote>
  <w:footnote w:id="554">
    <w:p w14:paraId="2993AF20" w14:textId="54CA1849" w:rsidR="006D1FD1" w:rsidRDefault="006D1FD1" w:rsidP="00A64FD5">
      <w:pPr>
        <w:pStyle w:val="Funotentext"/>
      </w:pPr>
      <w:r>
        <w:rPr>
          <w:rStyle w:val="Funotenzeichen"/>
        </w:rPr>
        <w:footnoteRef/>
      </w:r>
      <w:r>
        <w:t xml:space="preserve"> Dazu </w:t>
      </w:r>
      <w:hyperlink r:id="rId407" w:history="1">
        <w:r w:rsidRPr="00A10E8C">
          <w:rPr>
            <w:rStyle w:val="Hyperlink"/>
            <w:rFonts w:cstheme="minorHAnsi"/>
          </w:rPr>
          <w:t>Himstedt</w:t>
        </w:r>
        <w:r w:rsidRPr="00A10E8C">
          <w:rPr>
            <w:rStyle w:val="Hyperlink"/>
            <w:rFonts w:cstheme="majorHAnsi"/>
          </w:rPr>
          <w:t xml:space="preserve">, </w:t>
        </w:r>
        <w:r w:rsidRPr="00A10E8C">
          <w:rPr>
            <w:rStyle w:val="Hyperlink"/>
          </w:rPr>
          <w:t>in: Eisentraut, Verwaltungsrecht in der Klausur, 2020, § 11</w:t>
        </w:r>
        <w:r w:rsidRPr="00A10E8C">
          <w:rPr>
            <w:rStyle w:val="Hyperlink"/>
            <w:rFonts w:cstheme="majorHAnsi"/>
          </w:rPr>
          <w:t> </w:t>
        </w:r>
        <w:r w:rsidRPr="00A10E8C">
          <w:rPr>
            <w:rStyle w:val="Hyperlink"/>
            <w:rFonts w:cstheme="minorHAnsi"/>
          </w:rPr>
          <w:t>Rn. </w:t>
        </w:r>
        <w:r w:rsidRPr="00A10E8C">
          <w:rPr>
            <w:rStyle w:val="Hyperlink"/>
          </w:rPr>
          <w:t>45</w:t>
        </w:r>
      </w:hyperlink>
      <w:r>
        <w:t>.</w:t>
      </w:r>
    </w:p>
  </w:footnote>
  <w:footnote w:id="555">
    <w:p w14:paraId="21B218FF" w14:textId="77777777" w:rsidR="006D1FD1" w:rsidRDefault="006D1FD1" w:rsidP="00A64FD5">
      <w:pPr>
        <w:pStyle w:val="Funotentext"/>
      </w:pPr>
      <w:r>
        <w:rPr>
          <w:rStyle w:val="Funotenzeichen"/>
        </w:rPr>
        <w:footnoteRef/>
      </w:r>
      <w:r>
        <w:t xml:space="preserve"> Zur Definition der groben Fahrlässigkeit etwa Stadler in: Jauernig, BGB, 17. Aufl. 2018, § 276 Rn. 33.</w:t>
      </w:r>
    </w:p>
  </w:footnote>
  <w:footnote w:id="556">
    <w:p w14:paraId="4875B538" w14:textId="77777777" w:rsidR="006D1FD1" w:rsidRDefault="006D1FD1" w:rsidP="00A64FD5">
      <w:pPr>
        <w:pStyle w:val="Funotentext"/>
      </w:pPr>
      <w:r>
        <w:rPr>
          <w:rStyle w:val="Funotenzeichen"/>
        </w:rPr>
        <w:footnoteRef/>
      </w:r>
      <w:r>
        <w:t xml:space="preserve"> So im Ergebnis die Berufungsinstanz, s. </w:t>
      </w:r>
      <w:r w:rsidRPr="007C7254">
        <w:t>OLG Koblenz, Urt</w:t>
      </w:r>
      <w:r>
        <w:t>. v.</w:t>
      </w:r>
      <w:r w:rsidRPr="007C7254">
        <w:t xml:space="preserve"> </w:t>
      </w:r>
      <w:r>
        <w:t>7.1.</w:t>
      </w:r>
      <w:r w:rsidRPr="007C7254">
        <w:t>2016</w:t>
      </w:r>
      <w:r>
        <w:t xml:space="preserve">, Az.: </w:t>
      </w:r>
      <w:r w:rsidRPr="007C7254">
        <w:t xml:space="preserve">1 U 862/14 </w:t>
      </w:r>
      <w:r>
        <w:t>= MDR 2016, 157.</w:t>
      </w:r>
    </w:p>
  </w:footnote>
  <w:footnote w:id="557">
    <w:p w14:paraId="66B6033A" w14:textId="77777777" w:rsidR="006D1FD1" w:rsidRDefault="006D1FD1" w:rsidP="00A64FD5">
      <w:pPr>
        <w:pStyle w:val="Funotentext"/>
      </w:pPr>
      <w:r>
        <w:rPr>
          <w:rStyle w:val="Funotenzeichen"/>
        </w:rPr>
        <w:footnoteRef/>
      </w:r>
      <w:r>
        <w:t xml:space="preserve"> </w:t>
      </w:r>
      <w:r w:rsidRPr="00554CC9">
        <w:rPr>
          <w:rFonts w:cstheme="minorHAnsi"/>
        </w:rPr>
        <w:t xml:space="preserve">Eingehend </w:t>
      </w:r>
      <w:r>
        <w:rPr>
          <w:rFonts w:cstheme="minorHAnsi"/>
        </w:rPr>
        <w:t xml:space="preserve">zu diesem </w:t>
      </w:r>
      <w:r w:rsidRPr="00554CC9">
        <w:rPr>
          <w:rFonts w:cstheme="minorHAnsi"/>
        </w:rPr>
        <w:t>Zimmermann, JA 2018, 249.</w:t>
      </w:r>
    </w:p>
  </w:footnote>
  <w:footnote w:id="558">
    <w:p w14:paraId="6FA6B8C3" w14:textId="77777777" w:rsidR="006D1FD1" w:rsidRPr="00554CC9" w:rsidRDefault="006D1FD1" w:rsidP="00A64FD5">
      <w:pPr>
        <w:pStyle w:val="Funotentext"/>
        <w:rPr>
          <w:rFonts w:cstheme="minorHAnsi"/>
        </w:rPr>
      </w:pPr>
      <w:r w:rsidRPr="00554CC9">
        <w:rPr>
          <w:rStyle w:val="Funotenzeichen"/>
          <w:rFonts w:cstheme="minorHAnsi"/>
        </w:rPr>
        <w:footnoteRef/>
      </w:r>
      <w:r w:rsidRPr="00554CC9">
        <w:rPr>
          <w:rFonts w:cstheme="minorHAnsi"/>
        </w:rPr>
        <w:t xml:space="preserve"> Barczak, VerwArch 2018, 363 (392).</w:t>
      </w:r>
    </w:p>
  </w:footnote>
  <w:footnote w:id="559">
    <w:p w14:paraId="6F367E6F" w14:textId="6151D1C2" w:rsidR="006D1FD1" w:rsidRDefault="006D1FD1" w:rsidP="00011C34">
      <w:pPr>
        <w:pStyle w:val="Funotentext"/>
      </w:pPr>
      <w:r>
        <w:rPr>
          <w:rStyle w:val="Funotenzeichen"/>
        </w:rPr>
        <w:footnoteRef/>
      </w:r>
      <w:r>
        <w:t xml:space="preserve"> S. </w:t>
      </w:r>
      <w:hyperlink r:id="rId408" w:history="1">
        <w:r w:rsidRPr="00A10E8C">
          <w:rPr>
            <w:rStyle w:val="Hyperlink"/>
            <w:rFonts w:cstheme="minorHAnsi"/>
          </w:rPr>
          <w:t>Himstedt</w:t>
        </w:r>
        <w:r w:rsidRPr="00A10E8C">
          <w:rPr>
            <w:rStyle w:val="Hyperlink"/>
            <w:rFonts w:cstheme="majorHAnsi"/>
          </w:rPr>
          <w:t xml:space="preserve">, </w:t>
        </w:r>
        <w:r w:rsidRPr="00A10E8C">
          <w:rPr>
            <w:rStyle w:val="Hyperlink"/>
          </w:rPr>
          <w:t>in: Eisentraut, Verwaltungsrecht in der Klausur, 2020, § 11</w:t>
        </w:r>
        <w:r w:rsidRPr="00A10E8C">
          <w:rPr>
            <w:rStyle w:val="Hyperlink"/>
            <w:rFonts w:cstheme="majorHAnsi"/>
          </w:rPr>
          <w:t> </w:t>
        </w:r>
        <w:r w:rsidRPr="00A10E8C">
          <w:rPr>
            <w:rStyle w:val="Hyperlink"/>
            <w:rFonts w:cstheme="minorHAnsi"/>
          </w:rPr>
          <w:t>Rn. </w:t>
        </w:r>
        <w:r w:rsidRPr="00A10E8C">
          <w:rPr>
            <w:rStyle w:val="Hyperlink"/>
          </w:rPr>
          <w:t>59</w:t>
        </w:r>
      </w:hyperlink>
      <w:r>
        <w:t>.</w:t>
      </w:r>
    </w:p>
  </w:footnote>
  <w:footnote w:id="560">
    <w:p w14:paraId="6A0AF1DF" w14:textId="38B7EAC2" w:rsidR="006D1FD1" w:rsidRPr="00554CC9" w:rsidRDefault="006D1FD1" w:rsidP="00A64FD5">
      <w:pPr>
        <w:pStyle w:val="Funotentext"/>
        <w:rPr>
          <w:rFonts w:cstheme="minorHAnsi"/>
        </w:rPr>
      </w:pPr>
      <w:r w:rsidRPr="00554CC9">
        <w:rPr>
          <w:rStyle w:val="Funotenzeichen"/>
          <w:rFonts w:cstheme="minorHAnsi"/>
        </w:rPr>
        <w:footnoteRef/>
      </w:r>
      <w:r w:rsidRPr="00554CC9">
        <w:rPr>
          <w:rFonts w:cstheme="minorHAnsi"/>
        </w:rPr>
        <w:t xml:space="preserve"> </w:t>
      </w:r>
      <w:hyperlink r:id="rId409" w:history="1">
        <w:r>
          <w:rPr>
            <w:rStyle w:val="Hyperlink"/>
            <w:rFonts w:cstheme="minorHAnsi"/>
          </w:rPr>
          <w:t>BGH, U</w:t>
        </w:r>
        <w:r w:rsidRPr="007A7DA2">
          <w:rPr>
            <w:rStyle w:val="Hyperlink"/>
            <w:rFonts w:cstheme="minorHAnsi"/>
          </w:rPr>
          <w:t>rt. v. 21.6.2007, Az.: III ZR 177/06</w:t>
        </w:r>
      </w:hyperlink>
      <w:r w:rsidRPr="00554CC9">
        <w:rPr>
          <w:rFonts w:cstheme="minorHAnsi"/>
        </w:rPr>
        <w:t xml:space="preserve"> = NVwZ 2008, 238 (239).</w:t>
      </w:r>
    </w:p>
  </w:footnote>
  <w:footnote w:id="561">
    <w:p w14:paraId="40EDDA8B" w14:textId="77777777" w:rsidR="006D1FD1" w:rsidRDefault="006D1FD1" w:rsidP="00A64FD5">
      <w:pPr>
        <w:pStyle w:val="Funotentext"/>
      </w:pPr>
      <w:r>
        <w:rPr>
          <w:rStyle w:val="Funotenzeichen"/>
        </w:rPr>
        <w:footnoteRef/>
      </w:r>
      <w:r>
        <w:t xml:space="preserve"> </w:t>
      </w:r>
      <w:r w:rsidRPr="00554CC9">
        <w:rPr>
          <w:rFonts w:cstheme="minorHAnsi"/>
        </w:rPr>
        <w:t>Baldus/Grzeszick/Wienhues, Staatshaftungsrecht, 5. Aufl. 2018 Rn.</w:t>
      </w:r>
      <w:r>
        <w:rPr>
          <w:rFonts w:cstheme="minorHAnsi"/>
        </w:rPr>
        <w:t xml:space="preserve"> 254.</w:t>
      </w:r>
    </w:p>
  </w:footnote>
  <w:footnote w:id="562">
    <w:p w14:paraId="7FE5DADD" w14:textId="77777777" w:rsidR="006D1FD1" w:rsidRDefault="006D1FD1" w:rsidP="00A64FD5">
      <w:pPr>
        <w:pStyle w:val="Funotentext"/>
      </w:pPr>
      <w:r>
        <w:rPr>
          <w:rStyle w:val="Funotenzeichen"/>
        </w:rPr>
        <w:footnoteRef/>
      </w:r>
      <w:r>
        <w:t xml:space="preserve"> Vgl. Katzenmeier, JZ 2018, 415 (419).</w:t>
      </w:r>
    </w:p>
  </w:footnote>
  <w:footnote w:id="563">
    <w:p w14:paraId="300A3E5B" w14:textId="77777777" w:rsidR="006D1FD1" w:rsidRPr="00554CC9" w:rsidRDefault="006D1FD1" w:rsidP="00A64FD5">
      <w:pPr>
        <w:pStyle w:val="Funotentext"/>
        <w:rPr>
          <w:rFonts w:cstheme="minorHAnsi"/>
        </w:rPr>
      </w:pPr>
      <w:r w:rsidRPr="00554CC9">
        <w:rPr>
          <w:rStyle w:val="Funotenzeichen"/>
          <w:rFonts w:cstheme="minorHAnsi"/>
        </w:rPr>
        <w:footnoteRef/>
      </w:r>
      <w:r w:rsidRPr="00554CC9">
        <w:rPr>
          <w:rFonts w:cstheme="minorHAnsi"/>
        </w:rPr>
        <w:t xml:space="preserve"> Heintzen, NVwZ 1992, 857 (858).</w:t>
      </w:r>
    </w:p>
  </w:footnote>
  <w:footnote w:id="564">
    <w:p w14:paraId="1406FC75" w14:textId="77777777" w:rsidR="006D1FD1" w:rsidRPr="00554CC9" w:rsidRDefault="006D1FD1" w:rsidP="00A64FD5">
      <w:pPr>
        <w:pStyle w:val="Funotentext"/>
        <w:rPr>
          <w:rFonts w:cstheme="minorHAnsi"/>
        </w:rPr>
      </w:pPr>
      <w:r w:rsidRPr="00554CC9">
        <w:rPr>
          <w:rStyle w:val="Funotenzeichen"/>
          <w:rFonts w:cstheme="minorHAnsi"/>
        </w:rPr>
        <w:footnoteRef/>
      </w:r>
      <w:r w:rsidRPr="00554CC9">
        <w:rPr>
          <w:rFonts w:cstheme="minorHAnsi"/>
        </w:rPr>
        <w:t xml:space="preserve"> Ehlers, Jura 2012, 691 (699); Ossenbühl/Cornils, Staatshaftungsrecht, 6. Aufl. 2013, S. 441.</w:t>
      </w:r>
    </w:p>
  </w:footnote>
  <w:footnote w:id="565">
    <w:p w14:paraId="6B0FCE59" w14:textId="77777777" w:rsidR="006D1FD1" w:rsidRPr="00554CC9" w:rsidRDefault="006D1FD1" w:rsidP="00A64FD5">
      <w:pPr>
        <w:pStyle w:val="Funotentext"/>
        <w:rPr>
          <w:rFonts w:cstheme="minorHAnsi"/>
        </w:rPr>
      </w:pPr>
      <w:r w:rsidRPr="00554CC9">
        <w:rPr>
          <w:rStyle w:val="Funotenzeichen"/>
          <w:rFonts w:cstheme="minorHAnsi"/>
        </w:rPr>
        <w:footnoteRef/>
      </w:r>
      <w:r w:rsidRPr="00554CC9">
        <w:rPr>
          <w:rFonts w:cstheme="minorHAnsi"/>
        </w:rPr>
        <w:t xml:space="preserve"> Gurlit in: Ehlers/Pünder, Allgemeines Verwaltungsrecht, 15. Aufl. 2015, § 35 Rn. 38.</w:t>
      </w:r>
    </w:p>
  </w:footnote>
  <w:footnote w:id="566">
    <w:p w14:paraId="586C0EDD" w14:textId="2E1B5A1D" w:rsidR="006D1FD1" w:rsidRDefault="006D1FD1" w:rsidP="00A64FD5">
      <w:pPr>
        <w:pStyle w:val="Funotentext"/>
      </w:pPr>
      <w:r>
        <w:rPr>
          <w:rStyle w:val="Funotenzeichen"/>
        </w:rPr>
        <w:footnoteRef/>
      </w:r>
      <w:r>
        <w:t xml:space="preserve"> Im zugrundeliegenden Fall hat das Gericht sogar explizit klargestellt, dass eine entsprechende Regelung im zivilrechtlich ausgestalteten Nutzungsverhältnis unwirksam wäre: </w:t>
      </w:r>
      <w:hyperlink r:id="rId410" w:history="1">
        <w:r>
          <w:rPr>
            <w:rStyle w:val="Hyperlink"/>
          </w:rPr>
          <w:t>BGH, U</w:t>
        </w:r>
        <w:r w:rsidRPr="007A7DA2">
          <w:rPr>
            <w:rStyle w:val="Hyperlink"/>
          </w:rPr>
          <w:t>rt. v. 23.11.2017, Az.: III ZR 60/16</w:t>
        </w:r>
      </w:hyperlink>
      <w:r w:rsidRPr="009D4F6D">
        <w:t xml:space="preserve"> = NJW 2018, 301</w:t>
      </w:r>
      <w:r>
        <w:t xml:space="preserve"> (304).</w:t>
      </w:r>
    </w:p>
  </w:footnote>
  <w:footnote w:id="567">
    <w:p w14:paraId="448308BB" w14:textId="77777777" w:rsidR="006D1FD1" w:rsidRDefault="006D1FD1" w:rsidP="00A64FD5">
      <w:pPr>
        <w:pStyle w:val="Funotentext"/>
      </w:pPr>
      <w:r>
        <w:rPr>
          <w:rStyle w:val="Funotenzeichen"/>
        </w:rPr>
        <w:footnoteRef/>
      </w:r>
      <w:r>
        <w:t xml:space="preserve"> Vgl. Tiemann, VerwArch 65 (1974), 381 (403).</w:t>
      </w:r>
    </w:p>
  </w:footnote>
  <w:footnote w:id="568">
    <w:p w14:paraId="71F2BC9B" w14:textId="77777777" w:rsidR="006D1FD1" w:rsidRDefault="006D1FD1" w:rsidP="00A64FD5">
      <w:pPr>
        <w:pStyle w:val="Funotentext"/>
      </w:pPr>
      <w:r>
        <w:rPr>
          <w:rStyle w:val="Funotenzeichen"/>
        </w:rPr>
        <w:footnoteRef/>
      </w:r>
      <w:r>
        <w:t xml:space="preserve"> Katzenmeier, JZ 2018, 415 (416).</w:t>
      </w:r>
    </w:p>
  </w:footnote>
  <w:footnote w:id="569">
    <w:p w14:paraId="083A7BE0" w14:textId="766299E8" w:rsidR="006D1FD1" w:rsidRDefault="006D1FD1" w:rsidP="00A64FD5">
      <w:pPr>
        <w:pStyle w:val="Funotentext"/>
      </w:pPr>
      <w:r>
        <w:rPr>
          <w:rStyle w:val="Funotenzeichen"/>
        </w:rPr>
        <w:footnoteRef/>
      </w:r>
      <w:r>
        <w:t xml:space="preserve"> </w:t>
      </w:r>
      <w:hyperlink r:id="rId411" w:history="1">
        <w:r>
          <w:rPr>
            <w:rStyle w:val="Hyperlink"/>
          </w:rPr>
          <w:t>BGH, U</w:t>
        </w:r>
        <w:r w:rsidRPr="007A7DA2">
          <w:rPr>
            <w:rStyle w:val="Hyperlink"/>
          </w:rPr>
          <w:t>rt. v. 23.11.2017, Az.: III ZR 60/16</w:t>
        </w:r>
      </w:hyperlink>
      <w:r w:rsidRPr="00076B52">
        <w:t xml:space="preserve"> = NJW 2018, 301</w:t>
      </w:r>
      <w:r>
        <w:t xml:space="preserve"> (303)</w:t>
      </w:r>
      <w:r w:rsidRPr="00076B52">
        <w:t>.</w:t>
      </w:r>
    </w:p>
  </w:footnote>
  <w:footnote w:id="570">
    <w:p w14:paraId="46AEF3B3" w14:textId="7460D6E7" w:rsidR="006D1FD1" w:rsidRDefault="006D1FD1" w:rsidP="00A64FD5">
      <w:pPr>
        <w:pStyle w:val="Funotentext"/>
      </w:pPr>
      <w:r>
        <w:rPr>
          <w:rStyle w:val="Funotenzeichen"/>
        </w:rPr>
        <w:footnoteRef/>
      </w:r>
      <w:r>
        <w:t xml:space="preserve"> </w:t>
      </w:r>
      <w:hyperlink r:id="rId412" w:history="1">
        <w:r>
          <w:rPr>
            <w:rStyle w:val="Hyperlink"/>
          </w:rPr>
          <w:t>BGH, U</w:t>
        </w:r>
        <w:r w:rsidRPr="007A7DA2">
          <w:rPr>
            <w:rStyle w:val="Hyperlink"/>
          </w:rPr>
          <w:t>rt. v. 23.11.2017, Az.: III ZR 60/16</w:t>
        </w:r>
      </w:hyperlink>
      <w:r w:rsidRPr="00076B52">
        <w:t xml:space="preserve"> = NJW 2018, 301</w:t>
      </w:r>
      <w:r>
        <w:t xml:space="preserve"> (303)</w:t>
      </w:r>
      <w:r w:rsidRPr="00076B52">
        <w:t>.</w:t>
      </w:r>
    </w:p>
  </w:footnote>
  <w:footnote w:id="571">
    <w:p w14:paraId="40C80420" w14:textId="1BD03B95" w:rsidR="006D1FD1" w:rsidRDefault="006D1FD1" w:rsidP="00A64FD5">
      <w:pPr>
        <w:pStyle w:val="Funotentext"/>
      </w:pPr>
      <w:r>
        <w:rPr>
          <w:rStyle w:val="Funotenzeichen"/>
        </w:rPr>
        <w:footnoteRef/>
      </w:r>
      <w:r>
        <w:t xml:space="preserve"> Reinert in: </w:t>
      </w:r>
      <w:r w:rsidRPr="002E36C9">
        <w:t>Bamberger/Roth/Hau/Poseck</w:t>
      </w:r>
      <w:r>
        <w:t>, BGB, 50. Ed., Stand: 1.5.2019, § 839 Rn. 134.</w:t>
      </w:r>
    </w:p>
  </w:footnote>
  <w:footnote w:id="572">
    <w:p w14:paraId="54532141" w14:textId="77777777" w:rsidR="006D1FD1" w:rsidRDefault="006D1FD1" w:rsidP="00A64FD5">
      <w:pPr>
        <w:pStyle w:val="Funotentext"/>
      </w:pPr>
      <w:r>
        <w:rPr>
          <w:rStyle w:val="Funotenzeichen"/>
        </w:rPr>
        <w:footnoteRef/>
      </w:r>
      <w:r>
        <w:t xml:space="preserve"> Ein solcher findet sich aber zum Nachlesen etwa bei Katzenmeier, JZ 2018, 415 (417 f.).</w:t>
      </w:r>
    </w:p>
  </w:footnote>
  <w:footnote w:id="573">
    <w:p w14:paraId="142FAE75" w14:textId="77777777" w:rsidR="006D1FD1" w:rsidRDefault="006D1FD1" w:rsidP="00A64FD5">
      <w:pPr>
        <w:pStyle w:val="Funotentext"/>
      </w:pPr>
      <w:r>
        <w:rPr>
          <w:rStyle w:val="Funotenzeichen"/>
        </w:rPr>
        <w:footnoteRef/>
      </w:r>
      <w:r>
        <w:t xml:space="preserve"> Laumen, MDR 2018, 256 (257).</w:t>
      </w:r>
    </w:p>
  </w:footnote>
  <w:footnote w:id="574">
    <w:p w14:paraId="04446AF1" w14:textId="1F773C48" w:rsidR="006D1FD1" w:rsidRDefault="006D1FD1" w:rsidP="00A64FD5">
      <w:pPr>
        <w:pStyle w:val="Funotentext"/>
      </w:pPr>
      <w:r>
        <w:rPr>
          <w:rStyle w:val="Funotenzeichen"/>
        </w:rPr>
        <w:footnoteRef/>
      </w:r>
      <w:r>
        <w:t xml:space="preserve"> </w:t>
      </w:r>
      <w:hyperlink r:id="rId413" w:history="1">
        <w:r>
          <w:rPr>
            <w:rStyle w:val="Hyperlink"/>
          </w:rPr>
          <w:t>BGH, U</w:t>
        </w:r>
        <w:r w:rsidRPr="007A7DA2">
          <w:rPr>
            <w:rStyle w:val="Hyperlink"/>
          </w:rPr>
          <w:t>rt. v. 23.11.2017, Az.: III ZR 60/16</w:t>
        </w:r>
      </w:hyperlink>
      <w:r w:rsidRPr="00076B52">
        <w:t xml:space="preserve"> = NJW 2018, 301</w:t>
      </w:r>
      <w:r>
        <w:t xml:space="preserve"> (304); Koch/Rupp, NJW 2018, 267 (269); Laumen, MDR 2018, 256 (257).</w:t>
      </w:r>
    </w:p>
  </w:footnote>
  <w:footnote w:id="575">
    <w:p w14:paraId="4FC74803" w14:textId="77777777" w:rsidR="006D1FD1" w:rsidRDefault="006D1FD1" w:rsidP="00A64FD5">
      <w:pPr>
        <w:pStyle w:val="Funotentext"/>
      </w:pPr>
      <w:r>
        <w:rPr>
          <w:rStyle w:val="Funotenzeichen"/>
        </w:rPr>
        <w:footnoteRef/>
      </w:r>
      <w:r>
        <w:t xml:space="preserve"> Koch/Rupp, NJW 2018, 267 (269).</w:t>
      </w:r>
    </w:p>
  </w:footnote>
  <w:footnote w:id="576">
    <w:p w14:paraId="2B22783A" w14:textId="6F117E6D" w:rsidR="006D1FD1" w:rsidRDefault="006D1FD1" w:rsidP="00A64FD5">
      <w:pPr>
        <w:pStyle w:val="Funotentext"/>
      </w:pPr>
      <w:r>
        <w:rPr>
          <w:rStyle w:val="Funotenzeichen"/>
        </w:rPr>
        <w:footnoteRef/>
      </w:r>
      <w:r>
        <w:t xml:space="preserve"> Vgl. </w:t>
      </w:r>
      <w:hyperlink r:id="rId414" w:history="1">
        <w:r>
          <w:rPr>
            <w:rStyle w:val="Hyperlink"/>
          </w:rPr>
          <w:t>BGH, U</w:t>
        </w:r>
        <w:r w:rsidRPr="007A7DA2">
          <w:rPr>
            <w:rStyle w:val="Hyperlink"/>
          </w:rPr>
          <w:t>rt. v. 23.11.2017, Az.: III ZR 60/16</w:t>
        </w:r>
      </w:hyperlink>
      <w:r w:rsidRPr="00076B52">
        <w:t xml:space="preserve"> = NJW 2018, 301</w:t>
      </w:r>
      <w:r>
        <w:t xml:space="preserve"> (304).</w:t>
      </w:r>
    </w:p>
  </w:footnote>
  <w:footnote w:id="577">
    <w:p w14:paraId="646B1A71" w14:textId="48B66971" w:rsidR="006D1FD1" w:rsidRDefault="006D1FD1" w:rsidP="00A64FD5">
      <w:pPr>
        <w:pStyle w:val="Funotentext"/>
      </w:pPr>
      <w:r>
        <w:rPr>
          <w:rStyle w:val="Funotenzeichen"/>
        </w:rPr>
        <w:footnoteRef/>
      </w:r>
      <w:r>
        <w:t xml:space="preserve"> </w:t>
      </w:r>
      <w:r>
        <w:rPr>
          <w:rFonts w:cstheme="minorHAnsi"/>
        </w:rPr>
        <w:t>Papier/Shirvani in: Münchener Kommentar</w:t>
      </w:r>
      <w:r w:rsidRPr="00554CC9">
        <w:rPr>
          <w:rFonts w:cstheme="minorHAnsi"/>
        </w:rPr>
        <w:t xml:space="preserve"> BGB, 7. </w:t>
      </w:r>
      <w:r>
        <w:rPr>
          <w:rFonts w:cstheme="minorHAnsi"/>
        </w:rPr>
        <w:t>Aufl.</w:t>
      </w:r>
      <w:r w:rsidRPr="00554CC9">
        <w:rPr>
          <w:rFonts w:cstheme="minorHAnsi"/>
        </w:rPr>
        <w:t xml:space="preserve"> 2017, § 839 Rn.</w:t>
      </w:r>
      <w:r>
        <w:rPr>
          <w:rFonts w:cstheme="minorHAnsi"/>
        </w:rPr>
        <w:t xml:space="preserve"> 77 m.w.N.</w:t>
      </w:r>
    </w:p>
  </w:footnote>
  <w:footnote w:id="578">
    <w:p w14:paraId="7BE244ED" w14:textId="12BF0082" w:rsidR="006D1FD1" w:rsidRDefault="006D1FD1" w:rsidP="00A64FD5">
      <w:pPr>
        <w:pStyle w:val="Funotentext"/>
      </w:pPr>
      <w:r>
        <w:rPr>
          <w:rStyle w:val="Funotenzeichen"/>
        </w:rPr>
        <w:footnoteRef/>
      </w:r>
      <w:r>
        <w:t xml:space="preserve"> Teichmann in: Jauernig, BGB, 17. Aufl. 2018, § 839 Rn. 11; auf diese Weise kommt die Rechtsprechung etwa zu einer Aufsichtspflicht von Lehrern über Schüler: </w:t>
      </w:r>
      <w:hyperlink r:id="rId415" w:history="1">
        <w:r>
          <w:rPr>
            <w:rStyle w:val="Hyperlink"/>
          </w:rPr>
          <w:t>BGH, U</w:t>
        </w:r>
        <w:r w:rsidRPr="0054409F">
          <w:rPr>
            <w:rStyle w:val="Hyperlink"/>
          </w:rPr>
          <w:t>rt. v. 3.11.1958, Az.: III ZR 139/57</w:t>
        </w:r>
      </w:hyperlink>
      <w:r>
        <w:t xml:space="preserve"> = </w:t>
      </w:r>
      <w:r w:rsidRPr="002A00CE">
        <w:t>BGHZ 28, 297</w:t>
      </w:r>
      <w:r>
        <w:t>.</w:t>
      </w:r>
    </w:p>
  </w:footnote>
  <w:footnote w:id="579">
    <w:p w14:paraId="327B3D2C" w14:textId="4A59279D" w:rsidR="006D1FD1" w:rsidRDefault="006D1FD1" w:rsidP="00A64FD5">
      <w:pPr>
        <w:pStyle w:val="Funotentext"/>
      </w:pPr>
      <w:r>
        <w:rPr>
          <w:rStyle w:val="Funotenzeichen"/>
        </w:rPr>
        <w:footnoteRef/>
      </w:r>
      <w:r>
        <w:t xml:space="preserve"> </w:t>
      </w:r>
      <w:hyperlink r:id="rId416" w:history="1">
        <w:r>
          <w:rPr>
            <w:rStyle w:val="Hyperlink"/>
          </w:rPr>
          <w:t>BGH, U</w:t>
        </w:r>
        <w:r w:rsidRPr="007A7DA2">
          <w:rPr>
            <w:rStyle w:val="Hyperlink"/>
          </w:rPr>
          <w:t>rt. v. 23.11.2017, Az.: III ZR 60/16</w:t>
        </w:r>
      </w:hyperlink>
      <w:r w:rsidRPr="006007C7">
        <w:t xml:space="preserve"> = NJW 2018, 301</w:t>
      </w:r>
      <w:r>
        <w:t xml:space="preserve"> (304).</w:t>
      </w:r>
    </w:p>
  </w:footnote>
  <w:footnote w:id="580">
    <w:p w14:paraId="3CE68B3D" w14:textId="486C7206" w:rsidR="006D1FD1" w:rsidRDefault="006D1FD1" w:rsidP="00A64FD5">
      <w:pPr>
        <w:pStyle w:val="Funotentext"/>
      </w:pPr>
      <w:r>
        <w:rPr>
          <w:rStyle w:val="Funotenzeichen"/>
        </w:rPr>
        <w:footnoteRef/>
      </w:r>
      <w:r>
        <w:t xml:space="preserve"> S. </w:t>
      </w:r>
      <w:hyperlink r:id="rId417" w:history="1">
        <w:r w:rsidRPr="00A10E8C">
          <w:rPr>
            <w:rStyle w:val="Hyperlink"/>
            <w:rFonts w:cstheme="minorHAnsi"/>
          </w:rPr>
          <w:t>Himstedt</w:t>
        </w:r>
        <w:r w:rsidRPr="00A10E8C">
          <w:rPr>
            <w:rStyle w:val="Hyperlink"/>
            <w:rFonts w:cstheme="majorHAnsi"/>
          </w:rPr>
          <w:t xml:space="preserve">, </w:t>
        </w:r>
        <w:r w:rsidRPr="00A10E8C">
          <w:rPr>
            <w:rStyle w:val="Hyperlink"/>
          </w:rPr>
          <w:t>in: Eisentraut, Verwaltungsrecht in der Klausur, 2020, § 11</w:t>
        </w:r>
        <w:r w:rsidRPr="00A10E8C">
          <w:rPr>
            <w:rStyle w:val="Hyperlink"/>
            <w:rFonts w:cstheme="majorHAnsi"/>
          </w:rPr>
          <w:t> </w:t>
        </w:r>
        <w:r w:rsidRPr="00A10E8C">
          <w:rPr>
            <w:rStyle w:val="Hyperlink"/>
            <w:rFonts w:cstheme="minorHAnsi"/>
          </w:rPr>
          <w:t>Rn.</w:t>
        </w:r>
        <w:r w:rsidRPr="00A10E8C">
          <w:rPr>
            <w:rStyle w:val="Hyperlink"/>
          </w:rPr>
          <w:t> 17</w:t>
        </w:r>
      </w:hyperlink>
      <w:r>
        <w:t>.</w:t>
      </w:r>
    </w:p>
  </w:footnote>
  <w:footnote w:id="581">
    <w:p w14:paraId="73787D39" w14:textId="2B21C303" w:rsidR="006D1FD1" w:rsidRDefault="006D1FD1" w:rsidP="00A64FD5">
      <w:pPr>
        <w:pStyle w:val="Funotentext"/>
      </w:pPr>
      <w:r>
        <w:rPr>
          <w:rStyle w:val="Funotenzeichen"/>
        </w:rPr>
        <w:footnoteRef/>
      </w:r>
      <w:r>
        <w:t xml:space="preserve"> </w:t>
      </w:r>
      <w:hyperlink r:id="rId418" w:history="1">
        <w:r>
          <w:rPr>
            <w:rStyle w:val="Hyperlink"/>
          </w:rPr>
          <w:t>BGH, U</w:t>
        </w:r>
        <w:r w:rsidRPr="007A7DA2">
          <w:rPr>
            <w:rStyle w:val="Hyperlink"/>
          </w:rPr>
          <w:t>rt. v. 23.11.2017, Az.: III ZR 60/16</w:t>
        </w:r>
      </w:hyperlink>
      <w:r w:rsidRPr="006007C7">
        <w:t xml:space="preserve"> = NJW 2018, 301</w:t>
      </w:r>
      <w:r>
        <w:t xml:space="preserve"> (304).</w:t>
      </w:r>
    </w:p>
  </w:footnote>
  <w:footnote w:id="582">
    <w:p w14:paraId="7068DA48" w14:textId="77777777" w:rsidR="006D1FD1" w:rsidRDefault="006D1FD1" w:rsidP="00A64FD5">
      <w:pPr>
        <w:pStyle w:val="Funotentext"/>
      </w:pPr>
      <w:r>
        <w:rPr>
          <w:rStyle w:val="Funotenzeichen"/>
        </w:rPr>
        <w:footnoteRef/>
      </w:r>
      <w:r>
        <w:t xml:space="preserve"> Staudinger in: Schulze, BGB, 10. Aufl. 2019, § 839 Rn. 47.</w:t>
      </w:r>
    </w:p>
  </w:footnote>
  <w:footnote w:id="583">
    <w:p w14:paraId="018AEFA0" w14:textId="77777777" w:rsidR="006D1FD1" w:rsidRDefault="006D1FD1" w:rsidP="00A64FD5">
      <w:pPr>
        <w:pStyle w:val="Funotentext"/>
      </w:pPr>
      <w:r>
        <w:rPr>
          <w:rStyle w:val="Funotenzeichen"/>
        </w:rPr>
        <w:footnoteRef/>
      </w:r>
      <w:r>
        <w:t xml:space="preserve"> </w:t>
      </w:r>
      <w:r w:rsidRPr="00554CC9">
        <w:rPr>
          <w:rFonts w:cstheme="minorHAnsi"/>
        </w:rPr>
        <w:t>Baldus/Grzeszick/Wienhues, Staatshaftungsrecht, 5. Aufl. 2018 Rn.</w:t>
      </w:r>
      <w:r>
        <w:rPr>
          <w:rFonts w:cstheme="minorHAnsi"/>
        </w:rPr>
        <w:t xml:space="preserve"> 570.</w:t>
      </w:r>
    </w:p>
  </w:footnote>
  <w:footnote w:id="584">
    <w:p w14:paraId="4A177D27" w14:textId="6F6B1069" w:rsidR="006D1FD1" w:rsidRDefault="006D1FD1" w:rsidP="00A64FD5">
      <w:pPr>
        <w:pStyle w:val="Funotentext"/>
      </w:pPr>
      <w:r>
        <w:rPr>
          <w:rStyle w:val="Funotenzeichen"/>
        </w:rPr>
        <w:footnoteRef/>
      </w:r>
      <w:r>
        <w:t xml:space="preserve"> </w:t>
      </w:r>
      <w:hyperlink r:id="rId419" w:history="1">
        <w:r w:rsidRPr="00807090">
          <w:rPr>
            <w:rStyle w:val="Hyperlink"/>
          </w:rPr>
          <w:t>Kümper, ZJS 2013, 389</w:t>
        </w:r>
      </w:hyperlink>
      <w:r>
        <w:t xml:space="preserve"> (396).</w:t>
      </w:r>
    </w:p>
  </w:footnote>
  <w:footnote w:id="585">
    <w:p w14:paraId="02292B92" w14:textId="7128BB3A" w:rsidR="006D1FD1" w:rsidRDefault="006D1FD1" w:rsidP="00A64FD5">
      <w:pPr>
        <w:pStyle w:val="Funotentext"/>
      </w:pPr>
      <w:r>
        <w:rPr>
          <w:rStyle w:val="Funotenzeichen"/>
        </w:rPr>
        <w:footnoteRef/>
      </w:r>
      <w:r>
        <w:t xml:space="preserve"> </w:t>
      </w:r>
      <w:hyperlink r:id="rId420" w:history="1">
        <w:r>
          <w:rPr>
            <w:rStyle w:val="Hyperlink"/>
          </w:rPr>
          <w:t>BGH, U</w:t>
        </w:r>
        <w:r w:rsidRPr="0054409F">
          <w:rPr>
            <w:rStyle w:val="Hyperlink"/>
          </w:rPr>
          <w:t>rt. v. 7.9.2017, Az.: III ZR 71/17</w:t>
        </w:r>
      </w:hyperlink>
      <w:r>
        <w:t xml:space="preserve"> = NVwZ 2018, 438.</w:t>
      </w:r>
    </w:p>
  </w:footnote>
  <w:footnote w:id="586">
    <w:p w14:paraId="00793C49" w14:textId="77777777" w:rsidR="006D1FD1" w:rsidRDefault="006D1FD1" w:rsidP="00A64FD5">
      <w:pPr>
        <w:pStyle w:val="Funotentext"/>
      </w:pPr>
      <w:r>
        <w:rPr>
          <w:rStyle w:val="Funotenzeichen"/>
        </w:rPr>
        <w:footnoteRef/>
      </w:r>
      <w:r>
        <w:t xml:space="preserve"> Peine/Siegel, Allgemeines Verwaltungsrecht, 12. Aufl. 2018, </w:t>
      </w:r>
      <w:r w:rsidRPr="009449BE">
        <w:t xml:space="preserve">§ </w:t>
      </w:r>
      <w:r w:rsidRPr="009E4AEA">
        <w:t>28 Rn. 1047.</w:t>
      </w:r>
    </w:p>
  </w:footnote>
  <w:footnote w:id="587">
    <w:p w14:paraId="460A717F" w14:textId="66DD8097" w:rsidR="006D1FD1" w:rsidRDefault="006D1FD1" w:rsidP="00A64FD5">
      <w:pPr>
        <w:pStyle w:val="Funotentext"/>
      </w:pPr>
      <w:r>
        <w:rPr>
          <w:rStyle w:val="Funotenzeichen"/>
        </w:rPr>
        <w:footnoteRef/>
      </w:r>
      <w:r>
        <w:t xml:space="preserve"> Die genauen Voraussetzungen und Anwendungsfälle „qualifizierten“ Unterlassens sind in Rechtsprechung und Literatur umstritten bzw. ungeklärt, s. Detterbeck, Allgemeines Verwaltungsrecht, 17. Aufl. 2019, Rn. 1140. Hier ist folglich mit entsprechender Argumentation vieles vertretbar.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36F8A" w14:textId="77777777" w:rsidR="006D1FD1" w:rsidRDefault="006D1FD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D7951" w14:textId="77777777" w:rsidR="006D1FD1" w:rsidRDefault="006D1FD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75310" w14:textId="77777777" w:rsidR="006D1FD1" w:rsidRDefault="006D1FD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4509"/>
      <w:docPartObj>
        <w:docPartGallery w:val="Page Numbers (Top of Page)"/>
        <w:docPartUnique/>
      </w:docPartObj>
    </w:sdtPr>
    <w:sdtEndPr/>
    <w:sdtContent>
      <w:p w14:paraId="69947762" w14:textId="32E5F988" w:rsidR="006D1FD1" w:rsidRDefault="006D1FD1">
        <w:pPr>
          <w:pStyle w:val="Kopfzeile"/>
        </w:pPr>
        <w:r w:rsidRPr="00EF1CEB">
          <w:rPr>
            <w:b/>
          </w:rPr>
          <w:fldChar w:fldCharType="begin"/>
        </w:r>
        <w:r w:rsidRPr="00EF1CEB">
          <w:rPr>
            <w:b/>
          </w:rPr>
          <w:instrText>PAGE   \* MERGEFORMAT</w:instrText>
        </w:r>
        <w:r w:rsidRPr="00EF1CEB">
          <w:rPr>
            <w:b/>
          </w:rPr>
          <w:fldChar w:fldCharType="separate"/>
        </w:r>
        <w:r>
          <w:rPr>
            <w:b/>
            <w:noProof/>
          </w:rPr>
          <w:t>262</w:t>
        </w:r>
        <w:r w:rsidRPr="00EF1CEB">
          <w:rPr>
            <w:b/>
          </w:rPr>
          <w:fldChar w:fldCharType="end"/>
        </w:r>
        <w:r w:rsidRPr="00EF1CEB">
          <w:rPr>
            <w:b/>
          </w:rPr>
          <w:t xml:space="preserve"> </w:t>
        </w:r>
        <w:r>
          <w:t xml:space="preserve">   </w:t>
        </w:r>
        <w:r>
          <w:rPr>
            <w:noProof/>
          </w:rPr>
          <w:fldChar w:fldCharType="begin"/>
        </w:r>
        <w:r>
          <w:rPr>
            <w:noProof/>
          </w:rPr>
          <w:instrText xml:space="preserve"> STYLEREF  "Überschrift 1"  \* MERGEFORMAT </w:instrText>
        </w:r>
        <w:r>
          <w:rPr>
            <w:noProof/>
          </w:rPr>
          <w:fldChar w:fldCharType="separate"/>
        </w:r>
        <w:r w:rsidR="00A625BF">
          <w:rPr>
            <w:noProof/>
          </w:rPr>
          <w:t>§ 2 Übungsfälle zur Anfechtungsklage</w:t>
        </w:r>
        <w:r>
          <w:rPr>
            <w:noProof/>
          </w:rPr>
          <w:fldChar w:fldCharType="end"/>
        </w:r>
      </w:p>
    </w:sdtContent>
  </w:sdt>
  <w:p w14:paraId="7FB4EA80" w14:textId="77777777" w:rsidR="006D1FD1" w:rsidRDefault="006D1FD1" w:rsidP="00716170">
    <w:pPr>
      <w:pStyle w:val="Kopfzeile"/>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112677"/>
      <w:docPartObj>
        <w:docPartGallery w:val="Page Numbers (Top of Page)"/>
        <w:docPartUnique/>
      </w:docPartObj>
    </w:sdtPr>
    <w:sdtEndPr/>
    <w:sdtContent>
      <w:p w14:paraId="23B6064C" w14:textId="4518E8D0" w:rsidR="006D1FD1" w:rsidRPr="000C4535" w:rsidRDefault="006D1FD1" w:rsidP="006F6E53">
        <w:pPr>
          <w:pStyle w:val="Kopfzeile"/>
          <w:jc w:val="right"/>
        </w:pPr>
        <w:r>
          <w:rPr>
            <w:noProof/>
          </w:rPr>
          <w:fldChar w:fldCharType="begin"/>
        </w:r>
        <w:r>
          <w:rPr>
            <w:noProof/>
          </w:rPr>
          <w:instrText xml:space="preserve"> STYLEREF  "Überschrift 2"  \* MERGEFORMAT </w:instrText>
        </w:r>
        <w:r>
          <w:rPr>
            <w:noProof/>
          </w:rPr>
          <w:fldChar w:fldCharType="separate"/>
        </w:r>
        <w:r w:rsidR="00A625BF">
          <w:rPr>
            <w:noProof/>
          </w:rPr>
          <w:t>Fall 1: Anfechtungsklage bei einer Ordnungsverfügung nach der polizeilichen Generalklausel (Tanja Kernchen)</w:t>
        </w:r>
        <w:r>
          <w:rPr>
            <w:noProof/>
          </w:rPr>
          <w:fldChar w:fldCharType="end"/>
        </w:r>
        <w:r>
          <w:t xml:space="preserve">   </w:t>
        </w:r>
        <w:r w:rsidRPr="00EF1CEB">
          <w:rPr>
            <w:b/>
          </w:rPr>
          <w:fldChar w:fldCharType="begin"/>
        </w:r>
        <w:r w:rsidRPr="00EF1CEB">
          <w:rPr>
            <w:b/>
          </w:rPr>
          <w:instrText>PAGE   \* MERGEFORMAT</w:instrText>
        </w:r>
        <w:r w:rsidRPr="00EF1CEB">
          <w:rPr>
            <w:b/>
          </w:rPr>
          <w:fldChar w:fldCharType="separate"/>
        </w:r>
        <w:r>
          <w:rPr>
            <w:b/>
            <w:noProof/>
          </w:rPr>
          <w:t>261</w:t>
        </w:r>
        <w:r w:rsidRPr="00EF1CEB">
          <w:rPr>
            <w:b/>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C1E1BA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7CE229D"/>
    <w:multiLevelType w:val="hybridMultilevel"/>
    <w:tmpl w:val="1F9ABF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0C3E2C"/>
    <w:multiLevelType w:val="hybridMultilevel"/>
    <w:tmpl w:val="0930C5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2E5B06"/>
    <w:multiLevelType w:val="hybridMultilevel"/>
    <w:tmpl w:val="1236DE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250B0C"/>
    <w:multiLevelType w:val="hybridMultilevel"/>
    <w:tmpl w:val="6DFCB6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4E05EB7"/>
    <w:multiLevelType w:val="hybridMultilevel"/>
    <w:tmpl w:val="CD0836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AFB5124"/>
    <w:multiLevelType w:val="hybridMultilevel"/>
    <w:tmpl w:val="69F2BF0C"/>
    <w:lvl w:ilvl="0" w:tplc="BA5857C6">
      <w:start w:val="1"/>
      <w:numFmt w:val="decimal"/>
      <w:pStyle w:val="Randnummer"/>
      <w:suff w:val="nothing"/>
      <w:lvlText w:val="%1"/>
      <w:lvlJc w:val="center"/>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1"/>
  </w:num>
  <w:num w:numId="5">
    <w:abstractNumId w:val="5"/>
  </w:num>
  <w:num w:numId="6">
    <w:abstractNumId w:val="0"/>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embedSystemFonts/>
  <w:mirrorMargins/>
  <w:hideSpellingErrors/>
  <w:defaultTabStop w:val="708"/>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008"/>
    <w:rsid w:val="00001250"/>
    <w:rsid w:val="000015DF"/>
    <w:rsid w:val="00002712"/>
    <w:rsid w:val="00004310"/>
    <w:rsid w:val="00007BED"/>
    <w:rsid w:val="00011C34"/>
    <w:rsid w:val="0001383E"/>
    <w:rsid w:val="00014626"/>
    <w:rsid w:val="000151C3"/>
    <w:rsid w:val="0001775C"/>
    <w:rsid w:val="00017F2C"/>
    <w:rsid w:val="0002118B"/>
    <w:rsid w:val="0002165E"/>
    <w:rsid w:val="0002177C"/>
    <w:rsid w:val="00022640"/>
    <w:rsid w:val="000257F5"/>
    <w:rsid w:val="000305CD"/>
    <w:rsid w:val="00031D91"/>
    <w:rsid w:val="00034E53"/>
    <w:rsid w:val="00035229"/>
    <w:rsid w:val="0004028C"/>
    <w:rsid w:val="00042D15"/>
    <w:rsid w:val="000434BF"/>
    <w:rsid w:val="000444BD"/>
    <w:rsid w:val="00044B44"/>
    <w:rsid w:val="00046018"/>
    <w:rsid w:val="00047CEB"/>
    <w:rsid w:val="0005090D"/>
    <w:rsid w:val="00050AD6"/>
    <w:rsid w:val="00050F9A"/>
    <w:rsid w:val="00051075"/>
    <w:rsid w:val="00053A01"/>
    <w:rsid w:val="00054C9A"/>
    <w:rsid w:val="000576C2"/>
    <w:rsid w:val="00057837"/>
    <w:rsid w:val="00057EA7"/>
    <w:rsid w:val="00060415"/>
    <w:rsid w:val="00062067"/>
    <w:rsid w:val="00063CE4"/>
    <w:rsid w:val="00063D6D"/>
    <w:rsid w:val="000667CE"/>
    <w:rsid w:val="000671E9"/>
    <w:rsid w:val="000673FE"/>
    <w:rsid w:val="000701A4"/>
    <w:rsid w:val="0007261A"/>
    <w:rsid w:val="000732FA"/>
    <w:rsid w:val="00073779"/>
    <w:rsid w:val="00073901"/>
    <w:rsid w:val="00073CAC"/>
    <w:rsid w:val="000818E8"/>
    <w:rsid w:val="00081A66"/>
    <w:rsid w:val="00081E13"/>
    <w:rsid w:val="00081EF4"/>
    <w:rsid w:val="00082B7B"/>
    <w:rsid w:val="00084A71"/>
    <w:rsid w:val="000852F0"/>
    <w:rsid w:val="00086337"/>
    <w:rsid w:val="00086513"/>
    <w:rsid w:val="00086E02"/>
    <w:rsid w:val="00090F42"/>
    <w:rsid w:val="00090FEE"/>
    <w:rsid w:val="00091FED"/>
    <w:rsid w:val="000936A6"/>
    <w:rsid w:val="00095F85"/>
    <w:rsid w:val="00096426"/>
    <w:rsid w:val="00096B49"/>
    <w:rsid w:val="000A2CBE"/>
    <w:rsid w:val="000A3E1C"/>
    <w:rsid w:val="000A448F"/>
    <w:rsid w:val="000A4EE4"/>
    <w:rsid w:val="000B0AA2"/>
    <w:rsid w:val="000B1A6A"/>
    <w:rsid w:val="000B32CA"/>
    <w:rsid w:val="000B333C"/>
    <w:rsid w:val="000B4340"/>
    <w:rsid w:val="000B5897"/>
    <w:rsid w:val="000B7A1C"/>
    <w:rsid w:val="000C0CD5"/>
    <w:rsid w:val="000C1130"/>
    <w:rsid w:val="000C3B50"/>
    <w:rsid w:val="000C4535"/>
    <w:rsid w:val="000C5797"/>
    <w:rsid w:val="000C6A3E"/>
    <w:rsid w:val="000C7C0E"/>
    <w:rsid w:val="000D1915"/>
    <w:rsid w:val="000D2451"/>
    <w:rsid w:val="000D2C9D"/>
    <w:rsid w:val="000D45B5"/>
    <w:rsid w:val="000D4705"/>
    <w:rsid w:val="000D731E"/>
    <w:rsid w:val="000E0587"/>
    <w:rsid w:val="000E246C"/>
    <w:rsid w:val="000E50A3"/>
    <w:rsid w:val="000E783C"/>
    <w:rsid w:val="000F1768"/>
    <w:rsid w:val="000F28AB"/>
    <w:rsid w:val="000F433D"/>
    <w:rsid w:val="000F5829"/>
    <w:rsid w:val="000F74EB"/>
    <w:rsid w:val="000F7E0E"/>
    <w:rsid w:val="0010010B"/>
    <w:rsid w:val="00101DEC"/>
    <w:rsid w:val="00101FD7"/>
    <w:rsid w:val="00102519"/>
    <w:rsid w:val="00105B05"/>
    <w:rsid w:val="00106DAC"/>
    <w:rsid w:val="00111545"/>
    <w:rsid w:val="0011167B"/>
    <w:rsid w:val="00112BA2"/>
    <w:rsid w:val="00113AB2"/>
    <w:rsid w:val="00114390"/>
    <w:rsid w:val="00115338"/>
    <w:rsid w:val="00115F46"/>
    <w:rsid w:val="00115FA4"/>
    <w:rsid w:val="001166CC"/>
    <w:rsid w:val="00117FF7"/>
    <w:rsid w:val="00120C2A"/>
    <w:rsid w:val="00122151"/>
    <w:rsid w:val="00125984"/>
    <w:rsid w:val="001264B1"/>
    <w:rsid w:val="0013105F"/>
    <w:rsid w:val="00134B06"/>
    <w:rsid w:val="00134E6B"/>
    <w:rsid w:val="00137769"/>
    <w:rsid w:val="00142CD5"/>
    <w:rsid w:val="00142DB0"/>
    <w:rsid w:val="00144A4A"/>
    <w:rsid w:val="00146135"/>
    <w:rsid w:val="0014656F"/>
    <w:rsid w:val="00152F7B"/>
    <w:rsid w:val="001600E9"/>
    <w:rsid w:val="0016163E"/>
    <w:rsid w:val="00163CBE"/>
    <w:rsid w:val="001673E1"/>
    <w:rsid w:val="00170F7F"/>
    <w:rsid w:val="001715B6"/>
    <w:rsid w:val="00171B0B"/>
    <w:rsid w:val="00173587"/>
    <w:rsid w:val="00173E00"/>
    <w:rsid w:val="00173FBA"/>
    <w:rsid w:val="0017745A"/>
    <w:rsid w:val="001802F5"/>
    <w:rsid w:val="0018163D"/>
    <w:rsid w:val="0019002A"/>
    <w:rsid w:val="001913D4"/>
    <w:rsid w:val="00194EF2"/>
    <w:rsid w:val="00195AC5"/>
    <w:rsid w:val="00196A1C"/>
    <w:rsid w:val="001A1997"/>
    <w:rsid w:val="001A34E4"/>
    <w:rsid w:val="001A572C"/>
    <w:rsid w:val="001B1D71"/>
    <w:rsid w:val="001B2A4D"/>
    <w:rsid w:val="001B5368"/>
    <w:rsid w:val="001B5EC5"/>
    <w:rsid w:val="001B7773"/>
    <w:rsid w:val="001C057B"/>
    <w:rsid w:val="001C2092"/>
    <w:rsid w:val="001C3978"/>
    <w:rsid w:val="001C6B07"/>
    <w:rsid w:val="001C75A9"/>
    <w:rsid w:val="001D11CF"/>
    <w:rsid w:val="001D16D5"/>
    <w:rsid w:val="001D252C"/>
    <w:rsid w:val="001D4106"/>
    <w:rsid w:val="001D430A"/>
    <w:rsid w:val="001D45ED"/>
    <w:rsid w:val="001D622A"/>
    <w:rsid w:val="001D7163"/>
    <w:rsid w:val="001E2800"/>
    <w:rsid w:val="001E31CD"/>
    <w:rsid w:val="001E35DE"/>
    <w:rsid w:val="001E6008"/>
    <w:rsid w:val="001E6BD6"/>
    <w:rsid w:val="001F2436"/>
    <w:rsid w:val="001F5973"/>
    <w:rsid w:val="002007F9"/>
    <w:rsid w:val="0020388E"/>
    <w:rsid w:val="0020389A"/>
    <w:rsid w:val="0020456D"/>
    <w:rsid w:val="002062DA"/>
    <w:rsid w:val="00210F5E"/>
    <w:rsid w:val="00211868"/>
    <w:rsid w:val="0021410F"/>
    <w:rsid w:val="00225477"/>
    <w:rsid w:val="00226FB4"/>
    <w:rsid w:val="002347DD"/>
    <w:rsid w:val="00235B0B"/>
    <w:rsid w:val="002375D6"/>
    <w:rsid w:val="0024455D"/>
    <w:rsid w:val="002507F8"/>
    <w:rsid w:val="00250C2F"/>
    <w:rsid w:val="00252B37"/>
    <w:rsid w:val="002555D7"/>
    <w:rsid w:val="00261442"/>
    <w:rsid w:val="0026222B"/>
    <w:rsid w:val="00262BB6"/>
    <w:rsid w:val="0026318A"/>
    <w:rsid w:val="002631D6"/>
    <w:rsid w:val="002632E0"/>
    <w:rsid w:val="002648F3"/>
    <w:rsid w:val="00266326"/>
    <w:rsid w:val="00270076"/>
    <w:rsid w:val="002711D8"/>
    <w:rsid w:val="00271D44"/>
    <w:rsid w:val="00272065"/>
    <w:rsid w:val="002722D1"/>
    <w:rsid w:val="002727CB"/>
    <w:rsid w:val="00275586"/>
    <w:rsid w:val="00277F75"/>
    <w:rsid w:val="0028205B"/>
    <w:rsid w:val="00283993"/>
    <w:rsid w:val="00283A92"/>
    <w:rsid w:val="00290A57"/>
    <w:rsid w:val="002947F4"/>
    <w:rsid w:val="00296147"/>
    <w:rsid w:val="00297E57"/>
    <w:rsid w:val="002A21C6"/>
    <w:rsid w:val="002A51B3"/>
    <w:rsid w:val="002B6842"/>
    <w:rsid w:val="002B6D95"/>
    <w:rsid w:val="002B6E79"/>
    <w:rsid w:val="002B7766"/>
    <w:rsid w:val="002B77AE"/>
    <w:rsid w:val="002C0D75"/>
    <w:rsid w:val="002C1B4E"/>
    <w:rsid w:val="002C4C4E"/>
    <w:rsid w:val="002C6282"/>
    <w:rsid w:val="002C788A"/>
    <w:rsid w:val="002D1201"/>
    <w:rsid w:val="002D3AAC"/>
    <w:rsid w:val="002D4AF3"/>
    <w:rsid w:val="002D6721"/>
    <w:rsid w:val="002E03CF"/>
    <w:rsid w:val="002E1414"/>
    <w:rsid w:val="002E6199"/>
    <w:rsid w:val="002E7791"/>
    <w:rsid w:val="002F057F"/>
    <w:rsid w:val="002F317D"/>
    <w:rsid w:val="002F72DE"/>
    <w:rsid w:val="002F7634"/>
    <w:rsid w:val="003009F6"/>
    <w:rsid w:val="003021B5"/>
    <w:rsid w:val="00303824"/>
    <w:rsid w:val="00303894"/>
    <w:rsid w:val="00303AA5"/>
    <w:rsid w:val="00306249"/>
    <w:rsid w:val="00307C02"/>
    <w:rsid w:val="003107EF"/>
    <w:rsid w:val="00311D7C"/>
    <w:rsid w:val="0031266C"/>
    <w:rsid w:val="00315472"/>
    <w:rsid w:val="00316016"/>
    <w:rsid w:val="00320419"/>
    <w:rsid w:val="003218E8"/>
    <w:rsid w:val="0032245B"/>
    <w:rsid w:val="00324200"/>
    <w:rsid w:val="00326E63"/>
    <w:rsid w:val="003309D9"/>
    <w:rsid w:val="0033128E"/>
    <w:rsid w:val="00331823"/>
    <w:rsid w:val="00331C60"/>
    <w:rsid w:val="00334F24"/>
    <w:rsid w:val="0033651E"/>
    <w:rsid w:val="00336B67"/>
    <w:rsid w:val="00337742"/>
    <w:rsid w:val="003378BD"/>
    <w:rsid w:val="00340555"/>
    <w:rsid w:val="00340BCD"/>
    <w:rsid w:val="00343150"/>
    <w:rsid w:val="003435C3"/>
    <w:rsid w:val="003445AB"/>
    <w:rsid w:val="0034557A"/>
    <w:rsid w:val="00347CFD"/>
    <w:rsid w:val="003509FD"/>
    <w:rsid w:val="00350DF7"/>
    <w:rsid w:val="003518A6"/>
    <w:rsid w:val="0035259C"/>
    <w:rsid w:val="0035365E"/>
    <w:rsid w:val="00353774"/>
    <w:rsid w:val="003537DA"/>
    <w:rsid w:val="0035700B"/>
    <w:rsid w:val="00360DAA"/>
    <w:rsid w:val="00361CEB"/>
    <w:rsid w:val="00362000"/>
    <w:rsid w:val="00362638"/>
    <w:rsid w:val="00363557"/>
    <w:rsid w:val="003706B2"/>
    <w:rsid w:val="003746E8"/>
    <w:rsid w:val="0037541C"/>
    <w:rsid w:val="00376BD7"/>
    <w:rsid w:val="00377DC3"/>
    <w:rsid w:val="003806D2"/>
    <w:rsid w:val="00382FD1"/>
    <w:rsid w:val="00384522"/>
    <w:rsid w:val="0038557B"/>
    <w:rsid w:val="00386E46"/>
    <w:rsid w:val="00387AEC"/>
    <w:rsid w:val="003929DD"/>
    <w:rsid w:val="0039364C"/>
    <w:rsid w:val="003948C9"/>
    <w:rsid w:val="0039546A"/>
    <w:rsid w:val="00395574"/>
    <w:rsid w:val="00395C6F"/>
    <w:rsid w:val="003A1E47"/>
    <w:rsid w:val="003A2874"/>
    <w:rsid w:val="003A5762"/>
    <w:rsid w:val="003A627B"/>
    <w:rsid w:val="003B22D8"/>
    <w:rsid w:val="003B2DFC"/>
    <w:rsid w:val="003B30F4"/>
    <w:rsid w:val="003B579C"/>
    <w:rsid w:val="003C01D5"/>
    <w:rsid w:val="003C09EC"/>
    <w:rsid w:val="003C1F7A"/>
    <w:rsid w:val="003C24D6"/>
    <w:rsid w:val="003C3A50"/>
    <w:rsid w:val="003C75EA"/>
    <w:rsid w:val="003C7CAE"/>
    <w:rsid w:val="003D23BF"/>
    <w:rsid w:val="003D316B"/>
    <w:rsid w:val="003D3998"/>
    <w:rsid w:val="003D4406"/>
    <w:rsid w:val="003D47E1"/>
    <w:rsid w:val="003D5545"/>
    <w:rsid w:val="003E0015"/>
    <w:rsid w:val="003E0D24"/>
    <w:rsid w:val="003E4818"/>
    <w:rsid w:val="003E7127"/>
    <w:rsid w:val="003E75C8"/>
    <w:rsid w:val="003F0689"/>
    <w:rsid w:val="003F0C03"/>
    <w:rsid w:val="003F18F9"/>
    <w:rsid w:val="003F5277"/>
    <w:rsid w:val="003F7D65"/>
    <w:rsid w:val="0040175A"/>
    <w:rsid w:val="004032F4"/>
    <w:rsid w:val="00404A1E"/>
    <w:rsid w:val="00410C5C"/>
    <w:rsid w:val="00413CC4"/>
    <w:rsid w:val="0041491E"/>
    <w:rsid w:val="00415E14"/>
    <w:rsid w:val="00416910"/>
    <w:rsid w:val="0042351D"/>
    <w:rsid w:val="00425843"/>
    <w:rsid w:val="00425F7F"/>
    <w:rsid w:val="00426998"/>
    <w:rsid w:val="004312B1"/>
    <w:rsid w:val="004336F8"/>
    <w:rsid w:val="00435BA0"/>
    <w:rsid w:val="00442624"/>
    <w:rsid w:val="00445BB5"/>
    <w:rsid w:val="00446A59"/>
    <w:rsid w:val="00451AF6"/>
    <w:rsid w:val="00453C38"/>
    <w:rsid w:val="00454542"/>
    <w:rsid w:val="00455388"/>
    <w:rsid w:val="00455623"/>
    <w:rsid w:val="0045704D"/>
    <w:rsid w:val="004614D7"/>
    <w:rsid w:val="0046185C"/>
    <w:rsid w:val="00467554"/>
    <w:rsid w:val="00471C23"/>
    <w:rsid w:val="00476EC5"/>
    <w:rsid w:val="00477637"/>
    <w:rsid w:val="00480067"/>
    <w:rsid w:val="00480DC5"/>
    <w:rsid w:val="00484F07"/>
    <w:rsid w:val="00484FA3"/>
    <w:rsid w:val="00486E30"/>
    <w:rsid w:val="00487F5C"/>
    <w:rsid w:val="004923C7"/>
    <w:rsid w:val="00493332"/>
    <w:rsid w:val="0049380E"/>
    <w:rsid w:val="00496348"/>
    <w:rsid w:val="0049789A"/>
    <w:rsid w:val="004A05B2"/>
    <w:rsid w:val="004A1E9C"/>
    <w:rsid w:val="004A27CF"/>
    <w:rsid w:val="004A7F77"/>
    <w:rsid w:val="004B0355"/>
    <w:rsid w:val="004B2FB3"/>
    <w:rsid w:val="004B403A"/>
    <w:rsid w:val="004B736F"/>
    <w:rsid w:val="004B7845"/>
    <w:rsid w:val="004C08A5"/>
    <w:rsid w:val="004C4EB6"/>
    <w:rsid w:val="004C6495"/>
    <w:rsid w:val="004C6DD9"/>
    <w:rsid w:val="004D1962"/>
    <w:rsid w:val="004D2C78"/>
    <w:rsid w:val="004D5C5D"/>
    <w:rsid w:val="004D7C04"/>
    <w:rsid w:val="004E0A30"/>
    <w:rsid w:val="004E42ED"/>
    <w:rsid w:val="004E5332"/>
    <w:rsid w:val="004F01E4"/>
    <w:rsid w:val="004F0B4E"/>
    <w:rsid w:val="004F0F37"/>
    <w:rsid w:val="004F21C3"/>
    <w:rsid w:val="004F4B79"/>
    <w:rsid w:val="004F59E0"/>
    <w:rsid w:val="004F6AF7"/>
    <w:rsid w:val="005000BD"/>
    <w:rsid w:val="0050233F"/>
    <w:rsid w:val="0050395F"/>
    <w:rsid w:val="005041D4"/>
    <w:rsid w:val="00504814"/>
    <w:rsid w:val="00504FD7"/>
    <w:rsid w:val="00505892"/>
    <w:rsid w:val="00507424"/>
    <w:rsid w:val="00507DFA"/>
    <w:rsid w:val="005113CF"/>
    <w:rsid w:val="00512FEE"/>
    <w:rsid w:val="00517B8D"/>
    <w:rsid w:val="00517CEB"/>
    <w:rsid w:val="00522E03"/>
    <w:rsid w:val="005259C8"/>
    <w:rsid w:val="00531218"/>
    <w:rsid w:val="00531B88"/>
    <w:rsid w:val="0053280D"/>
    <w:rsid w:val="00534803"/>
    <w:rsid w:val="005352EF"/>
    <w:rsid w:val="00537E5C"/>
    <w:rsid w:val="005416FC"/>
    <w:rsid w:val="00541B5D"/>
    <w:rsid w:val="00542348"/>
    <w:rsid w:val="005442B1"/>
    <w:rsid w:val="005446A7"/>
    <w:rsid w:val="005462DD"/>
    <w:rsid w:val="00546A36"/>
    <w:rsid w:val="00550386"/>
    <w:rsid w:val="00556A28"/>
    <w:rsid w:val="00557EC1"/>
    <w:rsid w:val="005632C5"/>
    <w:rsid w:val="00563DDB"/>
    <w:rsid w:val="00565DD8"/>
    <w:rsid w:val="00567857"/>
    <w:rsid w:val="0057061A"/>
    <w:rsid w:val="005715B8"/>
    <w:rsid w:val="00572785"/>
    <w:rsid w:val="00574216"/>
    <w:rsid w:val="00577529"/>
    <w:rsid w:val="0058118F"/>
    <w:rsid w:val="005837C2"/>
    <w:rsid w:val="00583E54"/>
    <w:rsid w:val="00585811"/>
    <w:rsid w:val="00585ABC"/>
    <w:rsid w:val="00586556"/>
    <w:rsid w:val="00586618"/>
    <w:rsid w:val="005904D7"/>
    <w:rsid w:val="00590B06"/>
    <w:rsid w:val="00590CD4"/>
    <w:rsid w:val="00591EEE"/>
    <w:rsid w:val="00592E18"/>
    <w:rsid w:val="0059368E"/>
    <w:rsid w:val="005946F6"/>
    <w:rsid w:val="0059722A"/>
    <w:rsid w:val="00597C98"/>
    <w:rsid w:val="005A16FB"/>
    <w:rsid w:val="005A17A3"/>
    <w:rsid w:val="005A1937"/>
    <w:rsid w:val="005A3746"/>
    <w:rsid w:val="005B4212"/>
    <w:rsid w:val="005B6061"/>
    <w:rsid w:val="005B6A9D"/>
    <w:rsid w:val="005B6EF7"/>
    <w:rsid w:val="005B7B28"/>
    <w:rsid w:val="005C0136"/>
    <w:rsid w:val="005C1249"/>
    <w:rsid w:val="005C1D3C"/>
    <w:rsid w:val="005C2E96"/>
    <w:rsid w:val="005C3104"/>
    <w:rsid w:val="005C512C"/>
    <w:rsid w:val="005C5741"/>
    <w:rsid w:val="005D46A9"/>
    <w:rsid w:val="005D6253"/>
    <w:rsid w:val="005E07F3"/>
    <w:rsid w:val="005E0CAA"/>
    <w:rsid w:val="005E206D"/>
    <w:rsid w:val="005E2F4D"/>
    <w:rsid w:val="005E3B40"/>
    <w:rsid w:val="005E548B"/>
    <w:rsid w:val="005E552F"/>
    <w:rsid w:val="005F768F"/>
    <w:rsid w:val="005F7A03"/>
    <w:rsid w:val="0060081E"/>
    <w:rsid w:val="00600CD4"/>
    <w:rsid w:val="00601E96"/>
    <w:rsid w:val="00602E0B"/>
    <w:rsid w:val="00604D56"/>
    <w:rsid w:val="006051D0"/>
    <w:rsid w:val="00605270"/>
    <w:rsid w:val="00605335"/>
    <w:rsid w:val="00606538"/>
    <w:rsid w:val="00612765"/>
    <w:rsid w:val="006128B5"/>
    <w:rsid w:val="006174FD"/>
    <w:rsid w:val="0062057E"/>
    <w:rsid w:val="00620FA8"/>
    <w:rsid w:val="00621524"/>
    <w:rsid w:val="00621BEB"/>
    <w:rsid w:val="00621CFB"/>
    <w:rsid w:val="00623CE4"/>
    <w:rsid w:val="00623E0C"/>
    <w:rsid w:val="00626E88"/>
    <w:rsid w:val="00627506"/>
    <w:rsid w:val="00631D2F"/>
    <w:rsid w:val="0063273F"/>
    <w:rsid w:val="00632815"/>
    <w:rsid w:val="00633C6D"/>
    <w:rsid w:val="00635C3A"/>
    <w:rsid w:val="00642F32"/>
    <w:rsid w:val="006441FA"/>
    <w:rsid w:val="00645252"/>
    <w:rsid w:val="00646E90"/>
    <w:rsid w:val="006515E0"/>
    <w:rsid w:val="00653B1A"/>
    <w:rsid w:val="00655724"/>
    <w:rsid w:val="00657B66"/>
    <w:rsid w:val="00662D8D"/>
    <w:rsid w:val="00663520"/>
    <w:rsid w:val="006635F4"/>
    <w:rsid w:val="00664994"/>
    <w:rsid w:val="006649D7"/>
    <w:rsid w:val="00665D74"/>
    <w:rsid w:val="00666D93"/>
    <w:rsid w:val="006678C1"/>
    <w:rsid w:val="0067351C"/>
    <w:rsid w:val="0067585D"/>
    <w:rsid w:val="00680638"/>
    <w:rsid w:val="006811F4"/>
    <w:rsid w:val="00681738"/>
    <w:rsid w:val="00681F01"/>
    <w:rsid w:val="00684EB8"/>
    <w:rsid w:val="006850FE"/>
    <w:rsid w:val="0068562B"/>
    <w:rsid w:val="006856F5"/>
    <w:rsid w:val="00686900"/>
    <w:rsid w:val="00686DAF"/>
    <w:rsid w:val="00691B00"/>
    <w:rsid w:val="00696257"/>
    <w:rsid w:val="006A16C3"/>
    <w:rsid w:val="006A1C71"/>
    <w:rsid w:val="006A29BB"/>
    <w:rsid w:val="006A2F61"/>
    <w:rsid w:val="006A76D1"/>
    <w:rsid w:val="006A791E"/>
    <w:rsid w:val="006B1649"/>
    <w:rsid w:val="006B1A2A"/>
    <w:rsid w:val="006B1C97"/>
    <w:rsid w:val="006B36D0"/>
    <w:rsid w:val="006B3CDE"/>
    <w:rsid w:val="006B5269"/>
    <w:rsid w:val="006B6A76"/>
    <w:rsid w:val="006B6BCE"/>
    <w:rsid w:val="006B746A"/>
    <w:rsid w:val="006B7760"/>
    <w:rsid w:val="006C0618"/>
    <w:rsid w:val="006C1236"/>
    <w:rsid w:val="006C287B"/>
    <w:rsid w:val="006C4CF7"/>
    <w:rsid w:val="006C7DF2"/>
    <w:rsid w:val="006D02EF"/>
    <w:rsid w:val="006D1FD1"/>
    <w:rsid w:val="006D3CB9"/>
    <w:rsid w:val="006D7E4D"/>
    <w:rsid w:val="006E0653"/>
    <w:rsid w:val="006E0B79"/>
    <w:rsid w:val="006E1CCA"/>
    <w:rsid w:val="006E3D94"/>
    <w:rsid w:val="006E515C"/>
    <w:rsid w:val="006E5298"/>
    <w:rsid w:val="006E5656"/>
    <w:rsid w:val="006E58BC"/>
    <w:rsid w:val="006E5B6F"/>
    <w:rsid w:val="006F3394"/>
    <w:rsid w:val="006F36AE"/>
    <w:rsid w:val="006F3EB0"/>
    <w:rsid w:val="006F43CB"/>
    <w:rsid w:val="006F624B"/>
    <w:rsid w:val="006F6300"/>
    <w:rsid w:val="006F6E53"/>
    <w:rsid w:val="00703E9E"/>
    <w:rsid w:val="00704A32"/>
    <w:rsid w:val="007056A0"/>
    <w:rsid w:val="007061DC"/>
    <w:rsid w:val="0071495C"/>
    <w:rsid w:val="00714E7C"/>
    <w:rsid w:val="00716170"/>
    <w:rsid w:val="007225D5"/>
    <w:rsid w:val="00723870"/>
    <w:rsid w:val="00723C1A"/>
    <w:rsid w:val="00724E16"/>
    <w:rsid w:val="00725E3A"/>
    <w:rsid w:val="00733D6C"/>
    <w:rsid w:val="00740143"/>
    <w:rsid w:val="00741BF2"/>
    <w:rsid w:val="00743F1B"/>
    <w:rsid w:val="0074715C"/>
    <w:rsid w:val="007537A8"/>
    <w:rsid w:val="00754EDE"/>
    <w:rsid w:val="00757627"/>
    <w:rsid w:val="00757A6E"/>
    <w:rsid w:val="00761717"/>
    <w:rsid w:val="00766D89"/>
    <w:rsid w:val="00771E9E"/>
    <w:rsid w:val="00772351"/>
    <w:rsid w:val="0077320D"/>
    <w:rsid w:val="007745A6"/>
    <w:rsid w:val="0077526A"/>
    <w:rsid w:val="00775AE4"/>
    <w:rsid w:val="007763DB"/>
    <w:rsid w:val="007776BB"/>
    <w:rsid w:val="00782340"/>
    <w:rsid w:val="00783354"/>
    <w:rsid w:val="00783ECC"/>
    <w:rsid w:val="00787CAE"/>
    <w:rsid w:val="007917AF"/>
    <w:rsid w:val="0079760D"/>
    <w:rsid w:val="007A662F"/>
    <w:rsid w:val="007B2700"/>
    <w:rsid w:val="007B53A2"/>
    <w:rsid w:val="007B6EBD"/>
    <w:rsid w:val="007C1641"/>
    <w:rsid w:val="007C1ABA"/>
    <w:rsid w:val="007C6290"/>
    <w:rsid w:val="007C72F6"/>
    <w:rsid w:val="007D1377"/>
    <w:rsid w:val="007D19CF"/>
    <w:rsid w:val="007D1BDE"/>
    <w:rsid w:val="007D4122"/>
    <w:rsid w:val="007D456A"/>
    <w:rsid w:val="007D4679"/>
    <w:rsid w:val="007D55FB"/>
    <w:rsid w:val="007D5E61"/>
    <w:rsid w:val="007D6229"/>
    <w:rsid w:val="007D622C"/>
    <w:rsid w:val="007D654D"/>
    <w:rsid w:val="007D7C45"/>
    <w:rsid w:val="007E1FEC"/>
    <w:rsid w:val="007E2255"/>
    <w:rsid w:val="007E2A69"/>
    <w:rsid w:val="007E71EB"/>
    <w:rsid w:val="007F051D"/>
    <w:rsid w:val="007F070C"/>
    <w:rsid w:val="007F104C"/>
    <w:rsid w:val="007F5EA3"/>
    <w:rsid w:val="00802A7C"/>
    <w:rsid w:val="00807090"/>
    <w:rsid w:val="00810E38"/>
    <w:rsid w:val="008116A4"/>
    <w:rsid w:val="00811A9F"/>
    <w:rsid w:val="00813484"/>
    <w:rsid w:val="00817A5E"/>
    <w:rsid w:val="00817B65"/>
    <w:rsid w:val="00832B2C"/>
    <w:rsid w:val="00832B2D"/>
    <w:rsid w:val="00834A96"/>
    <w:rsid w:val="00834C80"/>
    <w:rsid w:val="0083645A"/>
    <w:rsid w:val="00840D55"/>
    <w:rsid w:val="00842299"/>
    <w:rsid w:val="00846D77"/>
    <w:rsid w:val="00851620"/>
    <w:rsid w:val="00853BB5"/>
    <w:rsid w:val="00854168"/>
    <w:rsid w:val="00860236"/>
    <w:rsid w:val="00860A34"/>
    <w:rsid w:val="008617F2"/>
    <w:rsid w:val="008624AE"/>
    <w:rsid w:val="00862676"/>
    <w:rsid w:val="008631A2"/>
    <w:rsid w:val="008653BA"/>
    <w:rsid w:val="0086615E"/>
    <w:rsid w:val="0087092B"/>
    <w:rsid w:val="00872C67"/>
    <w:rsid w:val="00873359"/>
    <w:rsid w:val="00873FF3"/>
    <w:rsid w:val="00874649"/>
    <w:rsid w:val="008779DD"/>
    <w:rsid w:val="008824B0"/>
    <w:rsid w:val="00882E39"/>
    <w:rsid w:val="0088477F"/>
    <w:rsid w:val="00885AD2"/>
    <w:rsid w:val="008869D4"/>
    <w:rsid w:val="00886B38"/>
    <w:rsid w:val="008948AF"/>
    <w:rsid w:val="00897B32"/>
    <w:rsid w:val="008A1FF1"/>
    <w:rsid w:val="008A2887"/>
    <w:rsid w:val="008A3D67"/>
    <w:rsid w:val="008A6699"/>
    <w:rsid w:val="008A6F0D"/>
    <w:rsid w:val="008B06F5"/>
    <w:rsid w:val="008C02DD"/>
    <w:rsid w:val="008C1267"/>
    <w:rsid w:val="008C15CE"/>
    <w:rsid w:val="008C1818"/>
    <w:rsid w:val="008C46C0"/>
    <w:rsid w:val="008C4895"/>
    <w:rsid w:val="008C4AA4"/>
    <w:rsid w:val="008C6FCA"/>
    <w:rsid w:val="008D0C45"/>
    <w:rsid w:val="008D0F20"/>
    <w:rsid w:val="008D12E0"/>
    <w:rsid w:val="008D4192"/>
    <w:rsid w:val="008D4994"/>
    <w:rsid w:val="008D77B7"/>
    <w:rsid w:val="008E3C72"/>
    <w:rsid w:val="008E5AF2"/>
    <w:rsid w:val="008E61E1"/>
    <w:rsid w:val="008E695D"/>
    <w:rsid w:val="008E7939"/>
    <w:rsid w:val="008F324B"/>
    <w:rsid w:val="008F5D5E"/>
    <w:rsid w:val="008F5FEB"/>
    <w:rsid w:val="008F6602"/>
    <w:rsid w:val="0090242A"/>
    <w:rsid w:val="00904137"/>
    <w:rsid w:val="00906523"/>
    <w:rsid w:val="00913BBE"/>
    <w:rsid w:val="009153BD"/>
    <w:rsid w:val="00915B9C"/>
    <w:rsid w:val="00916C9E"/>
    <w:rsid w:val="009201CF"/>
    <w:rsid w:val="0093229B"/>
    <w:rsid w:val="009329F1"/>
    <w:rsid w:val="00936764"/>
    <w:rsid w:val="00936B14"/>
    <w:rsid w:val="00937CC9"/>
    <w:rsid w:val="00937E16"/>
    <w:rsid w:val="00940326"/>
    <w:rsid w:val="0094074E"/>
    <w:rsid w:val="0094121D"/>
    <w:rsid w:val="00943F09"/>
    <w:rsid w:val="00951101"/>
    <w:rsid w:val="00952170"/>
    <w:rsid w:val="00953F4C"/>
    <w:rsid w:val="00954876"/>
    <w:rsid w:val="00962F23"/>
    <w:rsid w:val="0096442B"/>
    <w:rsid w:val="00964537"/>
    <w:rsid w:val="00965CF9"/>
    <w:rsid w:val="00965E9E"/>
    <w:rsid w:val="009725E7"/>
    <w:rsid w:val="00974197"/>
    <w:rsid w:val="00974AF3"/>
    <w:rsid w:val="009757C8"/>
    <w:rsid w:val="00976DBA"/>
    <w:rsid w:val="00977BE3"/>
    <w:rsid w:val="00980343"/>
    <w:rsid w:val="009806AD"/>
    <w:rsid w:val="00980901"/>
    <w:rsid w:val="00980E70"/>
    <w:rsid w:val="00983179"/>
    <w:rsid w:val="00983CFD"/>
    <w:rsid w:val="009867DE"/>
    <w:rsid w:val="00991401"/>
    <w:rsid w:val="00993B53"/>
    <w:rsid w:val="00996EDD"/>
    <w:rsid w:val="009A1022"/>
    <w:rsid w:val="009A1364"/>
    <w:rsid w:val="009A13C0"/>
    <w:rsid w:val="009A2A84"/>
    <w:rsid w:val="009A2A99"/>
    <w:rsid w:val="009A5C05"/>
    <w:rsid w:val="009A7850"/>
    <w:rsid w:val="009B12D9"/>
    <w:rsid w:val="009B3215"/>
    <w:rsid w:val="009B48DF"/>
    <w:rsid w:val="009B5D22"/>
    <w:rsid w:val="009B6AB7"/>
    <w:rsid w:val="009B7FE3"/>
    <w:rsid w:val="009C313F"/>
    <w:rsid w:val="009C3499"/>
    <w:rsid w:val="009C5FFE"/>
    <w:rsid w:val="009C6408"/>
    <w:rsid w:val="009D1F42"/>
    <w:rsid w:val="009D4391"/>
    <w:rsid w:val="009D4995"/>
    <w:rsid w:val="009D60A2"/>
    <w:rsid w:val="009D6C1C"/>
    <w:rsid w:val="009E2321"/>
    <w:rsid w:val="009E3B56"/>
    <w:rsid w:val="009E471F"/>
    <w:rsid w:val="009E576F"/>
    <w:rsid w:val="009E5912"/>
    <w:rsid w:val="009F1D95"/>
    <w:rsid w:val="009F2AE5"/>
    <w:rsid w:val="009F2BBD"/>
    <w:rsid w:val="009F3CEA"/>
    <w:rsid w:val="009F4E5C"/>
    <w:rsid w:val="009F5401"/>
    <w:rsid w:val="009F654C"/>
    <w:rsid w:val="009F67DD"/>
    <w:rsid w:val="00A00CC4"/>
    <w:rsid w:val="00A05342"/>
    <w:rsid w:val="00A0667A"/>
    <w:rsid w:val="00A10E8C"/>
    <w:rsid w:val="00A156E1"/>
    <w:rsid w:val="00A167DA"/>
    <w:rsid w:val="00A20CFF"/>
    <w:rsid w:val="00A21227"/>
    <w:rsid w:val="00A2122E"/>
    <w:rsid w:val="00A22C39"/>
    <w:rsid w:val="00A24B74"/>
    <w:rsid w:val="00A24EE0"/>
    <w:rsid w:val="00A255E8"/>
    <w:rsid w:val="00A27302"/>
    <w:rsid w:val="00A32846"/>
    <w:rsid w:val="00A3639A"/>
    <w:rsid w:val="00A37901"/>
    <w:rsid w:val="00A441AA"/>
    <w:rsid w:val="00A512B6"/>
    <w:rsid w:val="00A52939"/>
    <w:rsid w:val="00A566D1"/>
    <w:rsid w:val="00A56ED6"/>
    <w:rsid w:val="00A57023"/>
    <w:rsid w:val="00A6068F"/>
    <w:rsid w:val="00A61A7F"/>
    <w:rsid w:val="00A625BF"/>
    <w:rsid w:val="00A64FD5"/>
    <w:rsid w:val="00A665B4"/>
    <w:rsid w:val="00A70FC2"/>
    <w:rsid w:val="00A715A0"/>
    <w:rsid w:val="00A7440E"/>
    <w:rsid w:val="00A74691"/>
    <w:rsid w:val="00A74BD0"/>
    <w:rsid w:val="00A75178"/>
    <w:rsid w:val="00A772F3"/>
    <w:rsid w:val="00A77407"/>
    <w:rsid w:val="00A8236D"/>
    <w:rsid w:val="00A84F0D"/>
    <w:rsid w:val="00A90025"/>
    <w:rsid w:val="00A919E3"/>
    <w:rsid w:val="00A921D2"/>
    <w:rsid w:val="00A939D8"/>
    <w:rsid w:val="00A94084"/>
    <w:rsid w:val="00A942E8"/>
    <w:rsid w:val="00A94A4C"/>
    <w:rsid w:val="00A94CB1"/>
    <w:rsid w:val="00A95870"/>
    <w:rsid w:val="00AA105C"/>
    <w:rsid w:val="00AA1753"/>
    <w:rsid w:val="00AA19CD"/>
    <w:rsid w:val="00AA35BD"/>
    <w:rsid w:val="00AA5260"/>
    <w:rsid w:val="00AA5F11"/>
    <w:rsid w:val="00AA7309"/>
    <w:rsid w:val="00AB190B"/>
    <w:rsid w:val="00AB3CCC"/>
    <w:rsid w:val="00AB7077"/>
    <w:rsid w:val="00AC1CDB"/>
    <w:rsid w:val="00AC1EB4"/>
    <w:rsid w:val="00AC2EF3"/>
    <w:rsid w:val="00AC36F9"/>
    <w:rsid w:val="00AC66C1"/>
    <w:rsid w:val="00AC67A1"/>
    <w:rsid w:val="00AC7BE5"/>
    <w:rsid w:val="00AC7C15"/>
    <w:rsid w:val="00AC7CDB"/>
    <w:rsid w:val="00AD5F16"/>
    <w:rsid w:val="00AD6CD2"/>
    <w:rsid w:val="00AD7694"/>
    <w:rsid w:val="00AE3C9A"/>
    <w:rsid w:val="00AE3E95"/>
    <w:rsid w:val="00AE4DFE"/>
    <w:rsid w:val="00AE6967"/>
    <w:rsid w:val="00AE73AF"/>
    <w:rsid w:val="00AF0C32"/>
    <w:rsid w:val="00AF59F8"/>
    <w:rsid w:val="00AF68E4"/>
    <w:rsid w:val="00B01720"/>
    <w:rsid w:val="00B01A57"/>
    <w:rsid w:val="00B0235D"/>
    <w:rsid w:val="00B02CD1"/>
    <w:rsid w:val="00B0379E"/>
    <w:rsid w:val="00B07B27"/>
    <w:rsid w:val="00B13112"/>
    <w:rsid w:val="00B16A07"/>
    <w:rsid w:val="00B240B4"/>
    <w:rsid w:val="00B246D3"/>
    <w:rsid w:val="00B252FF"/>
    <w:rsid w:val="00B259C2"/>
    <w:rsid w:val="00B26077"/>
    <w:rsid w:val="00B26D26"/>
    <w:rsid w:val="00B27F13"/>
    <w:rsid w:val="00B347CC"/>
    <w:rsid w:val="00B34FA8"/>
    <w:rsid w:val="00B355AE"/>
    <w:rsid w:val="00B368BD"/>
    <w:rsid w:val="00B36A9C"/>
    <w:rsid w:val="00B4188D"/>
    <w:rsid w:val="00B42229"/>
    <w:rsid w:val="00B43FD9"/>
    <w:rsid w:val="00B4715C"/>
    <w:rsid w:val="00B50A5D"/>
    <w:rsid w:val="00B51148"/>
    <w:rsid w:val="00B516A5"/>
    <w:rsid w:val="00B51F40"/>
    <w:rsid w:val="00B53F07"/>
    <w:rsid w:val="00B57B22"/>
    <w:rsid w:val="00B60D7A"/>
    <w:rsid w:val="00B6174F"/>
    <w:rsid w:val="00B64164"/>
    <w:rsid w:val="00B64F97"/>
    <w:rsid w:val="00B65C6C"/>
    <w:rsid w:val="00B67665"/>
    <w:rsid w:val="00B7012C"/>
    <w:rsid w:val="00B702E7"/>
    <w:rsid w:val="00B754BE"/>
    <w:rsid w:val="00B83F78"/>
    <w:rsid w:val="00B84A71"/>
    <w:rsid w:val="00B855DA"/>
    <w:rsid w:val="00B879BF"/>
    <w:rsid w:val="00B944CF"/>
    <w:rsid w:val="00B94979"/>
    <w:rsid w:val="00B955F2"/>
    <w:rsid w:val="00BA211B"/>
    <w:rsid w:val="00BB03BF"/>
    <w:rsid w:val="00BB04AB"/>
    <w:rsid w:val="00BB09B7"/>
    <w:rsid w:val="00BB5EF4"/>
    <w:rsid w:val="00BB684E"/>
    <w:rsid w:val="00BC1D4A"/>
    <w:rsid w:val="00BD43D2"/>
    <w:rsid w:val="00BD6E8A"/>
    <w:rsid w:val="00BE1968"/>
    <w:rsid w:val="00BE2E27"/>
    <w:rsid w:val="00BE3ED9"/>
    <w:rsid w:val="00BE58C9"/>
    <w:rsid w:val="00BE7E2E"/>
    <w:rsid w:val="00BF0588"/>
    <w:rsid w:val="00BF05DF"/>
    <w:rsid w:val="00BF11D0"/>
    <w:rsid w:val="00BF1D98"/>
    <w:rsid w:val="00BF719B"/>
    <w:rsid w:val="00BF7E50"/>
    <w:rsid w:val="00C015E9"/>
    <w:rsid w:val="00C05CED"/>
    <w:rsid w:val="00C07B07"/>
    <w:rsid w:val="00C114BA"/>
    <w:rsid w:val="00C11D60"/>
    <w:rsid w:val="00C136D8"/>
    <w:rsid w:val="00C14442"/>
    <w:rsid w:val="00C14C85"/>
    <w:rsid w:val="00C151A8"/>
    <w:rsid w:val="00C16808"/>
    <w:rsid w:val="00C20445"/>
    <w:rsid w:val="00C22CA1"/>
    <w:rsid w:val="00C23077"/>
    <w:rsid w:val="00C23382"/>
    <w:rsid w:val="00C2684D"/>
    <w:rsid w:val="00C270F2"/>
    <w:rsid w:val="00C2749F"/>
    <w:rsid w:val="00C3093B"/>
    <w:rsid w:val="00C31901"/>
    <w:rsid w:val="00C3414C"/>
    <w:rsid w:val="00C343ED"/>
    <w:rsid w:val="00C3477F"/>
    <w:rsid w:val="00C34C1B"/>
    <w:rsid w:val="00C36BB8"/>
    <w:rsid w:val="00C4001A"/>
    <w:rsid w:val="00C428D6"/>
    <w:rsid w:val="00C47491"/>
    <w:rsid w:val="00C50898"/>
    <w:rsid w:val="00C50A3D"/>
    <w:rsid w:val="00C50B5A"/>
    <w:rsid w:val="00C518C6"/>
    <w:rsid w:val="00C519A6"/>
    <w:rsid w:val="00C51F07"/>
    <w:rsid w:val="00C521F3"/>
    <w:rsid w:val="00C53FB0"/>
    <w:rsid w:val="00C5500D"/>
    <w:rsid w:val="00C60226"/>
    <w:rsid w:val="00C613F9"/>
    <w:rsid w:val="00C63105"/>
    <w:rsid w:val="00C64CC8"/>
    <w:rsid w:val="00C6692C"/>
    <w:rsid w:val="00C7300F"/>
    <w:rsid w:val="00C7550D"/>
    <w:rsid w:val="00C764A3"/>
    <w:rsid w:val="00C77466"/>
    <w:rsid w:val="00C802ED"/>
    <w:rsid w:val="00C807C8"/>
    <w:rsid w:val="00C819AF"/>
    <w:rsid w:val="00C82920"/>
    <w:rsid w:val="00C82F9A"/>
    <w:rsid w:val="00C83E9C"/>
    <w:rsid w:val="00C84AB8"/>
    <w:rsid w:val="00C87638"/>
    <w:rsid w:val="00C87B0D"/>
    <w:rsid w:val="00C90C0D"/>
    <w:rsid w:val="00C97686"/>
    <w:rsid w:val="00CA0FC8"/>
    <w:rsid w:val="00CA1C70"/>
    <w:rsid w:val="00CA1DA9"/>
    <w:rsid w:val="00CA3522"/>
    <w:rsid w:val="00CA43AE"/>
    <w:rsid w:val="00CA4FE6"/>
    <w:rsid w:val="00CA706D"/>
    <w:rsid w:val="00CA7B01"/>
    <w:rsid w:val="00CA7EA6"/>
    <w:rsid w:val="00CB0429"/>
    <w:rsid w:val="00CB1F1E"/>
    <w:rsid w:val="00CC020A"/>
    <w:rsid w:val="00CC0BE2"/>
    <w:rsid w:val="00CC1CA0"/>
    <w:rsid w:val="00CC62B1"/>
    <w:rsid w:val="00CC7995"/>
    <w:rsid w:val="00CD1B78"/>
    <w:rsid w:val="00CD1FBE"/>
    <w:rsid w:val="00CD5380"/>
    <w:rsid w:val="00CD7E55"/>
    <w:rsid w:val="00CE6243"/>
    <w:rsid w:val="00CE648A"/>
    <w:rsid w:val="00CE6940"/>
    <w:rsid w:val="00CF13DB"/>
    <w:rsid w:val="00CF154D"/>
    <w:rsid w:val="00CF6775"/>
    <w:rsid w:val="00CF7E95"/>
    <w:rsid w:val="00D004C0"/>
    <w:rsid w:val="00D02C88"/>
    <w:rsid w:val="00D107CD"/>
    <w:rsid w:val="00D11459"/>
    <w:rsid w:val="00D12C72"/>
    <w:rsid w:val="00D14356"/>
    <w:rsid w:val="00D16DAC"/>
    <w:rsid w:val="00D17035"/>
    <w:rsid w:val="00D20393"/>
    <w:rsid w:val="00D21C1D"/>
    <w:rsid w:val="00D2386C"/>
    <w:rsid w:val="00D24B52"/>
    <w:rsid w:val="00D258BE"/>
    <w:rsid w:val="00D2760F"/>
    <w:rsid w:val="00D31F07"/>
    <w:rsid w:val="00D32114"/>
    <w:rsid w:val="00D3456E"/>
    <w:rsid w:val="00D35C55"/>
    <w:rsid w:val="00D36AA7"/>
    <w:rsid w:val="00D40AAB"/>
    <w:rsid w:val="00D410C2"/>
    <w:rsid w:val="00D466C1"/>
    <w:rsid w:val="00D51AD4"/>
    <w:rsid w:val="00D527EF"/>
    <w:rsid w:val="00D5291E"/>
    <w:rsid w:val="00D609D9"/>
    <w:rsid w:val="00D61554"/>
    <w:rsid w:val="00D63269"/>
    <w:rsid w:val="00D63C2B"/>
    <w:rsid w:val="00D63CFC"/>
    <w:rsid w:val="00D707E2"/>
    <w:rsid w:val="00D71BBE"/>
    <w:rsid w:val="00D76249"/>
    <w:rsid w:val="00D802BE"/>
    <w:rsid w:val="00D80CEA"/>
    <w:rsid w:val="00D814E5"/>
    <w:rsid w:val="00D831AB"/>
    <w:rsid w:val="00D91276"/>
    <w:rsid w:val="00D91781"/>
    <w:rsid w:val="00D92337"/>
    <w:rsid w:val="00D941A4"/>
    <w:rsid w:val="00D94330"/>
    <w:rsid w:val="00D9735B"/>
    <w:rsid w:val="00DA02C9"/>
    <w:rsid w:val="00DA1B70"/>
    <w:rsid w:val="00DA2044"/>
    <w:rsid w:val="00DA312F"/>
    <w:rsid w:val="00DA4714"/>
    <w:rsid w:val="00DA472A"/>
    <w:rsid w:val="00DB363E"/>
    <w:rsid w:val="00DB7443"/>
    <w:rsid w:val="00DC01B4"/>
    <w:rsid w:val="00DC14C7"/>
    <w:rsid w:val="00DC32DA"/>
    <w:rsid w:val="00DC52A9"/>
    <w:rsid w:val="00DC6B74"/>
    <w:rsid w:val="00DC723F"/>
    <w:rsid w:val="00DC7995"/>
    <w:rsid w:val="00DC7BA4"/>
    <w:rsid w:val="00DD3F85"/>
    <w:rsid w:val="00DD4EDA"/>
    <w:rsid w:val="00DD5225"/>
    <w:rsid w:val="00DD79EE"/>
    <w:rsid w:val="00DE1173"/>
    <w:rsid w:val="00DE2C93"/>
    <w:rsid w:val="00DE3B75"/>
    <w:rsid w:val="00DE7A06"/>
    <w:rsid w:val="00DF2A49"/>
    <w:rsid w:val="00DF40FD"/>
    <w:rsid w:val="00DF5C2C"/>
    <w:rsid w:val="00E03951"/>
    <w:rsid w:val="00E03F75"/>
    <w:rsid w:val="00E0466F"/>
    <w:rsid w:val="00E04D99"/>
    <w:rsid w:val="00E051AE"/>
    <w:rsid w:val="00E05673"/>
    <w:rsid w:val="00E05EDD"/>
    <w:rsid w:val="00E1347F"/>
    <w:rsid w:val="00E14912"/>
    <w:rsid w:val="00E14D75"/>
    <w:rsid w:val="00E1564E"/>
    <w:rsid w:val="00E25BF8"/>
    <w:rsid w:val="00E30376"/>
    <w:rsid w:val="00E32830"/>
    <w:rsid w:val="00E35420"/>
    <w:rsid w:val="00E40912"/>
    <w:rsid w:val="00E519C5"/>
    <w:rsid w:val="00E53513"/>
    <w:rsid w:val="00E53906"/>
    <w:rsid w:val="00E545B6"/>
    <w:rsid w:val="00E60389"/>
    <w:rsid w:val="00E60698"/>
    <w:rsid w:val="00E60C46"/>
    <w:rsid w:val="00E6415E"/>
    <w:rsid w:val="00E64613"/>
    <w:rsid w:val="00E64CE5"/>
    <w:rsid w:val="00E670F4"/>
    <w:rsid w:val="00E67DA3"/>
    <w:rsid w:val="00E70182"/>
    <w:rsid w:val="00E71536"/>
    <w:rsid w:val="00E72C5A"/>
    <w:rsid w:val="00E74D46"/>
    <w:rsid w:val="00E75A8D"/>
    <w:rsid w:val="00E75AC5"/>
    <w:rsid w:val="00E763B9"/>
    <w:rsid w:val="00E84A83"/>
    <w:rsid w:val="00E854B9"/>
    <w:rsid w:val="00E85609"/>
    <w:rsid w:val="00E91AF0"/>
    <w:rsid w:val="00E93CFD"/>
    <w:rsid w:val="00E958EF"/>
    <w:rsid w:val="00EA1A4F"/>
    <w:rsid w:val="00EA28BC"/>
    <w:rsid w:val="00EA3DC3"/>
    <w:rsid w:val="00EA57F6"/>
    <w:rsid w:val="00EA5B89"/>
    <w:rsid w:val="00EA66C8"/>
    <w:rsid w:val="00EA701C"/>
    <w:rsid w:val="00EB07C3"/>
    <w:rsid w:val="00EB1996"/>
    <w:rsid w:val="00EB2D06"/>
    <w:rsid w:val="00EB4918"/>
    <w:rsid w:val="00EB52E2"/>
    <w:rsid w:val="00EB5A22"/>
    <w:rsid w:val="00EB5E23"/>
    <w:rsid w:val="00EB5F44"/>
    <w:rsid w:val="00EB7247"/>
    <w:rsid w:val="00EC021C"/>
    <w:rsid w:val="00EC1219"/>
    <w:rsid w:val="00EC1446"/>
    <w:rsid w:val="00EC3453"/>
    <w:rsid w:val="00ED06CF"/>
    <w:rsid w:val="00ED5A73"/>
    <w:rsid w:val="00ED5B2A"/>
    <w:rsid w:val="00ED5ED5"/>
    <w:rsid w:val="00EE4CEB"/>
    <w:rsid w:val="00EE6F67"/>
    <w:rsid w:val="00EF0774"/>
    <w:rsid w:val="00EF0786"/>
    <w:rsid w:val="00EF1CEB"/>
    <w:rsid w:val="00EF24BB"/>
    <w:rsid w:val="00EF24CA"/>
    <w:rsid w:val="00EF4E61"/>
    <w:rsid w:val="00EF4E65"/>
    <w:rsid w:val="00EF644A"/>
    <w:rsid w:val="00F006CD"/>
    <w:rsid w:val="00F030C0"/>
    <w:rsid w:val="00F049D6"/>
    <w:rsid w:val="00F051D7"/>
    <w:rsid w:val="00F1012B"/>
    <w:rsid w:val="00F11C3B"/>
    <w:rsid w:val="00F1285D"/>
    <w:rsid w:val="00F157AC"/>
    <w:rsid w:val="00F16318"/>
    <w:rsid w:val="00F172BB"/>
    <w:rsid w:val="00F20DFC"/>
    <w:rsid w:val="00F225EC"/>
    <w:rsid w:val="00F24734"/>
    <w:rsid w:val="00F24D0E"/>
    <w:rsid w:val="00F27713"/>
    <w:rsid w:val="00F30505"/>
    <w:rsid w:val="00F305A3"/>
    <w:rsid w:val="00F338A6"/>
    <w:rsid w:val="00F407D2"/>
    <w:rsid w:val="00F42D04"/>
    <w:rsid w:val="00F46E62"/>
    <w:rsid w:val="00F5020D"/>
    <w:rsid w:val="00F5142E"/>
    <w:rsid w:val="00F51AE5"/>
    <w:rsid w:val="00F53014"/>
    <w:rsid w:val="00F5319D"/>
    <w:rsid w:val="00F55EB0"/>
    <w:rsid w:val="00F60096"/>
    <w:rsid w:val="00F632F0"/>
    <w:rsid w:val="00F67E1B"/>
    <w:rsid w:val="00F71C44"/>
    <w:rsid w:val="00F736D1"/>
    <w:rsid w:val="00F7428F"/>
    <w:rsid w:val="00F745EE"/>
    <w:rsid w:val="00F75EC6"/>
    <w:rsid w:val="00F760E1"/>
    <w:rsid w:val="00F76B07"/>
    <w:rsid w:val="00F76B6C"/>
    <w:rsid w:val="00F77226"/>
    <w:rsid w:val="00F81829"/>
    <w:rsid w:val="00F8262A"/>
    <w:rsid w:val="00F82807"/>
    <w:rsid w:val="00F8356D"/>
    <w:rsid w:val="00F84E8F"/>
    <w:rsid w:val="00F84F24"/>
    <w:rsid w:val="00F85CD5"/>
    <w:rsid w:val="00F86980"/>
    <w:rsid w:val="00F87ADA"/>
    <w:rsid w:val="00F90766"/>
    <w:rsid w:val="00F90B5A"/>
    <w:rsid w:val="00FA4852"/>
    <w:rsid w:val="00FA5E01"/>
    <w:rsid w:val="00FA6D36"/>
    <w:rsid w:val="00FB0730"/>
    <w:rsid w:val="00FB0D22"/>
    <w:rsid w:val="00FB1145"/>
    <w:rsid w:val="00FB1329"/>
    <w:rsid w:val="00FB1D00"/>
    <w:rsid w:val="00FB20A9"/>
    <w:rsid w:val="00FB356D"/>
    <w:rsid w:val="00FB3FA3"/>
    <w:rsid w:val="00FB44FF"/>
    <w:rsid w:val="00FB5BC7"/>
    <w:rsid w:val="00FB5E16"/>
    <w:rsid w:val="00FB6561"/>
    <w:rsid w:val="00FB777D"/>
    <w:rsid w:val="00FC3ECC"/>
    <w:rsid w:val="00FC741E"/>
    <w:rsid w:val="00FD0B98"/>
    <w:rsid w:val="00FD1B55"/>
    <w:rsid w:val="00FD1D5D"/>
    <w:rsid w:val="00FD64EC"/>
    <w:rsid w:val="00FD71BF"/>
    <w:rsid w:val="00FD72FE"/>
    <w:rsid w:val="00FE06DB"/>
    <w:rsid w:val="00FE0C6E"/>
    <w:rsid w:val="00FE23E3"/>
    <w:rsid w:val="00FE5315"/>
    <w:rsid w:val="00FE695F"/>
    <w:rsid w:val="00FF07DC"/>
    <w:rsid w:val="00FF3B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A613C"/>
  <w15:chartTrackingRefBased/>
  <w15:docId w15:val="{AB627E3D-6F3A-4E94-8B31-B7333EDC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2800"/>
    <w:pPr>
      <w:jc w:val="both"/>
    </w:pPr>
    <w:rPr>
      <w:sz w:val="20"/>
    </w:rPr>
  </w:style>
  <w:style w:type="paragraph" w:styleId="berschrift1">
    <w:name w:val="heading 1"/>
    <w:basedOn w:val="Standard"/>
    <w:next w:val="Standard"/>
    <w:link w:val="berschrift1Zchn"/>
    <w:uiPriority w:val="9"/>
    <w:qFormat/>
    <w:rsid w:val="00AE4DFE"/>
    <w:pPr>
      <w:keepLines/>
      <w:pBdr>
        <w:bottom w:val="single" w:sz="4" w:space="1" w:color="auto"/>
      </w:pBdr>
      <w:spacing w:after="40" w:line="240" w:lineRule="auto"/>
      <w:outlineLvl w:val="0"/>
    </w:pPr>
    <w:rPr>
      <w:rFonts w:asciiTheme="majorHAnsi" w:eastAsiaTheme="majorEastAsia" w:hAnsiTheme="majorHAnsi" w:cstheme="majorBidi"/>
      <w:b/>
      <w:sz w:val="24"/>
      <w:szCs w:val="36"/>
    </w:rPr>
  </w:style>
  <w:style w:type="paragraph" w:styleId="berschrift2">
    <w:name w:val="heading 2"/>
    <w:basedOn w:val="Standard"/>
    <w:next w:val="Standard"/>
    <w:link w:val="berschrift2Zchn"/>
    <w:uiPriority w:val="9"/>
    <w:unhideWhenUsed/>
    <w:qFormat/>
    <w:rsid w:val="00577529"/>
    <w:pPr>
      <w:keepLines/>
      <w:spacing w:before="160" w:after="0" w:line="240" w:lineRule="auto"/>
      <w:outlineLvl w:val="1"/>
    </w:pPr>
    <w:rPr>
      <w:rFonts w:asciiTheme="majorHAnsi" w:eastAsiaTheme="majorEastAsia" w:hAnsiTheme="majorHAnsi" w:cstheme="majorBidi"/>
      <w:b/>
      <w:sz w:val="24"/>
      <w:szCs w:val="28"/>
    </w:rPr>
  </w:style>
  <w:style w:type="paragraph" w:styleId="berschrift3">
    <w:name w:val="heading 3"/>
    <w:basedOn w:val="Standard"/>
    <w:next w:val="Standard"/>
    <w:link w:val="berschrift3Zchn"/>
    <w:uiPriority w:val="9"/>
    <w:unhideWhenUsed/>
    <w:qFormat/>
    <w:rsid w:val="00577529"/>
    <w:pPr>
      <w:keepLines/>
      <w:spacing w:before="80" w:after="0" w:line="240" w:lineRule="auto"/>
      <w:outlineLvl w:val="2"/>
    </w:pPr>
    <w:rPr>
      <w:rFonts w:ascii="Calibri" w:eastAsiaTheme="majorEastAsia" w:hAnsi="Calibri" w:cstheme="majorBidi"/>
      <w:b/>
      <w:sz w:val="22"/>
      <w:szCs w:val="26"/>
    </w:rPr>
  </w:style>
  <w:style w:type="paragraph" w:styleId="berschrift4">
    <w:name w:val="heading 4"/>
    <w:basedOn w:val="Standard"/>
    <w:next w:val="Standard"/>
    <w:link w:val="berschrift4Zchn"/>
    <w:uiPriority w:val="9"/>
    <w:unhideWhenUsed/>
    <w:qFormat/>
    <w:rsid w:val="00577529"/>
    <w:pPr>
      <w:keepLines/>
      <w:spacing w:before="80" w:after="0"/>
      <w:outlineLvl w:val="3"/>
    </w:pPr>
    <w:rPr>
      <w:rFonts w:ascii="Calibri" w:eastAsiaTheme="majorEastAsia" w:hAnsi="Calibri" w:cstheme="majorBidi"/>
      <w:b/>
      <w:szCs w:val="24"/>
    </w:rPr>
  </w:style>
  <w:style w:type="paragraph" w:styleId="berschrift5">
    <w:name w:val="heading 5"/>
    <w:basedOn w:val="Standard"/>
    <w:next w:val="Standard"/>
    <w:link w:val="berschrift5Zchn"/>
    <w:uiPriority w:val="9"/>
    <w:unhideWhenUsed/>
    <w:qFormat/>
    <w:rsid w:val="00577529"/>
    <w:pPr>
      <w:keepLines/>
      <w:spacing w:before="80" w:after="0"/>
      <w:outlineLvl w:val="4"/>
    </w:pPr>
    <w:rPr>
      <w:rFonts w:ascii="Calibri" w:eastAsiaTheme="majorEastAsia" w:hAnsi="Calibri" w:cstheme="majorBidi"/>
      <w:b/>
      <w:i/>
      <w:iCs/>
      <w:szCs w:val="22"/>
    </w:rPr>
  </w:style>
  <w:style w:type="paragraph" w:styleId="berschrift6">
    <w:name w:val="heading 6"/>
    <w:basedOn w:val="Standard"/>
    <w:next w:val="Standard"/>
    <w:link w:val="berschrift6Zchn"/>
    <w:uiPriority w:val="9"/>
    <w:unhideWhenUsed/>
    <w:qFormat/>
    <w:rsid w:val="00577529"/>
    <w:pPr>
      <w:keepLines/>
      <w:spacing w:before="80" w:after="0"/>
      <w:outlineLvl w:val="5"/>
    </w:pPr>
    <w:rPr>
      <w:rFonts w:ascii="Calibri" w:eastAsiaTheme="majorEastAsia" w:hAnsi="Calibri" w:cstheme="majorBidi"/>
      <w:b/>
      <w:color w:val="000000" w:themeColor="text1"/>
    </w:rPr>
  </w:style>
  <w:style w:type="paragraph" w:styleId="berschrift7">
    <w:name w:val="heading 7"/>
    <w:basedOn w:val="Standard"/>
    <w:next w:val="Standard"/>
    <w:link w:val="berschrift7Zchn"/>
    <w:uiPriority w:val="9"/>
    <w:unhideWhenUsed/>
    <w:qFormat/>
    <w:rsid w:val="00577529"/>
    <w:pPr>
      <w:keepLines/>
      <w:spacing w:before="80" w:after="0"/>
      <w:outlineLvl w:val="6"/>
    </w:pPr>
    <w:rPr>
      <w:rFonts w:ascii="Calibri" w:eastAsiaTheme="majorEastAsia" w:hAnsi="Calibri" w:cstheme="majorBidi"/>
      <w:b/>
      <w:i/>
      <w:iCs/>
    </w:rPr>
  </w:style>
  <w:style w:type="paragraph" w:styleId="berschrift8">
    <w:name w:val="heading 8"/>
    <w:basedOn w:val="Standard"/>
    <w:next w:val="Standard"/>
    <w:link w:val="berschrift8Zchn"/>
    <w:uiPriority w:val="9"/>
    <w:unhideWhenUsed/>
    <w:qFormat/>
    <w:rsid w:val="00A939D8"/>
    <w:pPr>
      <w:keepLines/>
      <w:spacing w:before="80" w:after="0"/>
      <w:outlineLvl w:val="7"/>
    </w:pPr>
    <w:rPr>
      <w:rFonts w:ascii="Calibri" w:eastAsiaTheme="majorEastAsia" w:hAnsi="Calibri" w:cstheme="majorBidi"/>
      <w:b/>
    </w:rPr>
  </w:style>
  <w:style w:type="paragraph" w:styleId="berschrift9">
    <w:name w:val="heading 9"/>
    <w:basedOn w:val="Standard"/>
    <w:next w:val="Standard"/>
    <w:link w:val="berschrift9Zchn"/>
    <w:uiPriority w:val="9"/>
    <w:unhideWhenUsed/>
    <w:qFormat/>
    <w:rsid w:val="00577529"/>
    <w:pPr>
      <w:keepLines/>
      <w:spacing w:before="80" w:after="0"/>
      <w:outlineLvl w:val="8"/>
    </w:pPr>
    <w:rPr>
      <w:rFonts w:ascii="Calibri" w:eastAsiaTheme="majorEastAsia" w:hAnsi="Calibri" w:cstheme="majorBidi"/>
      <w:b/>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E4DFE"/>
    <w:rPr>
      <w:rFonts w:asciiTheme="majorHAnsi" w:eastAsiaTheme="majorEastAsia" w:hAnsiTheme="majorHAnsi" w:cstheme="majorBidi"/>
      <w:b/>
      <w:sz w:val="24"/>
      <w:szCs w:val="36"/>
    </w:rPr>
  </w:style>
  <w:style w:type="character" w:customStyle="1" w:styleId="berschrift2Zchn">
    <w:name w:val="Überschrift 2 Zchn"/>
    <w:basedOn w:val="Absatz-Standardschriftart"/>
    <w:link w:val="berschrift2"/>
    <w:uiPriority w:val="9"/>
    <w:rsid w:val="00577529"/>
    <w:rPr>
      <w:rFonts w:asciiTheme="majorHAnsi" w:eastAsiaTheme="majorEastAsia" w:hAnsiTheme="majorHAnsi" w:cstheme="majorBidi"/>
      <w:b/>
      <w:sz w:val="24"/>
      <w:szCs w:val="28"/>
    </w:rPr>
  </w:style>
  <w:style w:type="character" w:customStyle="1" w:styleId="berschrift3Zchn">
    <w:name w:val="Überschrift 3 Zchn"/>
    <w:basedOn w:val="Absatz-Standardschriftart"/>
    <w:link w:val="berschrift3"/>
    <w:uiPriority w:val="9"/>
    <w:rsid w:val="00577529"/>
    <w:rPr>
      <w:rFonts w:ascii="Calibri" w:eastAsiaTheme="majorEastAsia" w:hAnsi="Calibri" w:cstheme="majorBidi"/>
      <w:b/>
      <w:sz w:val="22"/>
      <w:szCs w:val="26"/>
    </w:rPr>
  </w:style>
  <w:style w:type="character" w:customStyle="1" w:styleId="berschrift4Zchn">
    <w:name w:val="Überschrift 4 Zchn"/>
    <w:basedOn w:val="Absatz-Standardschriftart"/>
    <w:link w:val="berschrift4"/>
    <w:uiPriority w:val="9"/>
    <w:rsid w:val="00577529"/>
    <w:rPr>
      <w:rFonts w:ascii="Calibri" w:eastAsiaTheme="majorEastAsia" w:hAnsi="Calibri" w:cstheme="majorBidi"/>
      <w:b/>
      <w:sz w:val="20"/>
      <w:szCs w:val="24"/>
    </w:rPr>
  </w:style>
  <w:style w:type="character" w:customStyle="1" w:styleId="berschrift5Zchn">
    <w:name w:val="Überschrift 5 Zchn"/>
    <w:basedOn w:val="Absatz-Standardschriftart"/>
    <w:link w:val="berschrift5"/>
    <w:uiPriority w:val="9"/>
    <w:rsid w:val="00577529"/>
    <w:rPr>
      <w:rFonts w:ascii="Calibri" w:eastAsiaTheme="majorEastAsia" w:hAnsi="Calibri" w:cstheme="majorBidi"/>
      <w:b/>
      <w:i/>
      <w:iCs/>
      <w:sz w:val="20"/>
      <w:szCs w:val="22"/>
    </w:rPr>
  </w:style>
  <w:style w:type="character" w:customStyle="1" w:styleId="berschrift6Zchn">
    <w:name w:val="Überschrift 6 Zchn"/>
    <w:basedOn w:val="Absatz-Standardschriftart"/>
    <w:link w:val="berschrift6"/>
    <w:uiPriority w:val="9"/>
    <w:rsid w:val="00577529"/>
    <w:rPr>
      <w:rFonts w:ascii="Calibri" w:eastAsiaTheme="majorEastAsia" w:hAnsi="Calibri" w:cstheme="majorBidi"/>
      <w:b/>
      <w:color w:val="000000" w:themeColor="text1"/>
      <w:sz w:val="20"/>
    </w:rPr>
  </w:style>
  <w:style w:type="character" w:customStyle="1" w:styleId="berschrift7Zchn">
    <w:name w:val="Überschrift 7 Zchn"/>
    <w:basedOn w:val="Absatz-Standardschriftart"/>
    <w:link w:val="berschrift7"/>
    <w:uiPriority w:val="9"/>
    <w:rsid w:val="00577529"/>
    <w:rPr>
      <w:rFonts w:ascii="Calibri" w:eastAsiaTheme="majorEastAsia" w:hAnsi="Calibri" w:cstheme="majorBidi"/>
      <w:b/>
      <w:i/>
      <w:iCs/>
      <w:sz w:val="20"/>
    </w:rPr>
  </w:style>
  <w:style w:type="character" w:customStyle="1" w:styleId="berschrift8Zchn">
    <w:name w:val="Überschrift 8 Zchn"/>
    <w:basedOn w:val="Absatz-Standardschriftart"/>
    <w:link w:val="berschrift8"/>
    <w:uiPriority w:val="9"/>
    <w:rsid w:val="00A939D8"/>
    <w:rPr>
      <w:rFonts w:ascii="Calibri" w:eastAsiaTheme="majorEastAsia" w:hAnsi="Calibri" w:cstheme="majorBidi"/>
      <w:b/>
      <w:sz w:val="22"/>
    </w:rPr>
  </w:style>
  <w:style w:type="character" w:customStyle="1" w:styleId="berschrift9Zchn">
    <w:name w:val="Überschrift 9 Zchn"/>
    <w:basedOn w:val="Absatz-Standardschriftart"/>
    <w:link w:val="berschrift9"/>
    <w:uiPriority w:val="9"/>
    <w:rsid w:val="00577529"/>
    <w:rPr>
      <w:rFonts w:ascii="Calibri" w:eastAsiaTheme="majorEastAsia" w:hAnsi="Calibri" w:cstheme="majorBidi"/>
      <w:b/>
      <w:i/>
      <w:iCs/>
      <w:sz w:val="20"/>
    </w:rPr>
  </w:style>
  <w:style w:type="paragraph" w:styleId="Kopfzeile">
    <w:name w:val="header"/>
    <w:basedOn w:val="Standard"/>
    <w:link w:val="KopfzeileZchn"/>
    <w:uiPriority w:val="99"/>
    <w:unhideWhenUsed/>
    <w:rsid w:val="001E60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08"/>
  </w:style>
  <w:style w:type="paragraph" w:styleId="Fuzeile">
    <w:name w:val="footer"/>
    <w:basedOn w:val="Standard"/>
    <w:link w:val="FuzeileZchn"/>
    <w:uiPriority w:val="99"/>
    <w:unhideWhenUsed/>
    <w:rsid w:val="001E60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08"/>
  </w:style>
  <w:style w:type="paragraph" w:styleId="Beschriftung">
    <w:name w:val="caption"/>
    <w:basedOn w:val="Standard"/>
    <w:next w:val="Standard"/>
    <w:uiPriority w:val="35"/>
    <w:semiHidden/>
    <w:unhideWhenUsed/>
    <w:qFormat/>
    <w:rsid w:val="001E6008"/>
    <w:pPr>
      <w:spacing w:line="240" w:lineRule="auto"/>
    </w:pPr>
    <w:rPr>
      <w:b/>
      <w:bCs/>
      <w:color w:val="404040" w:themeColor="text1" w:themeTint="BF"/>
      <w:szCs w:val="20"/>
    </w:rPr>
  </w:style>
  <w:style w:type="paragraph" w:styleId="Titel">
    <w:name w:val="Title"/>
    <w:basedOn w:val="Standard"/>
    <w:next w:val="Standard"/>
    <w:link w:val="TitelZchn"/>
    <w:uiPriority w:val="10"/>
    <w:qFormat/>
    <w:rsid w:val="001E6008"/>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elZchn">
    <w:name w:val="Titel Zchn"/>
    <w:basedOn w:val="Absatz-Standardschriftart"/>
    <w:link w:val="Titel"/>
    <w:uiPriority w:val="10"/>
    <w:rsid w:val="001E6008"/>
    <w:rPr>
      <w:rFonts w:asciiTheme="majorHAnsi" w:eastAsiaTheme="majorEastAsia" w:hAnsiTheme="majorHAnsi" w:cstheme="majorBidi"/>
      <w:color w:val="2E74B5" w:themeColor="accent1" w:themeShade="BF"/>
      <w:spacing w:val="-7"/>
      <w:sz w:val="80"/>
      <w:szCs w:val="80"/>
    </w:rPr>
  </w:style>
  <w:style w:type="paragraph" w:styleId="Untertitel">
    <w:name w:val="Subtitle"/>
    <w:basedOn w:val="Standard"/>
    <w:next w:val="Standard"/>
    <w:link w:val="UntertitelZchn"/>
    <w:uiPriority w:val="11"/>
    <w:qFormat/>
    <w:rsid w:val="001E6008"/>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1E6008"/>
    <w:rPr>
      <w:rFonts w:asciiTheme="majorHAnsi" w:eastAsiaTheme="majorEastAsia" w:hAnsiTheme="majorHAnsi" w:cstheme="majorBidi"/>
      <w:color w:val="404040" w:themeColor="text1" w:themeTint="BF"/>
      <w:sz w:val="30"/>
      <w:szCs w:val="30"/>
    </w:rPr>
  </w:style>
  <w:style w:type="character" w:styleId="Fett">
    <w:name w:val="Strong"/>
    <w:basedOn w:val="Absatz-Standardschriftart"/>
    <w:uiPriority w:val="22"/>
    <w:qFormat/>
    <w:rsid w:val="001E6008"/>
    <w:rPr>
      <w:b/>
      <w:bCs/>
    </w:rPr>
  </w:style>
  <w:style w:type="character" w:styleId="Hervorhebung">
    <w:name w:val="Emphasis"/>
    <w:basedOn w:val="Absatz-Standardschriftart"/>
    <w:uiPriority w:val="20"/>
    <w:qFormat/>
    <w:rsid w:val="001E6008"/>
    <w:rPr>
      <w:i/>
      <w:iCs/>
    </w:rPr>
  </w:style>
  <w:style w:type="paragraph" w:styleId="KeinLeerraum">
    <w:name w:val="No Spacing"/>
    <w:link w:val="KeinLeerraumZchn"/>
    <w:uiPriority w:val="1"/>
    <w:qFormat/>
    <w:rsid w:val="001E6008"/>
    <w:pPr>
      <w:spacing w:after="0" w:line="240" w:lineRule="auto"/>
    </w:pPr>
  </w:style>
  <w:style w:type="paragraph" w:styleId="Zitat">
    <w:name w:val="Quote"/>
    <w:basedOn w:val="Standard"/>
    <w:next w:val="Standard"/>
    <w:link w:val="ZitatZchn"/>
    <w:uiPriority w:val="29"/>
    <w:qFormat/>
    <w:rsid w:val="001E6008"/>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1E6008"/>
    <w:rPr>
      <w:i/>
      <w:iCs/>
    </w:rPr>
  </w:style>
  <w:style w:type="paragraph" w:styleId="IntensivesZitat">
    <w:name w:val="Intense Quote"/>
    <w:basedOn w:val="Standard"/>
    <w:next w:val="Standard"/>
    <w:link w:val="IntensivesZitatZchn"/>
    <w:uiPriority w:val="30"/>
    <w:qFormat/>
    <w:rsid w:val="001E6008"/>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ivesZitatZchn">
    <w:name w:val="Intensives Zitat Zchn"/>
    <w:basedOn w:val="Absatz-Standardschriftart"/>
    <w:link w:val="IntensivesZitat"/>
    <w:uiPriority w:val="30"/>
    <w:rsid w:val="001E6008"/>
    <w:rPr>
      <w:rFonts w:asciiTheme="majorHAnsi" w:eastAsiaTheme="majorEastAsia" w:hAnsiTheme="majorHAnsi" w:cstheme="majorBidi"/>
      <w:color w:val="5B9BD5" w:themeColor="accent1"/>
      <w:sz w:val="28"/>
      <w:szCs w:val="28"/>
    </w:rPr>
  </w:style>
  <w:style w:type="character" w:styleId="SchwacheHervorhebung">
    <w:name w:val="Subtle Emphasis"/>
    <w:basedOn w:val="Absatz-Standardschriftart"/>
    <w:uiPriority w:val="19"/>
    <w:qFormat/>
    <w:rsid w:val="001E6008"/>
    <w:rPr>
      <w:i/>
      <w:iCs/>
      <w:color w:val="595959" w:themeColor="text1" w:themeTint="A6"/>
    </w:rPr>
  </w:style>
  <w:style w:type="character" w:styleId="IntensiveHervorhebung">
    <w:name w:val="Intense Emphasis"/>
    <w:basedOn w:val="Absatz-Standardschriftart"/>
    <w:uiPriority w:val="21"/>
    <w:qFormat/>
    <w:rsid w:val="001E6008"/>
    <w:rPr>
      <w:b/>
      <w:bCs/>
      <w:i/>
      <w:iCs/>
    </w:rPr>
  </w:style>
  <w:style w:type="character" w:styleId="SchwacherVerweis">
    <w:name w:val="Subtle Reference"/>
    <w:basedOn w:val="Absatz-Standardschriftart"/>
    <w:uiPriority w:val="31"/>
    <w:qFormat/>
    <w:rsid w:val="001E6008"/>
    <w:rPr>
      <w:smallCaps/>
      <w:color w:val="404040" w:themeColor="text1" w:themeTint="BF"/>
    </w:rPr>
  </w:style>
  <w:style w:type="character" w:styleId="IntensiverVerweis">
    <w:name w:val="Intense Reference"/>
    <w:basedOn w:val="Absatz-Standardschriftart"/>
    <w:uiPriority w:val="32"/>
    <w:qFormat/>
    <w:rsid w:val="001E6008"/>
    <w:rPr>
      <w:b/>
      <w:bCs/>
      <w:smallCaps/>
      <w:u w:val="single"/>
    </w:rPr>
  </w:style>
  <w:style w:type="character" w:styleId="Buchtitel">
    <w:name w:val="Book Title"/>
    <w:basedOn w:val="Absatz-Standardschriftart"/>
    <w:uiPriority w:val="33"/>
    <w:qFormat/>
    <w:rsid w:val="001E6008"/>
    <w:rPr>
      <w:b/>
      <w:bCs/>
      <w:smallCaps/>
    </w:rPr>
  </w:style>
  <w:style w:type="paragraph" w:styleId="Inhaltsverzeichnisberschrift">
    <w:name w:val="TOC Heading"/>
    <w:basedOn w:val="berschrift1"/>
    <w:next w:val="Standard"/>
    <w:uiPriority w:val="39"/>
    <w:unhideWhenUsed/>
    <w:qFormat/>
    <w:rsid w:val="001E6008"/>
    <w:pPr>
      <w:outlineLvl w:val="9"/>
    </w:pPr>
  </w:style>
  <w:style w:type="character" w:styleId="Hyperlink">
    <w:name w:val="Hyperlink"/>
    <w:basedOn w:val="Absatz-Standardschriftart"/>
    <w:uiPriority w:val="99"/>
    <w:unhideWhenUsed/>
    <w:rsid w:val="006A2F61"/>
    <w:rPr>
      <w:color w:val="4472C4" w:themeColor="accent5"/>
      <w:u w:val="none"/>
    </w:rPr>
  </w:style>
  <w:style w:type="paragraph" w:styleId="Listenabsatz">
    <w:name w:val="List Paragraph"/>
    <w:basedOn w:val="Standard"/>
    <w:link w:val="ListenabsatzZchn"/>
    <w:uiPriority w:val="34"/>
    <w:qFormat/>
    <w:rsid w:val="001E6008"/>
    <w:pPr>
      <w:ind w:left="720"/>
      <w:contextualSpacing/>
    </w:pPr>
  </w:style>
  <w:style w:type="paragraph" w:customStyle="1" w:styleId="Randnummer">
    <w:name w:val="Randnummer"/>
    <w:basedOn w:val="Standard"/>
    <w:next w:val="Standard"/>
    <w:qFormat/>
    <w:rsid w:val="00E67DA3"/>
    <w:pPr>
      <w:framePr w:hSpace="284" w:wrap="around" w:vAnchor="text" w:hAnchor="page" w:xAlign="outside" w:y="1"/>
      <w:numPr>
        <w:numId w:val="1"/>
      </w:numPr>
      <w:ind w:left="0"/>
    </w:pPr>
    <w:rPr>
      <w:b/>
    </w:rPr>
  </w:style>
  <w:style w:type="paragraph" w:customStyle="1" w:styleId="Ebene1">
    <w:name w:val="Ebene 1"/>
    <w:basedOn w:val="Standard"/>
    <w:rsid w:val="00E71536"/>
    <w:pPr>
      <w:spacing w:after="0" w:line="240" w:lineRule="auto"/>
    </w:pPr>
    <w:rPr>
      <w:rFonts w:ascii="Times New Roman" w:eastAsiaTheme="minorHAnsi" w:hAnsi="Times New Roman"/>
      <w:sz w:val="24"/>
      <w:szCs w:val="24"/>
    </w:rPr>
  </w:style>
  <w:style w:type="paragraph" w:customStyle="1" w:styleId="Ebene2">
    <w:name w:val="Ebene 2"/>
    <w:basedOn w:val="Standard"/>
    <w:rsid w:val="00E71536"/>
    <w:pPr>
      <w:spacing w:after="0" w:line="240" w:lineRule="auto"/>
    </w:pPr>
    <w:rPr>
      <w:rFonts w:ascii="Times New Roman" w:eastAsiaTheme="minorHAnsi" w:hAnsi="Times New Roman"/>
      <w:color w:val="5B9BD5" w:themeColor="accent1"/>
      <w:sz w:val="24"/>
      <w:szCs w:val="24"/>
    </w:rPr>
  </w:style>
  <w:style w:type="paragraph" w:customStyle="1" w:styleId="Ebene3">
    <w:name w:val="Ebene 3"/>
    <w:basedOn w:val="Standard"/>
    <w:rsid w:val="00E71536"/>
    <w:pPr>
      <w:spacing w:after="0" w:line="240" w:lineRule="auto"/>
    </w:pPr>
    <w:rPr>
      <w:rFonts w:ascii="Times New Roman" w:eastAsiaTheme="minorHAnsi" w:hAnsi="Times New Roman"/>
      <w:color w:val="70AD47" w:themeColor="accent6"/>
      <w:szCs w:val="24"/>
    </w:rPr>
  </w:style>
  <w:style w:type="table" w:styleId="Tabellenraster">
    <w:name w:val="Table Grid"/>
    <w:basedOn w:val="NormaleTabelle"/>
    <w:uiPriority w:val="39"/>
    <w:rsid w:val="00E71536"/>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1E2800"/>
    <w:pPr>
      <w:spacing w:after="0" w:line="240" w:lineRule="auto"/>
    </w:pPr>
    <w:rPr>
      <w:rFonts w:eastAsiaTheme="minorHAnsi"/>
      <w:sz w:val="18"/>
      <w:szCs w:val="20"/>
    </w:rPr>
  </w:style>
  <w:style w:type="character" w:customStyle="1" w:styleId="FunotentextZchn">
    <w:name w:val="Fußnotentext Zchn"/>
    <w:basedOn w:val="Absatz-Standardschriftart"/>
    <w:link w:val="Funotentext"/>
    <w:uiPriority w:val="99"/>
    <w:rsid w:val="001E2800"/>
    <w:rPr>
      <w:rFonts w:eastAsiaTheme="minorHAnsi"/>
      <w:sz w:val="18"/>
      <w:szCs w:val="20"/>
    </w:rPr>
  </w:style>
  <w:style w:type="character" w:styleId="Funotenzeichen">
    <w:name w:val="footnote reference"/>
    <w:aliases w:val="JFR-Fußnotenzeichen,*Footnote Reference,Ref,de nota al pie,4_G,Fußnotenzeichen unten"/>
    <w:basedOn w:val="Absatz-Standardschriftart"/>
    <w:uiPriority w:val="99"/>
    <w:unhideWhenUsed/>
    <w:rsid w:val="00E71536"/>
    <w:rPr>
      <w:vertAlign w:val="superscript"/>
    </w:rPr>
  </w:style>
  <w:style w:type="paragraph" w:styleId="Verzeichnis1">
    <w:name w:val="toc 1"/>
    <w:basedOn w:val="Standard"/>
    <w:next w:val="Standard"/>
    <w:autoRedefine/>
    <w:uiPriority w:val="39"/>
    <w:unhideWhenUsed/>
    <w:rsid w:val="001B5EC5"/>
    <w:pPr>
      <w:spacing w:after="100" w:line="240" w:lineRule="auto"/>
      <w:jc w:val="left"/>
    </w:pPr>
    <w:rPr>
      <w:rFonts w:eastAsiaTheme="minorHAnsi"/>
      <w:b/>
      <w:szCs w:val="24"/>
    </w:rPr>
  </w:style>
  <w:style w:type="paragraph" w:styleId="Verzeichnis2">
    <w:name w:val="toc 2"/>
    <w:basedOn w:val="Standard"/>
    <w:next w:val="Standard"/>
    <w:autoRedefine/>
    <w:uiPriority w:val="39"/>
    <w:unhideWhenUsed/>
    <w:rsid w:val="001B5EC5"/>
    <w:pPr>
      <w:spacing w:after="100" w:line="240" w:lineRule="auto"/>
      <w:ind w:left="240"/>
      <w:jc w:val="left"/>
    </w:pPr>
    <w:rPr>
      <w:rFonts w:eastAsiaTheme="minorHAnsi"/>
      <w:szCs w:val="24"/>
    </w:rPr>
  </w:style>
  <w:style w:type="paragraph" w:styleId="Verzeichnis3">
    <w:name w:val="toc 3"/>
    <w:basedOn w:val="Standard"/>
    <w:next w:val="Standard"/>
    <w:autoRedefine/>
    <w:uiPriority w:val="39"/>
    <w:unhideWhenUsed/>
    <w:rsid w:val="001B5EC5"/>
    <w:pPr>
      <w:spacing w:after="100" w:line="240" w:lineRule="auto"/>
      <w:ind w:left="480"/>
      <w:jc w:val="left"/>
    </w:pPr>
    <w:rPr>
      <w:rFonts w:eastAsiaTheme="minorHAnsi"/>
      <w:szCs w:val="24"/>
    </w:rPr>
  </w:style>
  <w:style w:type="character" w:customStyle="1" w:styleId="NichtaufgelsteErwhnung1">
    <w:name w:val="Nicht aufgelöste Erwähnung1"/>
    <w:basedOn w:val="Absatz-Standardschriftart"/>
    <w:uiPriority w:val="99"/>
    <w:rsid w:val="00E71536"/>
    <w:rPr>
      <w:color w:val="605E5C"/>
      <w:shd w:val="clear" w:color="auto" w:fill="E1DFDD"/>
    </w:rPr>
  </w:style>
  <w:style w:type="character" w:styleId="BesuchterLink">
    <w:name w:val="FollowedHyperlink"/>
    <w:basedOn w:val="Absatz-Standardschriftart"/>
    <w:uiPriority w:val="99"/>
    <w:semiHidden/>
    <w:unhideWhenUsed/>
    <w:rsid w:val="00E71536"/>
    <w:rPr>
      <w:color w:val="954F72" w:themeColor="followedHyperlink"/>
      <w:u w:val="single"/>
    </w:rPr>
  </w:style>
  <w:style w:type="character" w:customStyle="1" w:styleId="media-delimiter">
    <w:name w:val="media-delimiter"/>
    <w:basedOn w:val="Absatz-Standardschriftart"/>
    <w:rsid w:val="00E71536"/>
  </w:style>
  <w:style w:type="paragraph" w:styleId="Verzeichnis4">
    <w:name w:val="toc 4"/>
    <w:basedOn w:val="Standard"/>
    <w:next w:val="Standard"/>
    <w:autoRedefine/>
    <w:uiPriority w:val="39"/>
    <w:unhideWhenUsed/>
    <w:rsid w:val="001B5EC5"/>
    <w:pPr>
      <w:spacing w:after="100" w:line="240" w:lineRule="auto"/>
      <w:ind w:left="720"/>
      <w:jc w:val="left"/>
    </w:pPr>
    <w:rPr>
      <w:rFonts w:eastAsiaTheme="minorHAnsi"/>
      <w:szCs w:val="24"/>
    </w:rPr>
  </w:style>
  <w:style w:type="paragraph" w:styleId="Verzeichnis5">
    <w:name w:val="toc 5"/>
    <w:basedOn w:val="Standard"/>
    <w:next w:val="Standard"/>
    <w:autoRedefine/>
    <w:uiPriority w:val="39"/>
    <w:unhideWhenUsed/>
    <w:rsid w:val="001B5EC5"/>
    <w:pPr>
      <w:spacing w:after="100" w:line="240" w:lineRule="auto"/>
      <w:ind w:left="960"/>
      <w:jc w:val="left"/>
    </w:pPr>
    <w:rPr>
      <w:rFonts w:eastAsiaTheme="minorHAnsi"/>
      <w:szCs w:val="24"/>
    </w:rPr>
  </w:style>
  <w:style w:type="character" w:styleId="Kommentarzeichen">
    <w:name w:val="annotation reference"/>
    <w:basedOn w:val="Absatz-Standardschriftart"/>
    <w:uiPriority w:val="99"/>
    <w:semiHidden/>
    <w:unhideWhenUsed/>
    <w:rsid w:val="00E71536"/>
    <w:rPr>
      <w:sz w:val="16"/>
      <w:szCs w:val="16"/>
    </w:rPr>
  </w:style>
  <w:style w:type="paragraph" w:styleId="Kommentartext">
    <w:name w:val="annotation text"/>
    <w:basedOn w:val="Standard"/>
    <w:link w:val="KommentartextZchn"/>
    <w:uiPriority w:val="99"/>
    <w:unhideWhenUsed/>
    <w:rsid w:val="00E71536"/>
    <w:pPr>
      <w:spacing w:after="0" w:line="240" w:lineRule="auto"/>
      <w:jc w:val="left"/>
    </w:pPr>
    <w:rPr>
      <w:rFonts w:eastAsiaTheme="minorHAnsi"/>
      <w:szCs w:val="20"/>
    </w:rPr>
  </w:style>
  <w:style w:type="character" w:customStyle="1" w:styleId="KommentartextZchn">
    <w:name w:val="Kommentartext Zchn"/>
    <w:basedOn w:val="Absatz-Standardschriftart"/>
    <w:link w:val="Kommentartext"/>
    <w:uiPriority w:val="99"/>
    <w:rsid w:val="00E71536"/>
    <w:rPr>
      <w:rFonts w:eastAsiaTheme="minorHAnsi"/>
      <w:sz w:val="20"/>
      <w:szCs w:val="20"/>
    </w:rPr>
  </w:style>
  <w:style w:type="paragraph" w:styleId="Kommentarthema">
    <w:name w:val="annotation subject"/>
    <w:basedOn w:val="Kommentartext"/>
    <w:next w:val="Kommentartext"/>
    <w:link w:val="KommentarthemaZchn"/>
    <w:uiPriority w:val="99"/>
    <w:semiHidden/>
    <w:unhideWhenUsed/>
    <w:rsid w:val="00E71536"/>
    <w:rPr>
      <w:b/>
      <w:bCs/>
    </w:rPr>
  </w:style>
  <w:style w:type="character" w:customStyle="1" w:styleId="KommentarthemaZchn">
    <w:name w:val="Kommentarthema Zchn"/>
    <w:basedOn w:val="KommentartextZchn"/>
    <w:link w:val="Kommentarthema"/>
    <w:uiPriority w:val="99"/>
    <w:semiHidden/>
    <w:rsid w:val="00E71536"/>
    <w:rPr>
      <w:rFonts w:eastAsiaTheme="minorHAnsi"/>
      <w:b/>
      <w:bCs/>
      <w:sz w:val="20"/>
      <w:szCs w:val="20"/>
    </w:rPr>
  </w:style>
  <w:style w:type="paragraph" w:styleId="Sprechblasentext">
    <w:name w:val="Balloon Text"/>
    <w:basedOn w:val="Standard"/>
    <w:link w:val="SprechblasentextZchn"/>
    <w:uiPriority w:val="99"/>
    <w:semiHidden/>
    <w:unhideWhenUsed/>
    <w:rsid w:val="00E71536"/>
    <w:pPr>
      <w:spacing w:after="0" w:line="240" w:lineRule="auto"/>
      <w:jc w:val="left"/>
    </w:pPr>
    <w:rPr>
      <w:rFonts w:ascii="Segoe UI" w:eastAsiaTheme="minorHAnsi" w:hAnsi="Segoe UI" w:cs="Segoe UI"/>
      <w:sz w:val="18"/>
      <w:szCs w:val="18"/>
    </w:rPr>
  </w:style>
  <w:style w:type="character" w:customStyle="1" w:styleId="SprechblasentextZchn">
    <w:name w:val="Sprechblasentext Zchn"/>
    <w:basedOn w:val="Absatz-Standardschriftart"/>
    <w:link w:val="Sprechblasentext"/>
    <w:uiPriority w:val="99"/>
    <w:semiHidden/>
    <w:rsid w:val="00E71536"/>
    <w:rPr>
      <w:rFonts w:ascii="Segoe UI" w:eastAsiaTheme="minorHAnsi" w:hAnsi="Segoe UI" w:cs="Segoe UI"/>
      <w:sz w:val="18"/>
      <w:szCs w:val="18"/>
    </w:rPr>
  </w:style>
  <w:style w:type="paragraph" w:styleId="berarbeitung">
    <w:name w:val="Revision"/>
    <w:hidden/>
    <w:uiPriority w:val="99"/>
    <w:semiHidden/>
    <w:rsid w:val="00E71536"/>
    <w:pPr>
      <w:spacing w:after="0" w:line="240" w:lineRule="auto"/>
    </w:pPr>
    <w:rPr>
      <w:rFonts w:eastAsiaTheme="minorHAnsi"/>
      <w:sz w:val="24"/>
      <w:szCs w:val="24"/>
    </w:rPr>
  </w:style>
  <w:style w:type="character" w:customStyle="1" w:styleId="NichtaufgelsteErwhnung2">
    <w:name w:val="Nicht aufgelöste Erwähnung2"/>
    <w:basedOn w:val="Absatz-Standardschriftart"/>
    <w:uiPriority w:val="99"/>
    <w:semiHidden/>
    <w:unhideWhenUsed/>
    <w:rsid w:val="00E71536"/>
    <w:rPr>
      <w:color w:val="605E5C"/>
      <w:shd w:val="clear" w:color="auto" w:fill="E1DFDD"/>
    </w:rPr>
  </w:style>
  <w:style w:type="paragraph" w:customStyle="1" w:styleId="Autorin">
    <w:name w:val="Autor*in"/>
    <w:basedOn w:val="Standard"/>
    <w:link w:val="AutorinZchn"/>
    <w:qFormat/>
    <w:rsid w:val="00577529"/>
    <w:pPr>
      <w:jc w:val="center"/>
    </w:pPr>
    <w:rPr>
      <w:i/>
      <w:sz w:val="18"/>
    </w:rPr>
  </w:style>
  <w:style w:type="character" w:customStyle="1" w:styleId="AutorinZchn">
    <w:name w:val="Autor*in Zchn"/>
    <w:basedOn w:val="Absatz-Standardschriftart"/>
    <w:link w:val="Autorin"/>
    <w:rsid w:val="00577529"/>
    <w:rPr>
      <w:i/>
      <w:sz w:val="18"/>
    </w:rPr>
  </w:style>
  <w:style w:type="paragraph" w:customStyle="1" w:styleId="Hausarbeitswissen">
    <w:name w:val="Hausarbeitswissen"/>
    <w:basedOn w:val="Standard"/>
    <w:link w:val="HausarbeitswissenZchn"/>
    <w:qFormat/>
    <w:rsid w:val="001E2800"/>
    <w:rPr>
      <w:i/>
      <w:sz w:val="18"/>
    </w:rPr>
  </w:style>
  <w:style w:type="character" w:customStyle="1" w:styleId="HausarbeitswissenZchn">
    <w:name w:val="Hausarbeitswissen Zchn"/>
    <w:basedOn w:val="Absatz-Standardschriftart"/>
    <w:link w:val="Hausarbeitswissen"/>
    <w:rsid w:val="001E2800"/>
    <w:rPr>
      <w:i/>
      <w:sz w:val="18"/>
    </w:rPr>
  </w:style>
  <w:style w:type="paragraph" w:customStyle="1" w:styleId="Examenswissen">
    <w:name w:val="Examenswissen"/>
    <w:basedOn w:val="Standard"/>
    <w:link w:val="ExamenswissenZchn"/>
    <w:qFormat/>
    <w:rsid w:val="001E2800"/>
    <w:rPr>
      <w:sz w:val="18"/>
    </w:rPr>
  </w:style>
  <w:style w:type="character" w:customStyle="1" w:styleId="ExamenswissenZchn">
    <w:name w:val="Examenswissen Zchn"/>
    <w:basedOn w:val="Absatz-Standardschriftart"/>
    <w:link w:val="Examenswissen"/>
    <w:rsid w:val="001E2800"/>
    <w:rPr>
      <w:sz w:val="18"/>
    </w:rPr>
  </w:style>
  <w:style w:type="paragraph" w:customStyle="1" w:styleId="Beispiel">
    <w:name w:val="Beispiel"/>
    <w:basedOn w:val="Standard"/>
    <w:link w:val="BeispielZchn"/>
    <w:qFormat/>
    <w:rsid w:val="00D92337"/>
    <w:pPr>
      <w:ind w:left="567"/>
    </w:pPr>
    <w:rPr>
      <w:i/>
      <w:iCs/>
    </w:rPr>
  </w:style>
  <w:style w:type="character" w:customStyle="1" w:styleId="BeispielZchn">
    <w:name w:val="Beispiel Zchn"/>
    <w:basedOn w:val="Absatz-Standardschriftart"/>
    <w:link w:val="Beispiel"/>
    <w:rsid w:val="00D92337"/>
    <w:rPr>
      <w:i/>
      <w:iCs/>
      <w:sz w:val="22"/>
    </w:rPr>
  </w:style>
  <w:style w:type="character" w:styleId="Seitenzahl">
    <w:name w:val="page number"/>
    <w:basedOn w:val="Absatz-Standardschriftart"/>
    <w:uiPriority w:val="99"/>
    <w:semiHidden/>
    <w:unhideWhenUsed/>
    <w:rsid w:val="002507F8"/>
    <w:rPr>
      <w:rFonts w:asciiTheme="minorHAnsi" w:hAnsiTheme="minorHAnsi"/>
    </w:rPr>
  </w:style>
  <w:style w:type="paragraph" w:styleId="Verzeichnis6">
    <w:name w:val="toc 6"/>
    <w:basedOn w:val="Standard"/>
    <w:next w:val="Standard"/>
    <w:autoRedefine/>
    <w:uiPriority w:val="39"/>
    <w:unhideWhenUsed/>
    <w:rsid w:val="00CC62B1"/>
    <w:pPr>
      <w:spacing w:after="100"/>
      <w:ind w:left="1100"/>
    </w:pPr>
  </w:style>
  <w:style w:type="paragraph" w:styleId="Verzeichnis7">
    <w:name w:val="toc 7"/>
    <w:basedOn w:val="Standard"/>
    <w:next w:val="Standard"/>
    <w:autoRedefine/>
    <w:uiPriority w:val="39"/>
    <w:unhideWhenUsed/>
    <w:rsid w:val="00CC62B1"/>
    <w:pPr>
      <w:spacing w:after="100"/>
      <w:ind w:left="1320"/>
    </w:pPr>
  </w:style>
  <w:style w:type="paragraph" w:styleId="Verzeichnis8">
    <w:name w:val="toc 8"/>
    <w:basedOn w:val="Standard"/>
    <w:next w:val="Standard"/>
    <w:autoRedefine/>
    <w:uiPriority w:val="39"/>
    <w:unhideWhenUsed/>
    <w:rsid w:val="00CC62B1"/>
    <w:pPr>
      <w:spacing w:after="100"/>
      <w:ind w:left="1540"/>
    </w:pPr>
  </w:style>
  <w:style w:type="paragraph" w:styleId="Verzeichnis9">
    <w:name w:val="toc 9"/>
    <w:basedOn w:val="Standard"/>
    <w:next w:val="Standard"/>
    <w:autoRedefine/>
    <w:uiPriority w:val="39"/>
    <w:unhideWhenUsed/>
    <w:rsid w:val="00CC62B1"/>
    <w:pPr>
      <w:spacing w:after="100"/>
      <w:ind w:left="1760"/>
    </w:pPr>
  </w:style>
  <w:style w:type="character" w:customStyle="1" w:styleId="citation">
    <w:name w:val="citation"/>
    <w:basedOn w:val="Absatz-Standardschriftart"/>
    <w:rsid w:val="0087092B"/>
  </w:style>
  <w:style w:type="character" w:customStyle="1" w:styleId="gericht">
    <w:name w:val="gericht"/>
    <w:basedOn w:val="Absatz-Standardschriftart"/>
    <w:rsid w:val="0087092B"/>
  </w:style>
  <w:style w:type="character" w:customStyle="1" w:styleId="etyp">
    <w:name w:val="etyp"/>
    <w:basedOn w:val="Absatz-Standardschriftart"/>
    <w:rsid w:val="0087092B"/>
  </w:style>
  <w:style w:type="character" w:customStyle="1" w:styleId="edat">
    <w:name w:val="edat"/>
    <w:basedOn w:val="Absatz-Standardschriftart"/>
    <w:rsid w:val="0087092B"/>
  </w:style>
  <w:style w:type="character" w:customStyle="1" w:styleId="az">
    <w:name w:val="az"/>
    <w:basedOn w:val="Absatz-Standardschriftart"/>
    <w:rsid w:val="0087092B"/>
  </w:style>
  <w:style w:type="character" w:customStyle="1" w:styleId="datum">
    <w:name w:val="datum"/>
    <w:basedOn w:val="Absatz-Standardschriftart"/>
    <w:rsid w:val="0087092B"/>
  </w:style>
  <w:style w:type="character" w:customStyle="1" w:styleId="NichtaufgelsteErwhnung20">
    <w:name w:val="Nicht aufgelöste Erwähnung2"/>
    <w:basedOn w:val="Absatz-Standardschriftart"/>
    <w:uiPriority w:val="99"/>
    <w:semiHidden/>
    <w:unhideWhenUsed/>
    <w:rsid w:val="0087092B"/>
    <w:rPr>
      <w:color w:val="605E5C"/>
      <w:shd w:val="clear" w:color="auto" w:fill="E1DFDD"/>
    </w:rPr>
  </w:style>
  <w:style w:type="paragraph" w:styleId="StandardWeb">
    <w:name w:val="Normal (Web)"/>
    <w:basedOn w:val="Standard"/>
    <w:uiPriority w:val="99"/>
    <w:unhideWhenUsed/>
    <w:rsid w:val="0087092B"/>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customStyle="1" w:styleId="highlight">
    <w:name w:val="highlight"/>
    <w:basedOn w:val="Absatz-Standardschriftart"/>
    <w:rsid w:val="0087092B"/>
  </w:style>
  <w:style w:type="character" w:customStyle="1" w:styleId="unsichtbar">
    <w:name w:val="unsichtbar"/>
    <w:basedOn w:val="Absatz-Standardschriftart"/>
    <w:rsid w:val="0087092B"/>
  </w:style>
  <w:style w:type="paragraph" w:customStyle="1" w:styleId="Default">
    <w:name w:val="Default"/>
    <w:rsid w:val="00B51F40"/>
    <w:pPr>
      <w:autoSpaceDE w:val="0"/>
      <w:autoSpaceDN w:val="0"/>
      <w:adjustRightInd w:val="0"/>
      <w:spacing w:after="0" w:line="240" w:lineRule="auto"/>
    </w:pPr>
    <w:rPr>
      <w:rFonts w:ascii="Calibri Light" w:eastAsiaTheme="minorHAnsi" w:hAnsi="Calibri Light" w:cs="Calibri Light"/>
      <w:color w:val="000000"/>
      <w:sz w:val="24"/>
      <w:szCs w:val="24"/>
    </w:rPr>
  </w:style>
  <w:style w:type="character" w:customStyle="1" w:styleId="zit">
    <w:name w:val="zit"/>
    <w:basedOn w:val="Absatz-Standardschriftart"/>
    <w:rsid w:val="00B51F40"/>
  </w:style>
  <w:style w:type="paragraph" w:customStyle="1" w:styleId="berschrift4manuell">
    <w:name w:val="Überschrift 4 manuell"/>
    <w:basedOn w:val="berschrift4"/>
    <w:next w:val="Standard"/>
    <w:rsid w:val="00B51F40"/>
    <w:pPr>
      <w:keepLines w:val="0"/>
      <w:spacing w:before="240" w:after="160" w:line="240" w:lineRule="auto"/>
    </w:pPr>
    <w:rPr>
      <w:rFonts w:ascii="Arial" w:eastAsia="Times New Roman" w:hAnsi="Arial" w:cs="Times New Roman"/>
      <w:b w:val="0"/>
      <w:bCs/>
      <w:sz w:val="22"/>
      <w:szCs w:val="28"/>
      <w:lang w:eastAsia="de-DE"/>
    </w:rPr>
  </w:style>
  <w:style w:type="character" w:customStyle="1" w:styleId="search-barsearch-phrase">
    <w:name w:val="search-bar__search-phrase"/>
    <w:basedOn w:val="Absatz-Standardschriftart"/>
    <w:rsid w:val="00B51F40"/>
  </w:style>
  <w:style w:type="character" w:customStyle="1" w:styleId="authority">
    <w:name w:val="authority"/>
    <w:basedOn w:val="Absatz-Standardschriftart"/>
    <w:rsid w:val="00B51F40"/>
  </w:style>
  <w:style w:type="paragraph" w:customStyle="1" w:styleId="klein">
    <w:name w:val="klein"/>
    <w:basedOn w:val="Standard"/>
    <w:rsid w:val="00B51F40"/>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customStyle="1" w:styleId="vorinst">
    <w:name w:val="vorinst"/>
    <w:basedOn w:val="Absatz-Standardschriftart"/>
    <w:rsid w:val="00B51F40"/>
  </w:style>
  <w:style w:type="paragraph" w:customStyle="1" w:styleId="Text">
    <w:name w:val="Text"/>
    <w:rsid w:val="0068562B"/>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lang w:eastAsia="de-DE"/>
    </w:rPr>
  </w:style>
  <w:style w:type="character" w:customStyle="1" w:styleId="Ohne">
    <w:name w:val="Ohne"/>
    <w:rsid w:val="0068562B"/>
  </w:style>
  <w:style w:type="character" w:customStyle="1" w:styleId="Hyperlink0">
    <w:name w:val="Hyperlink.0"/>
    <w:basedOn w:val="Ohne"/>
    <w:rsid w:val="0068562B"/>
    <w:rPr>
      <w:color w:val="BD2726"/>
      <w:u w:val="single" w:color="BD2726"/>
    </w:rPr>
  </w:style>
  <w:style w:type="character" w:customStyle="1" w:styleId="fundstelle">
    <w:name w:val="fundstelle"/>
    <w:basedOn w:val="Absatz-Standardschriftart"/>
    <w:rsid w:val="0068562B"/>
  </w:style>
  <w:style w:type="character" w:customStyle="1" w:styleId="Funotenanker">
    <w:name w:val="Fußnotenanker"/>
    <w:rsid w:val="00152F7B"/>
    <w:rPr>
      <w:vertAlign w:val="superscript"/>
    </w:rPr>
  </w:style>
  <w:style w:type="character" w:customStyle="1" w:styleId="Betonungfett">
    <w:name w:val="Betonung fett"/>
    <w:basedOn w:val="Absatz-Standardschriftart"/>
    <w:rsid w:val="00152F7B"/>
    <w:rPr>
      <w:b/>
      <w:color w:val="339966"/>
    </w:rPr>
  </w:style>
  <w:style w:type="character" w:customStyle="1" w:styleId="Betonungkursiv">
    <w:name w:val="Betonung kursiv"/>
    <w:basedOn w:val="Absatz-Standardschriftart"/>
    <w:rsid w:val="00152F7B"/>
    <w:rPr>
      <w:i/>
      <w:color w:val="339966"/>
    </w:rPr>
  </w:style>
  <w:style w:type="character" w:customStyle="1" w:styleId="Hochstellen">
    <w:name w:val="Hochstellen"/>
    <w:basedOn w:val="Absatz-Standardschriftart"/>
    <w:rsid w:val="00152F7B"/>
    <w:rPr>
      <w:color w:val="99CC00"/>
      <w:vertAlign w:val="superscript"/>
    </w:rPr>
  </w:style>
  <w:style w:type="character" w:customStyle="1" w:styleId="Starkbetont">
    <w:name w:val="Stark betont"/>
    <w:rsid w:val="00152F7B"/>
    <w:rPr>
      <w:b/>
      <w:bCs/>
    </w:rPr>
  </w:style>
  <w:style w:type="paragraph" w:customStyle="1" w:styleId="AutorReferences">
    <w:name w:val="Autor/References"/>
    <w:basedOn w:val="Standard"/>
    <w:link w:val="AutorReferencesZchn"/>
    <w:autoRedefine/>
    <w:qFormat/>
    <w:rsid w:val="00B702E7"/>
    <w:pPr>
      <w:spacing w:before="240" w:after="840" w:line="360" w:lineRule="auto"/>
      <w:jc w:val="center"/>
    </w:pPr>
    <w:rPr>
      <w:rFonts w:ascii="Times New Roman" w:eastAsia="Times New Roman" w:hAnsi="Times New Roman"/>
      <w:b/>
      <w:sz w:val="24"/>
      <w:szCs w:val="24"/>
      <w:lang w:val="en-US" w:eastAsia="de-DE"/>
    </w:rPr>
  </w:style>
  <w:style w:type="character" w:customStyle="1" w:styleId="AutorReferencesZchn">
    <w:name w:val="Autor/References Zchn"/>
    <w:basedOn w:val="Absatz-Standardschriftart"/>
    <w:link w:val="AutorReferences"/>
    <w:rsid w:val="00B702E7"/>
    <w:rPr>
      <w:rFonts w:ascii="Times New Roman" w:eastAsia="Times New Roman" w:hAnsi="Times New Roman"/>
      <w:b/>
      <w:sz w:val="24"/>
      <w:szCs w:val="24"/>
      <w:lang w:val="en-US" w:eastAsia="de-DE"/>
    </w:rPr>
  </w:style>
  <w:style w:type="paragraph" w:customStyle="1" w:styleId="References">
    <w:name w:val="References"/>
    <w:basedOn w:val="Standard"/>
    <w:link w:val="ReferencesZchn"/>
    <w:autoRedefine/>
    <w:rsid w:val="00B702E7"/>
    <w:pPr>
      <w:spacing w:before="120" w:after="0" w:line="240" w:lineRule="auto"/>
      <w:ind w:left="709" w:hanging="709"/>
    </w:pPr>
    <w:rPr>
      <w:rFonts w:ascii="Times New Roman" w:eastAsia="Times New Roman" w:hAnsi="Times New Roman" w:cs="Times New Roman"/>
      <w:sz w:val="24"/>
      <w:szCs w:val="20"/>
      <w:lang w:val="en-US" w:eastAsia="de-DE"/>
    </w:rPr>
  </w:style>
  <w:style w:type="character" w:customStyle="1" w:styleId="ReferencesZchn">
    <w:name w:val="References Zchn"/>
    <w:basedOn w:val="Absatz-Standardschriftart"/>
    <w:link w:val="References"/>
    <w:rsid w:val="00B702E7"/>
    <w:rPr>
      <w:rFonts w:ascii="Times New Roman" w:eastAsia="Times New Roman" w:hAnsi="Times New Roman" w:cs="Times New Roman"/>
      <w:sz w:val="24"/>
      <w:szCs w:val="20"/>
      <w:lang w:val="en-US" w:eastAsia="de-DE"/>
    </w:rPr>
  </w:style>
  <w:style w:type="paragraph" w:customStyle="1" w:styleId="Abstract">
    <w:name w:val="Abstract"/>
    <w:basedOn w:val="Standard"/>
    <w:link w:val="AbstractZchn"/>
    <w:qFormat/>
    <w:rsid w:val="00B702E7"/>
    <w:pPr>
      <w:spacing w:before="240" w:line="360" w:lineRule="auto"/>
      <w:ind w:left="851" w:right="851"/>
    </w:pPr>
    <w:rPr>
      <w:rFonts w:ascii="Times New Roman" w:eastAsia="Times New Roman" w:hAnsi="Times New Roman" w:cs="Times New Roman"/>
      <w:i/>
      <w:sz w:val="24"/>
      <w:szCs w:val="20"/>
      <w:lang w:val="en-US" w:eastAsia="de-DE"/>
    </w:rPr>
  </w:style>
  <w:style w:type="character" w:customStyle="1" w:styleId="AbstractZchn">
    <w:name w:val="Abstract Zchn"/>
    <w:basedOn w:val="Absatz-Standardschriftart"/>
    <w:link w:val="Abstract"/>
    <w:rsid w:val="00B702E7"/>
    <w:rPr>
      <w:rFonts w:ascii="Times New Roman" w:eastAsia="Times New Roman" w:hAnsi="Times New Roman" w:cs="Times New Roman"/>
      <w:i/>
      <w:sz w:val="24"/>
      <w:szCs w:val="20"/>
      <w:lang w:val="en-US" w:eastAsia="de-DE"/>
    </w:rPr>
  </w:style>
  <w:style w:type="character" w:customStyle="1" w:styleId="KeinLeerraumZchn">
    <w:name w:val="Kein Leerraum Zchn"/>
    <w:basedOn w:val="Absatz-Standardschriftart"/>
    <w:link w:val="KeinLeerraum"/>
    <w:uiPriority w:val="1"/>
    <w:rsid w:val="00B702E7"/>
  </w:style>
  <w:style w:type="character" w:customStyle="1" w:styleId="ListenabsatzZchn">
    <w:name w:val="Listenabsatz Zchn"/>
    <w:basedOn w:val="Absatz-Standardschriftart"/>
    <w:link w:val="Listenabsatz"/>
    <w:uiPriority w:val="34"/>
    <w:rsid w:val="00B702E7"/>
    <w:rPr>
      <w:sz w:val="22"/>
    </w:rPr>
  </w:style>
  <w:style w:type="paragraph" w:customStyle="1" w:styleId="Vertiefung">
    <w:name w:val="Vertiefung"/>
    <w:basedOn w:val="Standard"/>
    <w:rsid w:val="00B702E7"/>
    <w:pPr>
      <w:spacing w:before="240" w:line="360" w:lineRule="auto"/>
    </w:pPr>
    <w:rPr>
      <w:rFonts w:ascii="Times New Roman" w:eastAsiaTheme="minorHAnsi" w:hAnsi="Times New Roman"/>
      <w:szCs w:val="20"/>
      <w:lang w:eastAsia="de-DE"/>
    </w:rPr>
  </w:style>
  <w:style w:type="paragraph" w:customStyle="1" w:styleId="Schema">
    <w:name w:val="Schema"/>
    <w:basedOn w:val="Vertiefung"/>
    <w:rsid w:val="00B702E7"/>
    <w:pPr>
      <w:spacing w:line="240" w:lineRule="auto"/>
      <w:contextualSpacing/>
      <w:jc w:val="left"/>
    </w:pPr>
  </w:style>
  <w:style w:type="paragraph" w:styleId="Aufzhlungszeichen">
    <w:name w:val="List Bullet"/>
    <w:basedOn w:val="Standard"/>
    <w:uiPriority w:val="99"/>
    <w:unhideWhenUsed/>
    <w:rsid w:val="000673FE"/>
    <w:pPr>
      <w:numPr>
        <w:numId w:val="6"/>
      </w:numPr>
      <w:spacing w:after="0" w:line="240" w:lineRule="auto"/>
      <w:contextualSpacing/>
      <w:jc w:val="left"/>
    </w:pPr>
    <w:rPr>
      <w:rFonts w:ascii="Times New Roman" w:eastAsia="Times New Roman" w:hAnsi="Times New Roman" w:cs="Times New Roman"/>
      <w:sz w:val="24"/>
      <w:szCs w:val="24"/>
      <w:lang w:eastAsia="de-DE"/>
    </w:rPr>
  </w:style>
  <w:style w:type="character" w:customStyle="1" w:styleId="apple-converted-space">
    <w:name w:val="apple-converted-space"/>
    <w:basedOn w:val="Absatz-Standardschriftart"/>
    <w:rsid w:val="000673FE"/>
  </w:style>
  <w:style w:type="paragraph" w:styleId="Endnotentext">
    <w:name w:val="endnote text"/>
    <w:basedOn w:val="Standard"/>
    <w:link w:val="EndnotentextZchn"/>
    <w:uiPriority w:val="99"/>
    <w:semiHidden/>
    <w:unhideWhenUsed/>
    <w:rsid w:val="000C0CD5"/>
    <w:pPr>
      <w:spacing w:after="0" w:line="240" w:lineRule="auto"/>
      <w:jc w:val="left"/>
    </w:pPr>
    <w:rPr>
      <w:rFonts w:eastAsiaTheme="minorHAnsi"/>
      <w:szCs w:val="20"/>
    </w:rPr>
  </w:style>
  <w:style w:type="character" w:customStyle="1" w:styleId="EndnotentextZchn">
    <w:name w:val="Endnotentext Zchn"/>
    <w:basedOn w:val="Absatz-Standardschriftart"/>
    <w:link w:val="Endnotentext"/>
    <w:uiPriority w:val="99"/>
    <w:semiHidden/>
    <w:rsid w:val="000C0CD5"/>
    <w:rPr>
      <w:rFonts w:eastAsiaTheme="minorHAnsi"/>
      <w:sz w:val="20"/>
      <w:szCs w:val="20"/>
    </w:rPr>
  </w:style>
  <w:style w:type="character" w:styleId="Endnotenzeichen">
    <w:name w:val="endnote reference"/>
    <w:basedOn w:val="Absatz-Standardschriftart"/>
    <w:uiPriority w:val="99"/>
    <w:semiHidden/>
    <w:unhideWhenUsed/>
    <w:rsid w:val="000C0CD5"/>
    <w:rPr>
      <w:vertAlign w:val="superscript"/>
    </w:rPr>
  </w:style>
  <w:style w:type="paragraph" w:styleId="HTMLVorformatiert">
    <w:name w:val="HTML Preformatted"/>
    <w:basedOn w:val="Standard"/>
    <w:link w:val="HTMLVorformatiertZchn"/>
    <w:uiPriority w:val="99"/>
    <w:semiHidden/>
    <w:unhideWhenUsed/>
    <w:rsid w:val="00353774"/>
    <w:pPr>
      <w:spacing w:after="0" w:line="240" w:lineRule="auto"/>
    </w:pPr>
    <w:rPr>
      <w:rFonts w:ascii="Consolas" w:hAnsi="Consolas"/>
      <w:szCs w:val="20"/>
    </w:rPr>
  </w:style>
  <w:style w:type="character" w:customStyle="1" w:styleId="HTMLVorformatiertZchn">
    <w:name w:val="HTML Vorformatiert Zchn"/>
    <w:basedOn w:val="Absatz-Standardschriftart"/>
    <w:link w:val="HTMLVorformatiert"/>
    <w:uiPriority w:val="99"/>
    <w:semiHidden/>
    <w:rsid w:val="00353774"/>
    <w:rPr>
      <w:rFonts w:ascii="Consolas" w:hAnsi="Consolas"/>
      <w:sz w:val="20"/>
      <w:szCs w:val="20"/>
    </w:rPr>
  </w:style>
  <w:style w:type="character" w:styleId="NichtaufgelsteErwhnung">
    <w:name w:val="Unresolved Mention"/>
    <w:basedOn w:val="Absatz-Standardschriftart"/>
    <w:uiPriority w:val="99"/>
    <w:semiHidden/>
    <w:unhideWhenUsed/>
    <w:rsid w:val="006A2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2664">
      <w:bodyDiv w:val="1"/>
      <w:marLeft w:val="0"/>
      <w:marRight w:val="0"/>
      <w:marTop w:val="0"/>
      <w:marBottom w:val="0"/>
      <w:divBdr>
        <w:top w:val="none" w:sz="0" w:space="0" w:color="auto"/>
        <w:left w:val="none" w:sz="0" w:space="0" w:color="auto"/>
        <w:bottom w:val="none" w:sz="0" w:space="0" w:color="auto"/>
        <w:right w:val="none" w:sz="0" w:space="0" w:color="auto"/>
      </w:divBdr>
    </w:div>
    <w:div w:id="9796696">
      <w:bodyDiv w:val="1"/>
      <w:marLeft w:val="0"/>
      <w:marRight w:val="0"/>
      <w:marTop w:val="0"/>
      <w:marBottom w:val="0"/>
      <w:divBdr>
        <w:top w:val="none" w:sz="0" w:space="0" w:color="auto"/>
        <w:left w:val="none" w:sz="0" w:space="0" w:color="auto"/>
        <w:bottom w:val="none" w:sz="0" w:space="0" w:color="auto"/>
        <w:right w:val="none" w:sz="0" w:space="0" w:color="auto"/>
      </w:divBdr>
    </w:div>
    <w:div w:id="165823632">
      <w:bodyDiv w:val="1"/>
      <w:marLeft w:val="0"/>
      <w:marRight w:val="0"/>
      <w:marTop w:val="0"/>
      <w:marBottom w:val="0"/>
      <w:divBdr>
        <w:top w:val="none" w:sz="0" w:space="0" w:color="auto"/>
        <w:left w:val="none" w:sz="0" w:space="0" w:color="auto"/>
        <w:bottom w:val="none" w:sz="0" w:space="0" w:color="auto"/>
        <w:right w:val="none" w:sz="0" w:space="0" w:color="auto"/>
      </w:divBdr>
    </w:div>
    <w:div w:id="177280160">
      <w:bodyDiv w:val="1"/>
      <w:marLeft w:val="0"/>
      <w:marRight w:val="0"/>
      <w:marTop w:val="0"/>
      <w:marBottom w:val="0"/>
      <w:divBdr>
        <w:top w:val="none" w:sz="0" w:space="0" w:color="auto"/>
        <w:left w:val="none" w:sz="0" w:space="0" w:color="auto"/>
        <w:bottom w:val="none" w:sz="0" w:space="0" w:color="auto"/>
        <w:right w:val="none" w:sz="0" w:space="0" w:color="auto"/>
      </w:divBdr>
    </w:div>
    <w:div w:id="192964941">
      <w:bodyDiv w:val="1"/>
      <w:marLeft w:val="0"/>
      <w:marRight w:val="0"/>
      <w:marTop w:val="0"/>
      <w:marBottom w:val="0"/>
      <w:divBdr>
        <w:top w:val="none" w:sz="0" w:space="0" w:color="auto"/>
        <w:left w:val="none" w:sz="0" w:space="0" w:color="auto"/>
        <w:bottom w:val="none" w:sz="0" w:space="0" w:color="auto"/>
        <w:right w:val="none" w:sz="0" w:space="0" w:color="auto"/>
      </w:divBdr>
    </w:div>
    <w:div w:id="280114276">
      <w:bodyDiv w:val="1"/>
      <w:marLeft w:val="0"/>
      <w:marRight w:val="0"/>
      <w:marTop w:val="0"/>
      <w:marBottom w:val="0"/>
      <w:divBdr>
        <w:top w:val="none" w:sz="0" w:space="0" w:color="auto"/>
        <w:left w:val="none" w:sz="0" w:space="0" w:color="auto"/>
        <w:bottom w:val="none" w:sz="0" w:space="0" w:color="auto"/>
        <w:right w:val="none" w:sz="0" w:space="0" w:color="auto"/>
      </w:divBdr>
    </w:div>
    <w:div w:id="430010841">
      <w:bodyDiv w:val="1"/>
      <w:marLeft w:val="0"/>
      <w:marRight w:val="0"/>
      <w:marTop w:val="0"/>
      <w:marBottom w:val="0"/>
      <w:divBdr>
        <w:top w:val="none" w:sz="0" w:space="0" w:color="auto"/>
        <w:left w:val="none" w:sz="0" w:space="0" w:color="auto"/>
        <w:bottom w:val="none" w:sz="0" w:space="0" w:color="auto"/>
        <w:right w:val="none" w:sz="0" w:space="0" w:color="auto"/>
      </w:divBdr>
    </w:div>
    <w:div w:id="488593168">
      <w:bodyDiv w:val="1"/>
      <w:marLeft w:val="0"/>
      <w:marRight w:val="0"/>
      <w:marTop w:val="0"/>
      <w:marBottom w:val="0"/>
      <w:divBdr>
        <w:top w:val="none" w:sz="0" w:space="0" w:color="auto"/>
        <w:left w:val="none" w:sz="0" w:space="0" w:color="auto"/>
        <w:bottom w:val="none" w:sz="0" w:space="0" w:color="auto"/>
        <w:right w:val="none" w:sz="0" w:space="0" w:color="auto"/>
      </w:divBdr>
    </w:div>
    <w:div w:id="694647865">
      <w:bodyDiv w:val="1"/>
      <w:marLeft w:val="0"/>
      <w:marRight w:val="0"/>
      <w:marTop w:val="0"/>
      <w:marBottom w:val="0"/>
      <w:divBdr>
        <w:top w:val="none" w:sz="0" w:space="0" w:color="auto"/>
        <w:left w:val="none" w:sz="0" w:space="0" w:color="auto"/>
        <w:bottom w:val="none" w:sz="0" w:space="0" w:color="auto"/>
        <w:right w:val="none" w:sz="0" w:space="0" w:color="auto"/>
      </w:divBdr>
    </w:div>
    <w:div w:id="720596625">
      <w:bodyDiv w:val="1"/>
      <w:marLeft w:val="0"/>
      <w:marRight w:val="0"/>
      <w:marTop w:val="0"/>
      <w:marBottom w:val="0"/>
      <w:divBdr>
        <w:top w:val="none" w:sz="0" w:space="0" w:color="auto"/>
        <w:left w:val="none" w:sz="0" w:space="0" w:color="auto"/>
        <w:bottom w:val="none" w:sz="0" w:space="0" w:color="auto"/>
        <w:right w:val="none" w:sz="0" w:space="0" w:color="auto"/>
      </w:divBdr>
    </w:div>
    <w:div w:id="883953190">
      <w:bodyDiv w:val="1"/>
      <w:marLeft w:val="0"/>
      <w:marRight w:val="0"/>
      <w:marTop w:val="0"/>
      <w:marBottom w:val="0"/>
      <w:divBdr>
        <w:top w:val="none" w:sz="0" w:space="0" w:color="auto"/>
        <w:left w:val="none" w:sz="0" w:space="0" w:color="auto"/>
        <w:bottom w:val="none" w:sz="0" w:space="0" w:color="auto"/>
        <w:right w:val="none" w:sz="0" w:space="0" w:color="auto"/>
      </w:divBdr>
    </w:div>
    <w:div w:id="992098306">
      <w:bodyDiv w:val="1"/>
      <w:marLeft w:val="0"/>
      <w:marRight w:val="0"/>
      <w:marTop w:val="0"/>
      <w:marBottom w:val="0"/>
      <w:divBdr>
        <w:top w:val="none" w:sz="0" w:space="0" w:color="auto"/>
        <w:left w:val="none" w:sz="0" w:space="0" w:color="auto"/>
        <w:bottom w:val="none" w:sz="0" w:space="0" w:color="auto"/>
        <w:right w:val="none" w:sz="0" w:space="0" w:color="auto"/>
      </w:divBdr>
    </w:div>
    <w:div w:id="1077559873">
      <w:bodyDiv w:val="1"/>
      <w:marLeft w:val="0"/>
      <w:marRight w:val="0"/>
      <w:marTop w:val="0"/>
      <w:marBottom w:val="0"/>
      <w:divBdr>
        <w:top w:val="none" w:sz="0" w:space="0" w:color="auto"/>
        <w:left w:val="none" w:sz="0" w:space="0" w:color="auto"/>
        <w:bottom w:val="none" w:sz="0" w:space="0" w:color="auto"/>
        <w:right w:val="none" w:sz="0" w:space="0" w:color="auto"/>
      </w:divBdr>
    </w:div>
    <w:div w:id="1123420801">
      <w:bodyDiv w:val="1"/>
      <w:marLeft w:val="0"/>
      <w:marRight w:val="0"/>
      <w:marTop w:val="0"/>
      <w:marBottom w:val="0"/>
      <w:divBdr>
        <w:top w:val="none" w:sz="0" w:space="0" w:color="auto"/>
        <w:left w:val="none" w:sz="0" w:space="0" w:color="auto"/>
        <w:bottom w:val="none" w:sz="0" w:space="0" w:color="auto"/>
        <w:right w:val="none" w:sz="0" w:space="0" w:color="auto"/>
      </w:divBdr>
    </w:div>
    <w:div w:id="1167868947">
      <w:bodyDiv w:val="1"/>
      <w:marLeft w:val="0"/>
      <w:marRight w:val="0"/>
      <w:marTop w:val="0"/>
      <w:marBottom w:val="0"/>
      <w:divBdr>
        <w:top w:val="none" w:sz="0" w:space="0" w:color="auto"/>
        <w:left w:val="none" w:sz="0" w:space="0" w:color="auto"/>
        <w:bottom w:val="none" w:sz="0" w:space="0" w:color="auto"/>
        <w:right w:val="none" w:sz="0" w:space="0" w:color="auto"/>
      </w:divBdr>
    </w:div>
    <w:div w:id="1239755948">
      <w:bodyDiv w:val="1"/>
      <w:marLeft w:val="0"/>
      <w:marRight w:val="0"/>
      <w:marTop w:val="0"/>
      <w:marBottom w:val="0"/>
      <w:divBdr>
        <w:top w:val="none" w:sz="0" w:space="0" w:color="auto"/>
        <w:left w:val="none" w:sz="0" w:space="0" w:color="auto"/>
        <w:bottom w:val="none" w:sz="0" w:space="0" w:color="auto"/>
        <w:right w:val="none" w:sz="0" w:space="0" w:color="auto"/>
      </w:divBdr>
    </w:div>
    <w:div w:id="1309048479">
      <w:bodyDiv w:val="1"/>
      <w:marLeft w:val="0"/>
      <w:marRight w:val="0"/>
      <w:marTop w:val="0"/>
      <w:marBottom w:val="0"/>
      <w:divBdr>
        <w:top w:val="none" w:sz="0" w:space="0" w:color="auto"/>
        <w:left w:val="none" w:sz="0" w:space="0" w:color="auto"/>
        <w:bottom w:val="none" w:sz="0" w:space="0" w:color="auto"/>
        <w:right w:val="none" w:sz="0" w:space="0" w:color="auto"/>
      </w:divBdr>
    </w:div>
    <w:div w:id="1334138260">
      <w:bodyDiv w:val="1"/>
      <w:marLeft w:val="0"/>
      <w:marRight w:val="0"/>
      <w:marTop w:val="0"/>
      <w:marBottom w:val="0"/>
      <w:divBdr>
        <w:top w:val="none" w:sz="0" w:space="0" w:color="auto"/>
        <w:left w:val="none" w:sz="0" w:space="0" w:color="auto"/>
        <w:bottom w:val="none" w:sz="0" w:space="0" w:color="auto"/>
        <w:right w:val="none" w:sz="0" w:space="0" w:color="auto"/>
      </w:divBdr>
    </w:div>
    <w:div w:id="1354577148">
      <w:bodyDiv w:val="1"/>
      <w:marLeft w:val="0"/>
      <w:marRight w:val="0"/>
      <w:marTop w:val="0"/>
      <w:marBottom w:val="0"/>
      <w:divBdr>
        <w:top w:val="none" w:sz="0" w:space="0" w:color="auto"/>
        <w:left w:val="none" w:sz="0" w:space="0" w:color="auto"/>
        <w:bottom w:val="none" w:sz="0" w:space="0" w:color="auto"/>
        <w:right w:val="none" w:sz="0" w:space="0" w:color="auto"/>
      </w:divBdr>
    </w:div>
    <w:div w:id="1407417919">
      <w:bodyDiv w:val="1"/>
      <w:marLeft w:val="0"/>
      <w:marRight w:val="0"/>
      <w:marTop w:val="0"/>
      <w:marBottom w:val="0"/>
      <w:divBdr>
        <w:top w:val="none" w:sz="0" w:space="0" w:color="auto"/>
        <w:left w:val="none" w:sz="0" w:space="0" w:color="auto"/>
        <w:bottom w:val="none" w:sz="0" w:space="0" w:color="auto"/>
        <w:right w:val="none" w:sz="0" w:space="0" w:color="auto"/>
      </w:divBdr>
    </w:div>
    <w:div w:id="1551263219">
      <w:bodyDiv w:val="1"/>
      <w:marLeft w:val="0"/>
      <w:marRight w:val="0"/>
      <w:marTop w:val="0"/>
      <w:marBottom w:val="0"/>
      <w:divBdr>
        <w:top w:val="none" w:sz="0" w:space="0" w:color="auto"/>
        <w:left w:val="none" w:sz="0" w:space="0" w:color="auto"/>
        <w:bottom w:val="none" w:sz="0" w:space="0" w:color="auto"/>
        <w:right w:val="none" w:sz="0" w:space="0" w:color="auto"/>
      </w:divBdr>
    </w:div>
    <w:div w:id="1786733846">
      <w:bodyDiv w:val="1"/>
      <w:marLeft w:val="0"/>
      <w:marRight w:val="0"/>
      <w:marTop w:val="0"/>
      <w:marBottom w:val="0"/>
      <w:divBdr>
        <w:top w:val="none" w:sz="0" w:space="0" w:color="auto"/>
        <w:left w:val="none" w:sz="0" w:space="0" w:color="auto"/>
        <w:bottom w:val="none" w:sz="0" w:space="0" w:color="auto"/>
        <w:right w:val="none" w:sz="0" w:space="0" w:color="auto"/>
      </w:divBdr>
    </w:div>
    <w:div w:id="183294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e.wikibooks.org/wiki/Verwaltungsrecht_in_der_Klausur/_Das_Lehrbuch" TargetMode="External"/><Relationship Id="rId26" Type="http://schemas.openxmlformats.org/officeDocument/2006/relationships/hyperlink" Target="https://de.wikibooks.org/wiki/Verwaltungsrecht_in_der_Klausur/_Das_Lehrbuch" TargetMode="External"/><Relationship Id="rId39" Type="http://schemas.openxmlformats.org/officeDocument/2006/relationships/hyperlink" Target="https://baecker.jura.uni-mainz.de/lehrstuhlteam/skobel/" TargetMode="External"/><Relationship Id="rId21" Type="http://schemas.openxmlformats.org/officeDocument/2006/relationships/hyperlink" Target="https://creativecommons.org/licenses/by-sa/4.0/deed.de" TargetMode="External"/><Relationship Id="rId34" Type="http://schemas.openxmlformats.org/officeDocument/2006/relationships/hyperlink" Target="https://www.jura.uni-hamburg.de/die-fakultaet/personenverzeichnis/kernchen-tanja.html" TargetMode="External"/><Relationship Id="rId42" Type="http://schemas.openxmlformats.org/officeDocument/2006/relationships/header" Target="header5.xml"/><Relationship Id="rId47" Type="http://schemas.openxmlformats.org/officeDocument/2006/relationships/hyperlink" Target="https://www.gesetze-bayern.de/Content/Document/Y-300-Z-BECKRS-B-2018-N-2372?hl=true" TargetMode="External"/><Relationship Id="rId50" Type="http://schemas.openxmlformats.org/officeDocument/2006/relationships/hyperlink" Target="https://openjur.de/u/307017.html" TargetMode="External"/><Relationship Id="rId55" Type="http://schemas.openxmlformats.org/officeDocument/2006/relationships/hyperlink" Target="https://www.bverwg.de/de/130917U10C6.16.0"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e.wikibooks.org/wiki/Verwaltungsrecht_in_der_Klausur/_Die_F&#228;lle" TargetMode="External"/><Relationship Id="rId25" Type="http://schemas.openxmlformats.org/officeDocument/2006/relationships/hyperlink" Target="https://de.wikiversity.org/wiki/Wikiversity:Fellow-Programm_Freies_Wissen" TargetMode="External"/><Relationship Id="rId33" Type="http://schemas.openxmlformats.org/officeDocument/2006/relationships/hyperlink" Target="http://www.jura.fu-berlin.de/fachbereich/einrichtungen/oeffentliches-recht/lehrende/siegelt/Lehrstuhlteam/himstedt_jana/index.html" TargetMode="External"/><Relationship Id="rId38" Type="http://schemas.openxmlformats.org/officeDocument/2006/relationships/hyperlink" Target="https://www.uni-marburg.de/staff-info?dn=yga3igmba3" TargetMode="External"/><Relationship Id="rId46" Type="http://schemas.openxmlformats.org/officeDocument/2006/relationships/hyperlink" Target="https://openjur.de/u/284450.html"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de.wikibooks.org/wiki/Verwaltungsrecht_in_der_Klausur" TargetMode="External"/><Relationship Id="rId29" Type="http://schemas.openxmlformats.org/officeDocument/2006/relationships/hyperlink" Target="https://www.medienrecht.jura.uni-koeln.de/12572.html" TargetMode="External"/><Relationship Id="rId41" Type="http://schemas.openxmlformats.org/officeDocument/2006/relationships/header" Target="header4.xml"/><Relationship Id="rId54" Type="http://schemas.openxmlformats.org/officeDocument/2006/relationships/hyperlink" Target="https://www.bundesverfassungsgericht.de/e/fs20180321_1bvf00011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e.wikiversity.org/wiki/Wikiversity:Fellow-Programm_Freies_Wissen/Einreichungen/Erstellung_eines_OER-Lehrbuchs_zum_Verwaltungs-_und_Verwaltungsprozessrecht" TargetMode="External"/><Relationship Id="rId32" Type="http://schemas.openxmlformats.org/officeDocument/2006/relationships/hyperlink" Target="https://medienrecht.jura.uni-leipzig.de/personen/lehrstuhlmitarbeiterinnen/" TargetMode="External"/><Relationship Id="rId37" Type="http://schemas.openxmlformats.org/officeDocument/2006/relationships/hyperlink" Target="https://steuerrecht.jura.uni-leipzig.de/personen/lehrstuhlmitarbeiter/hendrik-prinz/" TargetMode="External"/><Relationship Id="rId40" Type="http://schemas.openxmlformats.org/officeDocument/2006/relationships/hyperlink" Target="https://gurlit.jura.uni-mainz.de/ass-iur-erik-sollmann/" TargetMode="External"/><Relationship Id="rId45" Type="http://schemas.openxmlformats.org/officeDocument/2006/relationships/hyperlink" Target="https://de.wikibooks.org/wiki/Verwaltungsrecht_in_der_Klausur/_Das_Lehrbuch" TargetMode="External"/><Relationship Id="rId53" Type="http://schemas.openxmlformats.org/officeDocument/2006/relationships/hyperlink" Target="https://research.wolterskluwer-online.de/document/1e0eab60-0e4d-443b-b314-5459c82f0f49"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creativecommons.org/licenses/by-sa/4.0/deed.de" TargetMode="External"/><Relationship Id="rId28" Type="http://schemas.openxmlformats.org/officeDocument/2006/relationships/hyperlink" Target="http://www.alexanderbrade.de/uumlber-mich.html" TargetMode="External"/><Relationship Id="rId36" Type="http://schemas.openxmlformats.org/officeDocument/2006/relationships/hyperlink" Target="https://cornils.jura.uni-mainz.de/lehrstuhlteam/stefan-michel/" TargetMode="External"/><Relationship Id="rId49" Type="http://schemas.openxmlformats.org/officeDocument/2006/relationships/hyperlink" Target="https://www.rv.hessenrecht.hessen.de/bshe/document/LARE190030612" TargetMode="External"/><Relationship Id="rId57" Type="http://schemas.openxmlformats.org/officeDocument/2006/relationships/hyperlink" Target="http://juris.bundesgerichtshof.de/cgi-bin/rechtsprechung/document.py?Gericht=bgh&amp;Art=en&amp;nr=80353&amp;pos=0&amp;anz=1" TargetMode="External"/><Relationship Id="rId10" Type="http://schemas.openxmlformats.org/officeDocument/2006/relationships/hyperlink" Target="https://doi.org/10.24921/2020.94115939" TargetMode="External"/><Relationship Id="rId19" Type="http://schemas.openxmlformats.org/officeDocument/2006/relationships/hyperlink" Target="mailto:mail@nikolaseisentraut.de" TargetMode="External"/><Relationship Id="rId31" Type="http://schemas.openxmlformats.org/officeDocument/2006/relationships/hyperlink" Target="http://www.nikolaseisentraut.de" TargetMode="External"/><Relationship Id="rId44" Type="http://schemas.openxmlformats.org/officeDocument/2006/relationships/footer" Target="footer5.xml"/><Relationship Id="rId52" Type="http://schemas.openxmlformats.org/officeDocument/2006/relationships/hyperlink" Target="https://www.rv.hessenrecht.hessen.de/bshe/document/LARE190030044" TargetMode="External"/><Relationship Id="rId4" Type="http://schemas.openxmlformats.org/officeDocument/2006/relationships/settings" Target="settings.xml"/><Relationship Id="rId9" Type="http://schemas.openxmlformats.org/officeDocument/2006/relationships/hyperlink" Target="https://www.beck-shop.de/eisentraut-faelle-verwaltungsrecht/product/30319159" TargetMode="External"/><Relationship Id="rId14" Type="http://schemas.openxmlformats.org/officeDocument/2006/relationships/footer" Target="footer2.xml"/><Relationship Id="rId22" Type="http://schemas.openxmlformats.org/officeDocument/2006/relationships/hyperlink" Target="https://doi.org/10.24921/2020.94115939" TargetMode="External"/><Relationship Id="rId27" Type="http://schemas.openxmlformats.org/officeDocument/2006/relationships/hyperlink" Target="https://www.uni-potsdam.de/de/ls-hb/lehrstuhlteam.html" TargetMode="External"/><Relationship Id="rId30" Type="http://schemas.openxmlformats.org/officeDocument/2006/relationships/hyperlink" Target="https://www.fgs.de/de/persoenlichkeiten/profile/hendrik-burbach/details.html" TargetMode="External"/><Relationship Id="rId35" Type="http://schemas.openxmlformats.org/officeDocument/2006/relationships/hyperlink" Target="http://www.uni-speyer.de/de/lehrstuehle/martini/mitarbeiter.php" TargetMode="External"/><Relationship Id="rId43" Type="http://schemas.openxmlformats.org/officeDocument/2006/relationships/footer" Target="footer4.xml"/><Relationship Id="rId48" Type="http://schemas.openxmlformats.org/officeDocument/2006/relationships/hyperlink" Target="https://openjur.de/u/729019.html" TargetMode="External"/><Relationship Id="rId56" Type="http://schemas.openxmlformats.org/officeDocument/2006/relationships/hyperlink" Target="https://www.bverwg.de/270618U10CN1.17.0" TargetMode="External"/><Relationship Id="rId8" Type="http://schemas.openxmlformats.org/officeDocument/2006/relationships/hyperlink" Target="https://creativecommons.org/licenses/by-sa/4.0/" TargetMode="External"/><Relationship Id="rId51" Type="http://schemas.openxmlformats.org/officeDocument/2006/relationships/hyperlink" Target="https://www.bundesverfassungsgericht.de/SharedDocs/Entscheidungen/DE/2018/03/qk20180324_1bvq001818.html"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17" Type="http://schemas.openxmlformats.org/officeDocument/2006/relationships/hyperlink" Target="https://www.bundesverfassungsgericht.de/SharedDocs/Entscheidungen/DE/2003/07/rk20030729_1bvr214502.html" TargetMode="External"/><Relationship Id="rId299" Type="http://schemas.openxmlformats.org/officeDocument/2006/relationships/hyperlink" Target="https://de.wikibooks.org/wiki/Verwaltungsrecht_in_der_Klausur/_%C2%A7_7_Die_verwaltungsgerichtliche_Normenkontrolle" TargetMode="External"/><Relationship Id="rId21" Type="http://schemas.openxmlformats.org/officeDocument/2006/relationships/hyperlink" Target="https://de.wikibooks.org/wiki/Verwaltungsrecht_in_der_Klausur/_%C2%A7_2_Die_Anfechtungsklage" TargetMode="External"/><Relationship Id="rId63" Type="http://schemas.openxmlformats.org/officeDocument/2006/relationships/hyperlink" Target="https://research.wolterskluwer-online.de/document/f131cfbe-6274-413a-98d1-b1d5bcca5dd1" TargetMode="External"/><Relationship Id="rId159" Type="http://schemas.openxmlformats.org/officeDocument/2006/relationships/hyperlink" Target="https://openjur.de/u/290499.html" TargetMode="External"/><Relationship Id="rId324" Type="http://schemas.openxmlformats.org/officeDocument/2006/relationships/hyperlink" Target="https://de.wikibooks.org/wiki/Verwaltungsrecht_in_der_Klausur/_%C2%A7_7_Die_verwaltungsgerichtliche_Normenkontrolle" TargetMode="External"/><Relationship Id="rId366" Type="http://schemas.openxmlformats.org/officeDocument/2006/relationships/hyperlink" Target="https://de.wikibooks.org/wiki/Verwaltungsrecht_in_der_Klausur/_%C2%A7_2_Die_Anfechtungsklage" TargetMode="External"/><Relationship Id="rId170" Type="http://schemas.openxmlformats.org/officeDocument/2006/relationships/hyperlink" Target="https://de.wikibooks.org/wiki/Verwaltungsrecht_in_der_Klausur/_%C2%A7_5_Die_allgemeine_Leistungsklage" TargetMode="External"/><Relationship Id="rId226" Type="http://schemas.openxmlformats.org/officeDocument/2006/relationships/hyperlink" Target="https://de.wikibooks.org/wiki/Verwaltungsrecht_in_der_Klausur/_%C2%A7_6_Die_Feststellungsklage" TargetMode="External"/><Relationship Id="rId268" Type="http://schemas.openxmlformats.org/officeDocument/2006/relationships/hyperlink" Target="https://research.wolterskluwer-online.de/document/69809cd0-3df0-4563-a66c-e224581729c9" TargetMode="External"/><Relationship Id="rId32" Type="http://schemas.openxmlformats.org/officeDocument/2006/relationships/hyperlink" Target="https://de.wikibooks.org/wiki/Verwaltungsrecht_in_der_Klausur/_%C2%A7_2_Die_Anfechtungsklage" TargetMode="External"/><Relationship Id="rId74" Type="http://schemas.openxmlformats.org/officeDocument/2006/relationships/hyperlink" Target="https://de.wikibooks.org/wiki/Verwaltungsrecht_in_der_Klausur/_%C2%A7_3_Die_Verpflichtungsklage" TargetMode="External"/><Relationship Id="rId128" Type="http://schemas.openxmlformats.org/officeDocument/2006/relationships/hyperlink" Target="http://www.servat.unibe.ch/dfr/bv054208.html" TargetMode="External"/><Relationship Id="rId335" Type="http://schemas.openxmlformats.org/officeDocument/2006/relationships/hyperlink" Target="https://www.bundesverfassungsgericht.de/SharedDocs/Entscheidungen/DE/2017/01/bs20170117_2bvb000113.html" TargetMode="External"/><Relationship Id="rId377" Type="http://schemas.openxmlformats.org/officeDocument/2006/relationships/hyperlink" Target="https://de.wikibooks.org/wiki/Verwaltungsrecht_in_der_Klausur/_%C2%A7_10_Einstweiliger_Rechtsschutz_3:_Der_Antrag_nach_%C2%A7_123_VwGO" TargetMode="External"/><Relationship Id="rId5" Type="http://schemas.openxmlformats.org/officeDocument/2006/relationships/hyperlink" Target="https://de.wikibooks.org/wiki/Verwaltungsrecht_in_der_Klausur/_%C2%A7_1_Die_Er%C3%B6ffnung_der_gutachterlichen_Pr%C3%BCfung" TargetMode="External"/><Relationship Id="rId181" Type="http://schemas.openxmlformats.org/officeDocument/2006/relationships/hyperlink" Target="https://research.wolterskluwer-online.de/document/1e0eab60-0e4d-443b-b314-5459c82f0f49" TargetMode="External"/><Relationship Id="rId237" Type="http://schemas.openxmlformats.org/officeDocument/2006/relationships/hyperlink" Target="https://www.bundesverfassungsgericht.de/SharedDocs/Entscheidungen/DE/2002/06/rs20020626_1bvr055891.html" TargetMode="External"/><Relationship Id="rId402" Type="http://schemas.openxmlformats.org/officeDocument/2006/relationships/hyperlink" Target="http://juris.bundesgerichtshof.de/cgi-bin/rechtsprechung/document.py?Gericht=bgh&amp;Art=en&amp;nr=23508&amp;pos=0&amp;anz=1" TargetMode="External"/><Relationship Id="rId258" Type="http://schemas.openxmlformats.org/officeDocument/2006/relationships/hyperlink" Target="https://research.wolterskluwer-online.de/document/eb93d0f3-98e2-4202-923b-6a02563d4f61" TargetMode="External"/><Relationship Id="rId279" Type="http://schemas.openxmlformats.org/officeDocument/2006/relationships/hyperlink" Target="https://www.bverwg.de/191015B5P11.14.0" TargetMode="External"/><Relationship Id="rId22" Type="http://schemas.openxmlformats.org/officeDocument/2006/relationships/hyperlink" Target="https://de.wikibooks.org/wiki/Verwaltungsrecht_in_der_Klausur/_%C2%A7_2_Die_Anfechtungsklage" TargetMode="External"/><Relationship Id="rId43" Type="http://schemas.openxmlformats.org/officeDocument/2006/relationships/hyperlink" Target="https://de.wikibooks.org/wiki/Verwaltungsrecht_in_der_Klausur/_%C2%A7_2_Die_Anfechtungsklage" TargetMode="External"/><Relationship Id="rId64" Type="http://schemas.openxmlformats.org/officeDocument/2006/relationships/hyperlink" Target="https://www.bverwg.de/181104U4C1.04.0" TargetMode="External"/><Relationship Id="rId118" Type="http://schemas.openxmlformats.org/officeDocument/2006/relationships/hyperlink" Target="https://www.bundesverfassungsgericht.de/SharedDocs/Entscheidungen/DE/2016/06/rk20160629_1bvr264615.html" TargetMode="External"/><Relationship Id="rId139" Type="http://schemas.openxmlformats.org/officeDocument/2006/relationships/hyperlink" Target="https://de.wikibooks.org/wiki/Verwaltungsrecht_in_der_Klausur/_%C2%A7_4_Die_Fortsetzungsfeststellungsklage" TargetMode="External"/><Relationship Id="rId290" Type="http://schemas.openxmlformats.org/officeDocument/2006/relationships/hyperlink" Target="https://www.justiz.nrw.de/nrwe/ovgs/ovg_nrw/j2017/11_A_2068_14_Urteil_20170407.html" TargetMode="External"/><Relationship Id="rId304" Type="http://schemas.openxmlformats.org/officeDocument/2006/relationships/hyperlink" Target="https://de.wikibooks.org/wiki/Verwaltungsrecht_in_der_Klausur/_%C2%A7_7_Die_verwaltungsgerichtliche_Normenkontrolle" TargetMode="External"/><Relationship Id="rId325" Type="http://schemas.openxmlformats.org/officeDocument/2006/relationships/hyperlink" Target="https://de.wikibooks.org/wiki/Verwaltungsrecht_in_der_Klausur/_%C2%A7_7_Die_verwaltungsgerichtliche_Normenkontrolle" TargetMode="External"/><Relationship Id="rId346" Type="http://schemas.openxmlformats.org/officeDocument/2006/relationships/hyperlink" Target="http://www.servat.unibe.ch/dfr/bv020056.html" TargetMode="External"/><Relationship Id="rId367" Type="http://schemas.openxmlformats.org/officeDocument/2006/relationships/hyperlink" Target="https://de.wikibooks.org/wiki/Verwaltungsrecht_in_der_Klausur/_%C2%A7_1_Die_Er%C3%B6ffnung_der_gutachterlichen_Pr%C3%BCfung" TargetMode="External"/><Relationship Id="rId388" Type="http://schemas.openxmlformats.org/officeDocument/2006/relationships/hyperlink" Target="https://www.bverwg.de/261017U5C19.16.0" TargetMode="External"/><Relationship Id="rId85" Type="http://schemas.openxmlformats.org/officeDocument/2006/relationships/hyperlink" Target="https://www.bverwg.de/190804U4C16.03.0" TargetMode="External"/><Relationship Id="rId150" Type="http://schemas.openxmlformats.org/officeDocument/2006/relationships/hyperlink" Target="https://de.wikibooks.org/wiki/Verwaltungsrecht_in_der_Klausur/_%C2%A7_2_Die_Anfechtungsklage" TargetMode="External"/><Relationship Id="rId171" Type="http://schemas.openxmlformats.org/officeDocument/2006/relationships/hyperlink" Target="https://de.wikibooks.org/wiki/Verwaltungsrecht_in_der_Klausur/_%C2%A7_5_Die_allgemeine_Leistungsklage" TargetMode="External"/><Relationship Id="rId192" Type="http://schemas.openxmlformats.org/officeDocument/2006/relationships/hyperlink" Target="https://www.bverwg.de/151205U7C20.04.0" TargetMode="External"/><Relationship Id="rId206" Type="http://schemas.openxmlformats.org/officeDocument/2006/relationships/hyperlink" Target="https://www.bundesverfassungsgericht.de/e/rs19971112_1bvr047992.html" TargetMode="External"/><Relationship Id="rId227" Type="http://schemas.openxmlformats.org/officeDocument/2006/relationships/hyperlink" Target="https://de.wikibooks.org/wiki/Verwaltungsrecht_in_der_Klausur/_%C2%A7_5_Die_allgemeine_Leistungsklage" TargetMode="External"/><Relationship Id="rId413" Type="http://schemas.openxmlformats.org/officeDocument/2006/relationships/hyperlink" Target="http://juris.bundesgerichtshof.de/cgi-bin/rechtsprechung/document.py?Gericht=bgh&amp;Art=en&amp;nr=80353&amp;pos=0&amp;anz=1" TargetMode="External"/><Relationship Id="rId248" Type="http://schemas.openxmlformats.org/officeDocument/2006/relationships/hyperlink" Target="https://www.bverwg.de/130917U10C6.16.0" TargetMode="External"/><Relationship Id="rId269" Type="http://schemas.openxmlformats.org/officeDocument/2006/relationships/hyperlink" Target="https://www.bverwg.de/090719B9B29.18.0" TargetMode="External"/><Relationship Id="rId12" Type="http://schemas.openxmlformats.org/officeDocument/2006/relationships/hyperlink" Target="https://de.wikibooks.org/wiki/Verwaltungsrecht_in_der_Klausur/_%C2%A7_1_Die_Er%C3%B6ffnung_der_gutachterlichen_Pr%C3%BCfung" TargetMode="External"/><Relationship Id="rId33" Type="http://schemas.openxmlformats.org/officeDocument/2006/relationships/hyperlink" Target="https://de.wikibooks.org/wiki/Verwaltungsrecht_in_der_Klausur/_%C2%A7_2_Die_Anfechtungsklage" TargetMode="External"/><Relationship Id="rId108" Type="http://schemas.openxmlformats.org/officeDocument/2006/relationships/hyperlink" Target="https://openjur.de/u/124956.html" TargetMode="External"/><Relationship Id="rId129" Type="http://schemas.openxmlformats.org/officeDocument/2006/relationships/hyperlink" Target="https://www.bundesverfassungsgericht.de/SharedDocs/Entscheidungen/DE/1994/04/rs19940413_1bvr002394.html" TargetMode="External"/><Relationship Id="rId280" Type="http://schemas.openxmlformats.org/officeDocument/2006/relationships/hyperlink" Target="https://de.wikibooks.org/wiki/Verwaltungsrecht_in_der_Klausur/_%C2%A7_6_Die_Feststellungsklage" TargetMode="External"/><Relationship Id="rId315" Type="http://schemas.openxmlformats.org/officeDocument/2006/relationships/hyperlink" Target="https://dejure.org/ext/1492c4aaaed2a41fcc75c2b66818f6a0" TargetMode="External"/><Relationship Id="rId336" Type="http://schemas.openxmlformats.org/officeDocument/2006/relationships/hyperlink" Target="http://www.servat.unibe.ch/dfr/bv005085.html" TargetMode="External"/><Relationship Id="rId357" Type="http://schemas.openxmlformats.org/officeDocument/2006/relationships/hyperlink" Target="https://de.wikibooks.org/wiki/Verwaltungsrecht_in_der_Klausur/_%C2%A7_7_Die_verwaltungsgerichtliche_Normenkontrolle" TargetMode="External"/><Relationship Id="rId54" Type="http://schemas.openxmlformats.org/officeDocument/2006/relationships/hyperlink" Target="https://de.wikibooks.org/wiki/Verwaltungsrecht_in_der_Klausur/_%C2%A7_2_Die_Anfechtungsklage" TargetMode="External"/><Relationship Id="rId75" Type="http://schemas.openxmlformats.org/officeDocument/2006/relationships/hyperlink" Target="https://de.wikibooks.org/wiki/Verwaltungsrecht_in_der_Klausur/_%C2%A7_3_Die_Verpflichtungsklage" TargetMode="External"/><Relationship Id="rId96" Type="http://schemas.openxmlformats.org/officeDocument/2006/relationships/hyperlink" Target="https://www.bverwg.de/270218B4B39.17.0" TargetMode="External"/><Relationship Id="rId140" Type="http://schemas.openxmlformats.org/officeDocument/2006/relationships/hyperlink" Target="https://de.wikibooks.org/wiki/Verwaltungsrecht_in_der_Klausur/_%C2%A7_4_Die_Fortsetzungsfeststellungsklage" TargetMode="External"/><Relationship Id="rId161" Type="http://schemas.openxmlformats.org/officeDocument/2006/relationships/hyperlink" Target="https://de.wikibooks.org/wiki/Verwaltungsrecht_in_der_Klausur/_%C2%A7_1_Die_Er%C3%B6ffnung_der_gutachterlichen_Pr%C3%BCfung" TargetMode="External"/><Relationship Id="rId182" Type="http://schemas.openxmlformats.org/officeDocument/2006/relationships/hyperlink" Target="https://research.wolterskluwer-online.de/document/1e0eab60-0e4d-443b-b314-5459c82f0f49" TargetMode="External"/><Relationship Id="rId217" Type="http://schemas.openxmlformats.org/officeDocument/2006/relationships/hyperlink" Target="https://de.wikibooks.org/wiki/Verwaltungsrecht_in_der_Klausur/_%C2%A7_6_Die_Feststellungsklage" TargetMode="External"/><Relationship Id="rId378" Type="http://schemas.openxmlformats.org/officeDocument/2006/relationships/hyperlink" Target="https://de.wikibooks.org/wiki/Verwaltungsrecht_in_der_Klausur/_%C2%A7_10_Einstweiliger_Rechtsschutz_3:_Der_Antrag_nach_%C2%A7_123_VwGO" TargetMode="External"/><Relationship Id="rId399" Type="http://schemas.openxmlformats.org/officeDocument/2006/relationships/hyperlink" Target="http://juris.bundesgerichtshof.de/cgi-bin/rechtsprechung/document.py?Gericht=bgh&amp;Art=en&amp;nr=80353&amp;pos=0&amp;anz=1" TargetMode="External"/><Relationship Id="rId403" Type="http://schemas.openxmlformats.org/officeDocument/2006/relationships/hyperlink" Target="http://lrbw.juris.de/cgi-bin/laender_rechtsprechung/document.py?Gericht=bw&amp;nr=9151" TargetMode="External"/><Relationship Id="rId6" Type="http://schemas.openxmlformats.org/officeDocument/2006/relationships/hyperlink" Target="https://de.wikibooks.org/wiki/Verwaltungsrecht_in_der_Klausur/_%C2%A7_1_Die_Er%C3%B6ffnung_der_gutachterlichen_Pr%C3%BCfung" TargetMode="External"/><Relationship Id="rId238" Type="http://schemas.openxmlformats.org/officeDocument/2006/relationships/hyperlink" Target="https://www.bundesverfassungsgericht.de/SharedDocs/Entscheidungen/DE/2015/11/qs20151107_2bvq003915.html" TargetMode="External"/><Relationship Id="rId259" Type="http://schemas.openxmlformats.org/officeDocument/2006/relationships/hyperlink" Target="https://de.wikibooks.org/wiki/Verwaltungsrecht_in_der_Klausur/_%C2%A7_2_Die_Anfechtungsklage" TargetMode="External"/><Relationship Id="rId23" Type="http://schemas.openxmlformats.org/officeDocument/2006/relationships/hyperlink" Target="https://de.wikibooks.org/wiki/Verwaltungsrecht_in_der_Klausur/_%C2%A7_2_Die_Anfechtungsklage" TargetMode="External"/><Relationship Id="rId119" Type="http://schemas.openxmlformats.org/officeDocument/2006/relationships/hyperlink" Target="https://de.wikibooks.org/wiki/Verwaltungsrecht_in_der_Klausur/_%C2%A7_2_Die_Anfechtungsklage" TargetMode="External"/><Relationship Id="rId270" Type="http://schemas.openxmlformats.org/officeDocument/2006/relationships/hyperlink" Target="https://de.wikibooks.org/wiki/Verwaltungsrecht_in_der_Klausur/_%C2%A7_6_Die_Feststellungsklage" TargetMode="External"/><Relationship Id="rId291" Type="http://schemas.openxmlformats.org/officeDocument/2006/relationships/hyperlink" Target="https://www.bverwg.de/280404U8C13.03.0" TargetMode="External"/><Relationship Id="rId305" Type="http://schemas.openxmlformats.org/officeDocument/2006/relationships/hyperlink" Target="https://de.wikibooks.org/wiki/Verwaltungsrecht_in_der_Klausur/_%C2%A7_7_Die_verwaltungsgerichtliche_Normenkontrolle" TargetMode="External"/><Relationship Id="rId326" Type="http://schemas.openxmlformats.org/officeDocument/2006/relationships/hyperlink" Target="https://www.bverwg.de/050712U8C22.11.0" TargetMode="External"/><Relationship Id="rId347" Type="http://schemas.openxmlformats.org/officeDocument/2006/relationships/hyperlink" Target="https://www.bverwg.de/270618U10CN1.17.0" TargetMode="External"/><Relationship Id="rId44" Type="http://schemas.openxmlformats.org/officeDocument/2006/relationships/hyperlink" Target="https://research.wolterskluwer-online.de/document/7d3dd06a-702a-4742-afd0-ff8dd07bf7b6" TargetMode="External"/><Relationship Id="rId65" Type="http://schemas.openxmlformats.org/officeDocument/2006/relationships/hyperlink" Target="https://de.wikibooks.org/wiki/Verwaltungsrecht_in_der_Klausur/_%C2%A7_1_Die_Er%C3%B6ffnung_der_gutachterlichen_Pr%C3%BCfung" TargetMode="External"/><Relationship Id="rId86" Type="http://schemas.openxmlformats.org/officeDocument/2006/relationships/hyperlink" Target="https://de.wikibooks.org/wiki/Verwaltungsrecht_in_der_Klausur/_%C2%A7_3_Die_Verpflichtungsklage" TargetMode="External"/><Relationship Id="rId130" Type="http://schemas.openxmlformats.org/officeDocument/2006/relationships/hyperlink" Target="https://research.wolterskluwer-online.de/document/b7acfa86-d088-47b0-b4ca-90981945834b" TargetMode="External"/><Relationship Id="rId151" Type="http://schemas.openxmlformats.org/officeDocument/2006/relationships/hyperlink" Target="https://de.wikibooks.org/wiki/Verwaltungsrecht_in_der_Klausur/_%C2%A7_2_Die_Anfechtungsklage" TargetMode="External"/><Relationship Id="rId368" Type="http://schemas.openxmlformats.org/officeDocument/2006/relationships/hyperlink" Target="https://de.wikibooks.org/wiki/Verwaltungsrecht_in_der_Klausur/_%C2%A7_10_Einstweiliger_Rechtsschutz_3:_Der_Antrag_nach_%C2%A7_123_VwGO" TargetMode="External"/><Relationship Id="rId389" Type="http://schemas.openxmlformats.org/officeDocument/2006/relationships/hyperlink" Target="https://openjur.de/u/644830.html" TargetMode="External"/><Relationship Id="rId172" Type="http://schemas.openxmlformats.org/officeDocument/2006/relationships/hyperlink" Target="https://de.wikibooks.org/wiki/Verwaltungsrecht_in_der_Klausur/_%C2%A7_5_Die_allgemeine_Leistungsklage" TargetMode="External"/><Relationship Id="rId193" Type="http://schemas.openxmlformats.org/officeDocument/2006/relationships/hyperlink" Target="http://datenbank.flsp.de/flsp/lpext.dll/Infobase8/l/larmstorungen%20durch%20schulbetrieb/382nr2?fn=document-frame.htm&amp;f=templates&amp;2.0" TargetMode="External"/><Relationship Id="rId207" Type="http://schemas.openxmlformats.org/officeDocument/2006/relationships/hyperlink" Target="https://www.bundesverfassungsgericht.de/e/fs20180321_1bvf000113.html" TargetMode="External"/><Relationship Id="rId228" Type="http://schemas.openxmlformats.org/officeDocument/2006/relationships/hyperlink" Target="https://de.wikibooks.org/wiki/Verwaltungsrecht_in_der_Klausur/_%C2%A7_5_Die_allgemeine_Leistungsklage" TargetMode="External"/><Relationship Id="rId249" Type="http://schemas.openxmlformats.org/officeDocument/2006/relationships/hyperlink" Target="https://de.wikibooks.org/wiki/Verwaltungsrecht_in_der_Klausur/_%C2%A7_6_Die_Feststellungsklage" TargetMode="External"/><Relationship Id="rId414" Type="http://schemas.openxmlformats.org/officeDocument/2006/relationships/hyperlink" Target="http://juris.bundesgerichtshof.de/cgi-bin/rechtsprechung/document.py?Gericht=bgh&amp;Art=en&amp;nr=80353&amp;pos=0&amp;anz=1" TargetMode="External"/><Relationship Id="rId13" Type="http://schemas.openxmlformats.org/officeDocument/2006/relationships/hyperlink" Target="https://de.wikibooks.org/wiki/Verwaltungsrecht_in_der_Klausur/_%C2%A7_1_Die_Er%C3%B6ffnung_der_gutachterlichen_Pr%C3%BCfung" TargetMode="External"/><Relationship Id="rId109" Type="http://schemas.openxmlformats.org/officeDocument/2006/relationships/hyperlink" Target="https://openjur.de/u/729019.html" TargetMode="External"/><Relationship Id="rId260" Type="http://schemas.openxmlformats.org/officeDocument/2006/relationships/hyperlink" Target="https://de.wikibooks.org/wiki/Verwaltungsrecht_in_der_Klausur/_%C2%A7_2_Die_Anfechtungsklage" TargetMode="External"/><Relationship Id="rId281" Type="http://schemas.openxmlformats.org/officeDocument/2006/relationships/hyperlink" Target="https://research.wolterskluwer-online.de/document/d1660316-e5b9-4e5b-848b-42691351f30c" TargetMode="External"/><Relationship Id="rId316" Type="http://schemas.openxmlformats.org/officeDocument/2006/relationships/hyperlink" Target="https://de.wikibooks.org/wiki/Verwaltungsrecht_in_der_Klausur/_%C2%A7_7_Die_verwaltungsgerichtliche_Normenkontrolle" TargetMode="External"/><Relationship Id="rId337" Type="http://schemas.openxmlformats.org/officeDocument/2006/relationships/hyperlink" Target="https://www.bundesverfassungsgericht.de/SharedDocs/Entscheidungen/DE/2017/01/bs20170117_2bvb000113.html" TargetMode="External"/><Relationship Id="rId34" Type="http://schemas.openxmlformats.org/officeDocument/2006/relationships/hyperlink" Target="https://de.wikibooks.org/wiki/Verwaltungsrecht_in_der_Klausur/_%C2%A7_2_Die_Anfechtungsklage" TargetMode="External"/><Relationship Id="rId55" Type="http://schemas.openxmlformats.org/officeDocument/2006/relationships/hyperlink" Target="https://de.wikibooks.org/wiki/Verwaltungsrecht_in_der_Klausur/_%C2%A7_3_Die_Verpflichtungsklage" TargetMode="External"/><Relationship Id="rId76" Type="http://schemas.openxmlformats.org/officeDocument/2006/relationships/hyperlink" Target="https://de.wikibooks.org/wiki/Verwaltungsrecht_in_der_Klausur/_%C2%A7_3_Die_Verpflichtungsklage" TargetMode="External"/><Relationship Id="rId97" Type="http://schemas.openxmlformats.org/officeDocument/2006/relationships/hyperlink" Target="https://www.gesetze-bayern.de/(X(1)S(1encopy2vvkjovu505a3ediy))/Content/Document/Y-300-Z-BECKRS-B-2018-N-2372?hl=true&amp;AspxAutoDetectCookieSupport=1" TargetMode="External"/><Relationship Id="rId120" Type="http://schemas.openxmlformats.org/officeDocument/2006/relationships/hyperlink" Target="https://de.wikibooks.org/wiki/Verwaltungsrecht_in_der_Klausur/_%C2%A7_2_Die_Anfechtungsklage" TargetMode="External"/><Relationship Id="rId141" Type="http://schemas.openxmlformats.org/officeDocument/2006/relationships/hyperlink" Target="https://de.wikibooks.org/wiki/Verwaltungsrecht_in_der_Klausur/_%C2%A7_4_Die_Fortsetzungsfeststellungsklage" TargetMode="External"/><Relationship Id="rId358" Type="http://schemas.openxmlformats.org/officeDocument/2006/relationships/hyperlink" Target="https://de.wikibooks.org/wiki/Verwaltungsrecht_in_der_Klausur/_%C2%A7_2_Die_Anfechtungsklage" TargetMode="External"/><Relationship Id="rId379" Type="http://schemas.openxmlformats.org/officeDocument/2006/relationships/hyperlink" Target="https://de.wikibooks.org/wiki/Verwaltungsrecht_in_der_Klausur/_%C2%A7_10_Einstweiliger_Rechtsschutz_3:_Der_Antrag_nach_%C2%A7_123_VwGO" TargetMode="External"/><Relationship Id="rId7" Type="http://schemas.openxmlformats.org/officeDocument/2006/relationships/hyperlink" Target="https://de.wikibooks.org/wiki/Verwaltungsrecht_in_der_Klausur/_%C2%A7_1_Die_Er%C3%B6ffnung_der_gutachterlichen_Pr%C3%BCfung" TargetMode="External"/><Relationship Id="rId162" Type="http://schemas.openxmlformats.org/officeDocument/2006/relationships/hyperlink" Target="https://de.wikibooks.org/wiki/Verwaltungsrecht_in_der_Klausur/_%C2%A7_5_Die_allgemeine_Leistungsklage" TargetMode="External"/><Relationship Id="rId183" Type="http://schemas.openxmlformats.org/officeDocument/2006/relationships/hyperlink" Target="https://research.wolterskluwer-online.de/document/1e0eab60-0e4d-443b-b314-5459c82f0f49" TargetMode="External"/><Relationship Id="rId218" Type="http://schemas.openxmlformats.org/officeDocument/2006/relationships/hyperlink" Target="https://de.wikibooks.org/wiki/Verwaltungsrecht_in_der_Klausur/_%C2%A7_6_Die_Feststellungsklage" TargetMode="External"/><Relationship Id="rId239" Type="http://schemas.openxmlformats.org/officeDocument/2006/relationships/hyperlink" Target="https://www.bverwg.de/130917U10C6.16.0" TargetMode="External"/><Relationship Id="rId390" Type="http://schemas.openxmlformats.org/officeDocument/2006/relationships/hyperlink" Target="https://openjur.de/u/686825.html" TargetMode="External"/><Relationship Id="rId404" Type="http://schemas.openxmlformats.org/officeDocument/2006/relationships/hyperlink" Target="http://juris.bundesgerichtshof.de/cgi-bin/rechtsprechung/document.py?Gericht=bgh&amp;Art=en&amp;nr=80353&amp;pos=0&amp;anz=1" TargetMode="External"/><Relationship Id="rId250" Type="http://schemas.openxmlformats.org/officeDocument/2006/relationships/hyperlink" Target="https://de.wikibooks.org/wiki/Verwaltungsrecht_in_der_Klausur/_%C2%A7_2_Die_Anfechtungsklage" TargetMode="External"/><Relationship Id="rId271" Type="http://schemas.openxmlformats.org/officeDocument/2006/relationships/hyperlink" Target="https://www.justiz.nrw.de/nrwe/ovgs/ovg_nrw/j2011/1_A_1925_09beschluss20111013.html" TargetMode="External"/><Relationship Id="rId292" Type="http://schemas.openxmlformats.org/officeDocument/2006/relationships/hyperlink" Target="https://research.wolterskluwer-online.de/document/cbc3155e-c72a-4376-8746-b2950a4f9ad7" TargetMode="External"/><Relationship Id="rId306" Type="http://schemas.openxmlformats.org/officeDocument/2006/relationships/hyperlink" Target="https://de.wikibooks.org/wiki/Verwaltungsrecht_in_der_Klausur/_%C2%A7_7_Die_verwaltungsgerichtliche_Normenkontrolle" TargetMode="External"/><Relationship Id="rId24" Type="http://schemas.openxmlformats.org/officeDocument/2006/relationships/hyperlink" Target="https://de.wikibooks.org/wiki/Verwaltungsrecht_in_der_Klausur/_%C2%A7_2_Die_Anfechtungsklage" TargetMode="External"/><Relationship Id="rId45" Type="http://schemas.openxmlformats.org/officeDocument/2006/relationships/hyperlink" Target="https://de.wikibooks.org/wiki/Verwaltungsrecht_in_der_Klausur/_%C2%A7_2_Die_Anfechtungsklage" TargetMode="External"/><Relationship Id="rId66" Type="http://schemas.openxmlformats.org/officeDocument/2006/relationships/hyperlink" Target="https://de.wikibooks.org/wiki/Verwaltungsrecht_in_der_Klausur/_%C2%A7_3_Die_Verpflichtungsklage" TargetMode="External"/><Relationship Id="rId87" Type="http://schemas.openxmlformats.org/officeDocument/2006/relationships/hyperlink" Target="https://de.wikibooks.org/wiki/Verwaltungsrecht_in_der_Klausur/_%C2%A7_3_Die_Verpflichtungsklage" TargetMode="External"/><Relationship Id="rId110" Type="http://schemas.openxmlformats.org/officeDocument/2006/relationships/hyperlink" Target="http://www.urheberrecht.org/law/normen/rstv/RStV-10/materialien/" TargetMode="External"/><Relationship Id="rId131" Type="http://schemas.openxmlformats.org/officeDocument/2006/relationships/hyperlink" Target="https://de.wikibooks.org/wiki/Verwaltungsrecht_in_der_Klausur/_%C2%A7_1_Die_Er%C3%B6ffnung_der_gutachterlichen_Pr%C3%BCfung" TargetMode="External"/><Relationship Id="rId327" Type="http://schemas.openxmlformats.org/officeDocument/2006/relationships/hyperlink" Target="https://www.bundesverfassungsgericht.de/SharedDocs/Entscheidungen/DE/2018/07/rs20180713_1bvr147412.html" TargetMode="External"/><Relationship Id="rId348" Type="http://schemas.openxmlformats.org/officeDocument/2006/relationships/hyperlink" Target="https://de.wikibooks.org/wiki/Verwaltungsrecht_in_der_Klausur/_%C2%A7_1_Die_Er%C3%B6ffnung_der_gutachterlichen_Pr%C3%BCfung" TargetMode="External"/><Relationship Id="rId369" Type="http://schemas.openxmlformats.org/officeDocument/2006/relationships/hyperlink" Target="https://de.wikibooks.org/wiki/Verwaltungsrecht_in_der_Klausur/_%C2%A7_10_Einstweiliger_Rechtsschutz_3:_Der_Antrag_nach_%C2%A7_123_VwGO" TargetMode="External"/><Relationship Id="rId152" Type="http://schemas.openxmlformats.org/officeDocument/2006/relationships/hyperlink" Target="https://de.wikibooks.org/wiki/Verwaltungsrecht_in_der_Klausur/_%C2%A7_2_Die_Anfechtungsklage" TargetMode="External"/><Relationship Id="rId173" Type="http://schemas.openxmlformats.org/officeDocument/2006/relationships/hyperlink" Target="https://de.wikibooks.org/wiki/Verwaltungsrecht_in_der_Klausur/_%C2%A7_5_Die_allgemeine_Leistungsklage" TargetMode="External"/><Relationship Id="rId194" Type="http://schemas.openxmlformats.org/officeDocument/2006/relationships/hyperlink" Target="https://openjur.de/u/152330.html" TargetMode="External"/><Relationship Id="rId208" Type="http://schemas.openxmlformats.org/officeDocument/2006/relationships/hyperlink" Target="https://de.wikibooks.org/wiki/Verwaltungsrecht_in_der_Klausur/_%C2%A7_2_Die_Anfechtungsklage" TargetMode="External"/><Relationship Id="rId229" Type="http://schemas.openxmlformats.org/officeDocument/2006/relationships/hyperlink" Target="https://de.wikibooks.org/wiki/Verwaltungsrecht_in_der_Klausur/_%C2%A7_6_Die_Feststellungsklage" TargetMode="External"/><Relationship Id="rId380" Type="http://schemas.openxmlformats.org/officeDocument/2006/relationships/hyperlink" Target="https://www.justiz.sachsen.de/ovgentschweb/document.phtml?id=4841" TargetMode="External"/><Relationship Id="rId415" Type="http://schemas.openxmlformats.org/officeDocument/2006/relationships/hyperlink" Target="https://research.wolterskluwer-online.de/document/d28aa08a-00e6-4eb1-af7a-92278359a1c4" TargetMode="External"/><Relationship Id="rId240" Type="http://schemas.openxmlformats.org/officeDocument/2006/relationships/hyperlink" Target="https://www.bverwg.de/130917U10C6.16.0" TargetMode="External"/><Relationship Id="rId261" Type="http://schemas.openxmlformats.org/officeDocument/2006/relationships/hyperlink" Target="https://de.wikibooks.org/wiki/Verwaltungsrecht_in_der_Klausur/_%C2%A7_2_Die_Anfechtungsklage" TargetMode="External"/><Relationship Id="rId14" Type="http://schemas.openxmlformats.org/officeDocument/2006/relationships/hyperlink" Target="https://de.wikibooks.org/wiki/Verwaltungsrecht_in_der_Klausur/_%C2%A7_1_Die_Er%C3%B6ffnung_der_gutachterlichen_Pr%C3%BCfung" TargetMode="External"/><Relationship Id="rId35" Type="http://schemas.openxmlformats.org/officeDocument/2006/relationships/hyperlink" Target="https://de.wikibooks.org/wiki/Verwaltungsrecht_in_der_Klausur/_%C2%A7_2_Die_Anfechtungsklage" TargetMode="External"/><Relationship Id="rId56" Type="http://schemas.openxmlformats.org/officeDocument/2006/relationships/hyperlink" Target="https://de.wikibooks.org/wiki/Verwaltungsrecht_in_der_Klausur/_%C2%A7_2_Die_Anfechtungsklage" TargetMode="External"/><Relationship Id="rId77" Type="http://schemas.openxmlformats.org/officeDocument/2006/relationships/hyperlink" Target="https://de.wikibooks.org/wiki/Verwaltungsrecht_in_der_Klausur/_%C2%A7_3_Die_Verpflichtungsklage" TargetMode="External"/><Relationship Id="rId100" Type="http://schemas.openxmlformats.org/officeDocument/2006/relationships/hyperlink" Target="https://de.wikibooks.org/wiki/Verwaltungsrecht_in_der_Klausur/_%C2%A7_3_Die_Verpflichtungsklage" TargetMode="External"/><Relationship Id="rId282" Type="http://schemas.openxmlformats.org/officeDocument/2006/relationships/hyperlink" Target="http://www.verwaltungsvorschriften-im-internet.de/bsvwvbund_26081998_IG19980826.htm" TargetMode="External"/><Relationship Id="rId317" Type="http://schemas.openxmlformats.org/officeDocument/2006/relationships/hyperlink" Target="https://de.wikibooks.org/wiki/Verwaltungsrecht_in_der_Klausur/_%C2%A7_2_Die_Anfechtungsklage" TargetMode="External"/><Relationship Id="rId338" Type="http://schemas.openxmlformats.org/officeDocument/2006/relationships/hyperlink" Target="https://de.wikibooks.org/wiki/Verwaltungsrecht_in_der_Klausur/_%C2%A7_3_Die_Verpflichtungsklage" TargetMode="External"/><Relationship Id="rId359" Type="http://schemas.openxmlformats.org/officeDocument/2006/relationships/hyperlink" Target="https://de.wikibooks.org/wiki/Verwaltungsrecht_in_der_Klausur/_%C2%A7_2_Die_Anfechtungsklage" TargetMode="External"/><Relationship Id="rId8" Type="http://schemas.openxmlformats.org/officeDocument/2006/relationships/hyperlink" Target="https://de.wikibooks.org/wiki/Verwaltungsrecht_in_der_Klausur/_%C2%A7_1_Die_Er%C3%B6ffnung_der_gutachterlichen_Pr%C3%BCfung" TargetMode="External"/><Relationship Id="rId98" Type="http://schemas.openxmlformats.org/officeDocument/2006/relationships/hyperlink" Target="https://www.gesetze-bayern.de/(X(1)S(1encopy2vvkjovu505a3ediy))/Content/Document/Y-300-Z-BECKRS-B-2018-N-2372?hl=true&amp;AspxAutoDetectCookieSupport=1" TargetMode="External"/><Relationship Id="rId121" Type="http://schemas.openxmlformats.org/officeDocument/2006/relationships/hyperlink" Target="https://de.wikibooks.org/wiki/Verwaltungsrecht_in_der_Klausur/_%C2%A7_2_Die_Anfechtungsklage" TargetMode="External"/><Relationship Id="rId142" Type="http://schemas.openxmlformats.org/officeDocument/2006/relationships/hyperlink" Target="https://de.wikibooks.org/wiki/Verwaltungsrecht_in_der_Klausur/_%C2%A7_2_Die_Anfechtungsklage" TargetMode="External"/><Relationship Id="rId163" Type="http://schemas.openxmlformats.org/officeDocument/2006/relationships/hyperlink" Target="https://de.wikibooks.org/wiki/Verwaltungsrecht_in_der_Klausur/_%C2%A7_5_Die_allgemeine_Leistungsklage" TargetMode="External"/><Relationship Id="rId184" Type="http://schemas.openxmlformats.org/officeDocument/2006/relationships/hyperlink" Target="https://research.wolterskluwer-online.de/document/1e0eab60-0e4d-443b-b314-5459c82f0f49" TargetMode="External"/><Relationship Id="rId219" Type="http://schemas.openxmlformats.org/officeDocument/2006/relationships/hyperlink" Target="https://de.wikibooks.org/wiki/Verwaltungsrecht_in_der_Klausur/_%C2%A7_6_Die_Feststellungsklage" TargetMode="External"/><Relationship Id="rId370" Type="http://schemas.openxmlformats.org/officeDocument/2006/relationships/hyperlink" Target="https://de.wikibooks.org/wiki/Verwaltungsrecht_in_der_Klausur/_%C2%A7_10_Einstweiliger_Rechtsschutz_3:_Der_Antrag_nach_%C2%A7_123_VwGO" TargetMode="External"/><Relationship Id="rId391" Type="http://schemas.openxmlformats.org/officeDocument/2006/relationships/hyperlink" Target="http://www.landesrecht.rlp.de/jportal/portal/t/7qe/page/bsrlpprod.psml?pid=Dokumentanzeige&amp;showdoccase=1&amp;doc.id=MWRE180001979&amp;doc.part=L" TargetMode="External"/><Relationship Id="rId405" Type="http://schemas.openxmlformats.org/officeDocument/2006/relationships/hyperlink" Target="https://de.wikibooks.org/wiki/Verwaltungsrecht_in_der_Klausur/_%C2%A7_2_Die_Anfechtungsklage" TargetMode="External"/><Relationship Id="rId230" Type="http://schemas.openxmlformats.org/officeDocument/2006/relationships/hyperlink" Target="https://de.wikibooks.org/wiki/Verwaltungsrecht_in_der_Klausur/_%C2%A7_6_Die_Feststellungsklage" TargetMode="External"/><Relationship Id="rId251" Type="http://schemas.openxmlformats.org/officeDocument/2006/relationships/hyperlink" Target="https://www.bverwg.de/061102U6C16.02.0" TargetMode="External"/><Relationship Id="rId25" Type="http://schemas.openxmlformats.org/officeDocument/2006/relationships/hyperlink" Target="https://de.wikibooks.org/wiki/Verwaltungsrecht_in_der_Klausur/_%C2%A7_2_Die_Anfechtungsklage" TargetMode="External"/><Relationship Id="rId46" Type="http://schemas.openxmlformats.org/officeDocument/2006/relationships/hyperlink" Target="https://de.wikibooks.org/wiki/Verwaltungsrecht_in_der_Klausur/_%C2%A7_2_Die_Anfechtungsklage" TargetMode="External"/><Relationship Id="rId67" Type="http://schemas.openxmlformats.org/officeDocument/2006/relationships/hyperlink" Target="https://de.wikibooks.org/wiki/Verwaltungsrecht_in_der_Klausur/_%C2%A7_3_Die_Verpflichtungsklage" TargetMode="External"/><Relationship Id="rId272" Type="http://schemas.openxmlformats.org/officeDocument/2006/relationships/hyperlink" Target="https://de.wikibooks.org/wiki/Verwaltungsrecht_in_der_Klausur/_%C2%A7_6_Die_Feststellungsklage" TargetMode="External"/><Relationship Id="rId293" Type="http://schemas.openxmlformats.org/officeDocument/2006/relationships/hyperlink" Target="https://research.wolterskluwer-online.de/document/4d63a1c7-8d3c-4964-9e6d-7223d10690b9" TargetMode="External"/><Relationship Id="rId307" Type="http://schemas.openxmlformats.org/officeDocument/2006/relationships/hyperlink" Target="http://www.zjs-online.com/dat/artikel/2014_6_852.pdf" TargetMode="External"/><Relationship Id="rId328" Type="http://schemas.openxmlformats.org/officeDocument/2006/relationships/hyperlink" Target="https://www.bverwg.de/270618U10CN1.17.0" TargetMode="External"/><Relationship Id="rId349" Type="http://schemas.openxmlformats.org/officeDocument/2006/relationships/hyperlink" Target="https://de.wikibooks.org/wiki/Verwaltungsrecht_in_der_Klausur/_%C2%A7_8_Einstweiliger_Rechtsschutz_1:_Der_Antrag_nach_%C2%A7_80_V_VwGO" TargetMode="External"/><Relationship Id="rId88" Type="http://schemas.openxmlformats.org/officeDocument/2006/relationships/hyperlink" Target="https://research.wolterskluwer-online.de/document/aed69f25-5b33-4c7b-a19e-7096e857cb1e" TargetMode="External"/><Relationship Id="rId111" Type="http://schemas.openxmlformats.org/officeDocument/2006/relationships/hyperlink" Target="http://www.urheberrecht.org/law/normen/rstv/RStV-10/materialien/" TargetMode="External"/><Relationship Id="rId132" Type="http://schemas.openxmlformats.org/officeDocument/2006/relationships/hyperlink" Target="https://de.wikibooks.org/wiki/Verwaltungsrecht_in_der_Klausur/_%C2%A7_4_Die_Fortsetzungsfeststellungsklage" TargetMode="External"/><Relationship Id="rId153" Type="http://schemas.openxmlformats.org/officeDocument/2006/relationships/hyperlink" Target="https://de.wikibooks.org/wiki/Verwaltungsrecht_in_der_Klausur/_%C2%A7_1_Die_Er%C3%B6ffnung_der_gutachterlichen_Pr%C3%BCfung" TargetMode="External"/><Relationship Id="rId174" Type="http://schemas.openxmlformats.org/officeDocument/2006/relationships/hyperlink" Target="https://research.wolterskluwer-online.de/document/1e0eab60-0e4d-443b-b314-5459c82f0f49" TargetMode="External"/><Relationship Id="rId195" Type="http://schemas.openxmlformats.org/officeDocument/2006/relationships/hyperlink" Target="https://de.wikibooks.org/wiki/Verwaltungsrecht_in_der_Klausur/_%C2%A7_1_Die_Er%C3%B6ffnung_der_gutachterlichen_Pr%C3%BCfung" TargetMode="External"/><Relationship Id="rId209" Type="http://schemas.openxmlformats.org/officeDocument/2006/relationships/hyperlink" Target="https://de.wikibooks.org/wiki/Verwaltungsrecht_in_der_Klausur/_%C2%A7_1_Die_Er%C3%B6ffnung_der_gutachterlichen_Pr%C3%BCfung" TargetMode="External"/><Relationship Id="rId360" Type="http://schemas.openxmlformats.org/officeDocument/2006/relationships/hyperlink" Target="https://de.wikibooks.org/wiki/Verwaltungsrecht_in_der_Klausur/_%C2%A7_2_Die_Anfechtungsklage" TargetMode="External"/><Relationship Id="rId381" Type="http://schemas.openxmlformats.org/officeDocument/2006/relationships/hyperlink" Target="http://lrbw.juris.de/cgi-bin/laender_rechtsprechung/document.py?Gericht=bw&amp;nr=24895" TargetMode="External"/><Relationship Id="rId416" Type="http://schemas.openxmlformats.org/officeDocument/2006/relationships/hyperlink" Target="http://juris.bundesgerichtshof.de/cgi-bin/rechtsprechung/document.py?Gericht=bgh&amp;Art=en&amp;nr=80353&amp;pos=0&amp;anz=1" TargetMode="External"/><Relationship Id="rId220" Type="http://schemas.openxmlformats.org/officeDocument/2006/relationships/hyperlink" Target="https://de.wikibooks.org/wiki/Verwaltungsrecht_in_der_Klausur/_%C2%A7_6_Die_Feststellungsklage" TargetMode="External"/><Relationship Id="rId241" Type="http://schemas.openxmlformats.org/officeDocument/2006/relationships/hyperlink" Target="https://research.wolterskluwer-online.de/document/df6c920a-d269-4a50-a429-99fdfdb3ff57" TargetMode="External"/><Relationship Id="rId15" Type="http://schemas.openxmlformats.org/officeDocument/2006/relationships/hyperlink" Target="https://de.wikibooks.org/wiki/Verwaltungsrecht_in_der_Klausur/_%C2%A7_1_Die_Er%C3%B6ffnung_der_gutachterlichen_Pr%C3%BCfung" TargetMode="External"/><Relationship Id="rId36" Type="http://schemas.openxmlformats.org/officeDocument/2006/relationships/hyperlink" Target="https://de.wikibooks.org/wiki/Verwaltungsrecht_in_der_Klausur/_%C2%A7_2_Die_Anfechtungsklage" TargetMode="External"/><Relationship Id="rId57" Type="http://schemas.openxmlformats.org/officeDocument/2006/relationships/hyperlink" Target="https://de.wikibooks.org/wiki/Verwaltungsrecht_in_der_Klausur/_%C2%A7_2_Die_Anfechtungsklage" TargetMode="External"/><Relationship Id="rId262" Type="http://schemas.openxmlformats.org/officeDocument/2006/relationships/hyperlink" Target="https://de.wikibooks.org/wiki/Verwaltungsrecht_in_der_Klausur/_%C2%A7_6_Die_Feststellungsklage" TargetMode="External"/><Relationship Id="rId283" Type="http://schemas.openxmlformats.org/officeDocument/2006/relationships/hyperlink" Target="https://www.bverwg.de/290807U4C2.07.0" TargetMode="External"/><Relationship Id="rId318" Type="http://schemas.openxmlformats.org/officeDocument/2006/relationships/hyperlink" Target="https://www.bverwg.de/270618U10CN1.17.0" TargetMode="External"/><Relationship Id="rId339" Type="http://schemas.openxmlformats.org/officeDocument/2006/relationships/hyperlink" Target="https://www.juwiss.de/26-2018/" TargetMode="External"/><Relationship Id="rId78" Type="http://schemas.openxmlformats.org/officeDocument/2006/relationships/hyperlink" Target="https://de.wikibooks.org/wiki/Verwaltungsrecht_in_der_Klausur/_%C2%A7_1_Die_Er%C3%B6ffnung_der_gutachterlichen_Pr%C3%BCfung" TargetMode="External"/><Relationship Id="rId99" Type="http://schemas.openxmlformats.org/officeDocument/2006/relationships/hyperlink" Target="https://de.wikibooks.org/wiki/Verwaltungsrecht_in_der_Klausur/_%C2%A7_3_Die_Verpflichtungsklage" TargetMode="External"/><Relationship Id="rId101" Type="http://schemas.openxmlformats.org/officeDocument/2006/relationships/hyperlink" Target="https://de.wikibooks.org/wiki/Verwaltungsrecht_in_der_Klausur/_%C2%A7_3_Die_Verpflichtungsklage" TargetMode="External"/><Relationship Id="rId122" Type="http://schemas.openxmlformats.org/officeDocument/2006/relationships/hyperlink" Target="https://de.wikibooks.org/wiki/Verwaltungsrecht_in_der_Klausur/_%C2%A7_2_Die_Anfechtungsklage" TargetMode="External"/><Relationship Id="rId143" Type="http://schemas.openxmlformats.org/officeDocument/2006/relationships/hyperlink" Target="https://www.rv.hessenrecht.hessen.de/bshe/document" TargetMode="External"/><Relationship Id="rId164" Type="http://schemas.openxmlformats.org/officeDocument/2006/relationships/hyperlink" Target="https://de.wikibooks.org/wiki/Verwaltungsrecht_in_der_Klausur/_%C2%A7_5_Die_allgemeine_Leistungsklage" TargetMode="External"/><Relationship Id="rId185" Type="http://schemas.openxmlformats.org/officeDocument/2006/relationships/hyperlink" Target="https://research.wolterskluwer-online.de/document/1e0eab60-0e4d-443b-b314-5459c82f0f49" TargetMode="External"/><Relationship Id="rId350" Type="http://schemas.openxmlformats.org/officeDocument/2006/relationships/hyperlink" Target="https://de.wikibooks.org/wiki/Verwaltungsrecht_in_der_Klausur/_%C2%A7_8_Einstweiliger_Rechtsschutz_1:_Der_Antrag_nach_%C2%A7_80_V_VwGO" TargetMode="External"/><Relationship Id="rId371" Type="http://schemas.openxmlformats.org/officeDocument/2006/relationships/hyperlink" Target="https://de.wikibooks.org/wiki/Verwaltungsrecht_in_der_Klausur/_%C2%A7_10_Einstweiliger_Rechtsschutz_3:_Der_Antrag_nach_%C2%A7_123_VwGO" TargetMode="External"/><Relationship Id="rId406" Type="http://schemas.openxmlformats.org/officeDocument/2006/relationships/hyperlink" Target="http://juris.bundesgerichtshof.de/cgi-bin/rechtsprechung/document.py?Gericht=bgh&amp;Art=en&amp;nr=80353&amp;pos=0&amp;anz=1" TargetMode="External"/><Relationship Id="rId9" Type="http://schemas.openxmlformats.org/officeDocument/2006/relationships/hyperlink" Target="https://de.wikibooks.org/wiki/Verwaltungsrecht_in_der_Klausur/_%C2%A7_1_Die_Er%C3%B6ffnung_der_gutachterlichen_Pr%C3%BCfung" TargetMode="External"/><Relationship Id="rId210" Type="http://schemas.openxmlformats.org/officeDocument/2006/relationships/hyperlink" Target="https://de.wikibooks.org/wiki/Verwaltungsrecht_in_der_Klausur/_%C2%A7_6_Die_Feststellungsklage" TargetMode="External"/><Relationship Id="rId392" Type="http://schemas.openxmlformats.org/officeDocument/2006/relationships/hyperlink" Target="http://www.gerichtsentscheidungen.berlin-brandenburg.de/jportal/portal/t/279b/bs/10/page/sammlung.psml?pid=Dokumentanzeige&amp;showdoccase=1&amp;js_peid=Trefferliste&amp;documentnumber=1&amp;numberofresults=1&amp;fromdoctodoc=yes&amp;doc.id=MWRE180001094&amp;doc.part=L&amp;doc.price=0.0" TargetMode="External"/><Relationship Id="rId26" Type="http://schemas.openxmlformats.org/officeDocument/2006/relationships/hyperlink" Target="https://de.wikibooks.org/wiki/Verwaltungsrecht_in_der_Klausur/_%C2%A7_2_Die_Anfechtungsklage" TargetMode="External"/><Relationship Id="rId231" Type="http://schemas.openxmlformats.org/officeDocument/2006/relationships/hyperlink" Target="https://www.justiz.nrw.de/nrwe/ovgs/ovg_nrw/j2016/15_A_2293_15_Urteil_20161104.html" TargetMode="External"/><Relationship Id="rId252" Type="http://schemas.openxmlformats.org/officeDocument/2006/relationships/hyperlink" Target="https://de.wikibooks.org/wiki/Verwaltungsrecht_in_der_Klausur/_%C2%A7_1_Die_Er%C3%B6ffnung_der_gutachterlichen_Pr%C3%BCfung" TargetMode="External"/><Relationship Id="rId273" Type="http://schemas.openxmlformats.org/officeDocument/2006/relationships/hyperlink" Target="https://de.wikibooks.org/wiki/Verwaltungsrecht_in_der_Klausur/_%C2%A7_6_Die_Feststellungsklage" TargetMode="External"/><Relationship Id="rId294" Type="http://schemas.openxmlformats.org/officeDocument/2006/relationships/hyperlink" Target="https://de.wikibooks.org/wiki/Verwaltungsrecht_in_der_Klausur/_%C2%A7_6_Die_Feststellungsklage" TargetMode="External"/><Relationship Id="rId308" Type="http://schemas.openxmlformats.org/officeDocument/2006/relationships/hyperlink" Target="https://de.wikibooks.org/wiki/Verwaltungsrecht_in_der_Klausur/_%C2%A7_1_Die_Er%C3%B6ffnung_der_gutachterlichen_Pr%C3%BCfung" TargetMode="External"/><Relationship Id="rId329" Type="http://schemas.openxmlformats.org/officeDocument/2006/relationships/hyperlink" Target="https://research.wolterskluwer-online.de/document/d3d218d2-2a5f-40d0-adfb-e7a3d6f6f71b" TargetMode="External"/><Relationship Id="rId47" Type="http://schemas.openxmlformats.org/officeDocument/2006/relationships/hyperlink" Target="https://de.wikibooks.org/wiki/Verwaltungsrecht_in_der_Klausur/_%C2%A7_2_Die_Anfechtungsklage" TargetMode="External"/><Relationship Id="rId68" Type="http://schemas.openxmlformats.org/officeDocument/2006/relationships/hyperlink" Target="https://de.wikibooks.org/wiki/Verwaltungsrecht_in_der_Klausur/_%C2%A7_3_Die_Verpflichtungsklage" TargetMode="External"/><Relationship Id="rId89" Type="http://schemas.openxmlformats.org/officeDocument/2006/relationships/hyperlink" Target="https://de.wikibooks.org/wiki/Verwaltungsrecht_in_der_Klausur/_%C2%A7_3_Die_Verpflichtungsklage" TargetMode="External"/><Relationship Id="rId112" Type="http://schemas.openxmlformats.org/officeDocument/2006/relationships/hyperlink" Target="https://openjur.de/u/729019.html" TargetMode="External"/><Relationship Id="rId133" Type="http://schemas.openxmlformats.org/officeDocument/2006/relationships/hyperlink" Target="https://de.wikibooks.org/wiki/Verwaltungsrecht_in_der_Klausur/_%C2%A7_4_Die_Fortsetzungsfeststellungsklage" TargetMode="External"/><Relationship Id="rId154" Type="http://schemas.openxmlformats.org/officeDocument/2006/relationships/hyperlink" Target="https://de.wikibooks.org/wiki/Verwaltungsrecht_in_der_Klausur/_%C2%A7_3_Die_Verpflichtungsklage" TargetMode="External"/><Relationship Id="rId175" Type="http://schemas.openxmlformats.org/officeDocument/2006/relationships/hyperlink" Target="https://research.wolterskluwer-online.de/document/73102805-8ccd-4148-bcbc-5acde0bf80e3" TargetMode="External"/><Relationship Id="rId340" Type="http://schemas.openxmlformats.org/officeDocument/2006/relationships/hyperlink" Target="https://www.bundesverfassungsgericht.de/SharedDocs/Entscheidungen/DE/2018/03/qk20180324_1bvq001818.html" TargetMode="External"/><Relationship Id="rId361" Type="http://schemas.openxmlformats.org/officeDocument/2006/relationships/hyperlink" Target="https://de.wikibooks.org/wiki/Verwaltungsrecht_in_der_Klausur/_%C2%A7_2_Die_Anfechtungsklage" TargetMode="External"/><Relationship Id="rId196" Type="http://schemas.openxmlformats.org/officeDocument/2006/relationships/hyperlink" Target="https://de.wikibooks.org/wiki/Verwaltungsrecht_in_der_Klausur/_%C2%A7_2_Die_Anfechtungsklage" TargetMode="External"/><Relationship Id="rId200" Type="http://schemas.openxmlformats.org/officeDocument/2006/relationships/hyperlink" Target="https://www.bundesverfassungsgericht.de/e/rs20131023_1bvr184211.html" TargetMode="External"/><Relationship Id="rId382" Type="http://schemas.openxmlformats.org/officeDocument/2006/relationships/hyperlink" Target="https://de.wikibooks.org/wiki/Verwaltungsrecht_in_der_Klausur/_%C2%A7_5_Die_allgemeine_Leistungsklage" TargetMode="External"/><Relationship Id="rId417" Type="http://schemas.openxmlformats.org/officeDocument/2006/relationships/hyperlink" Target="https://de.wikibooks.org/wiki/Verwaltungsrecht_in_der_Klausur/_%C2%A7_11_%C3%96ffentliche_Ersatzleistungen_vor_den_Zivilgerichten" TargetMode="External"/><Relationship Id="rId16" Type="http://schemas.openxmlformats.org/officeDocument/2006/relationships/hyperlink" Target="https://de.wikibooks.org/wiki/Verwaltungsrecht_in_der_Klausur/_%C2%A7_9_Einstweiliger_Rechtsschutz_2:_Der_Antrag_nach_%C2%A7%C2%A7_80,_80a_VwGO" TargetMode="External"/><Relationship Id="rId221" Type="http://schemas.openxmlformats.org/officeDocument/2006/relationships/hyperlink" Target="https://www.bverwg.de/130917U10C6.16.0" TargetMode="External"/><Relationship Id="rId242" Type="http://schemas.openxmlformats.org/officeDocument/2006/relationships/hyperlink" Target="https://www.bverwg.de/130917U10C6.16.0" TargetMode="External"/><Relationship Id="rId263" Type="http://schemas.openxmlformats.org/officeDocument/2006/relationships/hyperlink" Target="https://de.wikibooks.org/wiki/Verwaltungsrecht_in_der_Klausur/_%C2%A7_6_Die_Feststellungsklage" TargetMode="External"/><Relationship Id="rId284" Type="http://schemas.openxmlformats.org/officeDocument/2006/relationships/hyperlink" Target="https://de.wikibooks.org/wiki/Verwaltungsrecht_in_der_Klausur/_%C2%A7_7_Die_verwaltungsgerichtliche_Normenkontrolle" TargetMode="External"/><Relationship Id="rId319" Type="http://schemas.openxmlformats.org/officeDocument/2006/relationships/hyperlink" Target="https://www.bverwg.de/270618U10CN1.17.0" TargetMode="External"/><Relationship Id="rId37" Type="http://schemas.openxmlformats.org/officeDocument/2006/relationships/hyperlink" Target="https://de.wikibooks.org/wiki/Verwaltungsrecht_in_der_Klausur/_%C2%A7_2_Die_Anfechtungsklage" TargetMode="External"/><Relationship Id="rId58" Type="http://schemas.openxmlformats.org/officeDocument/2006/relationships/hyperlink" Target="https://de.wikibooks.org/wiki/Verwaltungsrecht_in_der_Klausur/_%C2%A7_2_Die_Anfechtungsklage" TargetMode="External"/><Relationship Id="rId79" Type="http://schemas.openxmlformats.org/officeDocument/2006/relationships/hyperlink" Target="https://de.wikibooks.org/wiki/Verwaltungsrecht_in_der_Klausur/_%C2%A7_1_Die_Er%C3%B6ffnung_der_gutachterlichen_Pr%C3%BCfung" TargetMode="External"/><Relationship Id="rId102" Type="http://schemas.openxmlformats.org/officeDocument/2006/relationships/hyperlink" Target="https://de.wikibooks.org/wiki/Verwaltungsrecht_in_der_Klausur/_%C2%A7_1_Die_Er%C3%B6ffnung_der_gutachterlichen_Pr%C3%BCfung" TargetMode="External"/><Relationship Id="rId123" Type="http://schemas.openxmlformats.org/officeDocument/2006/relationships/hyperlink" Target="https://www.bundesverfassungsgericht.de/SharedDocs/Entscheidungen/DE/2010/02/rk20100204_1bvr036904.html" TargetMode="External"/><Relationship Id="rId144" Type="http://schemas.openxmlformats.org/officeDocument/2006/relationships/hyperlink" Target="https://de.wikibooks.org/wiki/Verwaltungsrecht_in_der_Klausur/_%C2%A7_2_Die_Anfechtungsklage" TargetMode="External"/><Relationship Id="rId330" Type="http://schemas.openxmlformats.org/officeDocument/2006/relationships/hyperlink" Target="https://www.bverwg.de/270618U10CN1.17.0" TargetMode="External"/><Relationship Id="rId90" Type="http://schemas.openxmlformats.org/officeDocument/2006/relationships/hyperlink" Target="https://de.wikibooks.org/wiki/Verwaltungsrecht_in_der_Klausur/_%C2%A7_3_Die_Verpflichtungsklage" TargetMode="External"/><Relationship Id="rId165" Type="http://schemas.openxmlformats.org/officeDocument/2006/relationships/hyperlink" Target="https://de.wikibooks.org/wiki/Verwaltungsrecht_in_der_Klausur/_%C2%A7_5_Die_allgemeine_Leistungsklage" TargetMode="External"/><Relationship Id="rId186" Type="http://schemas.openxmlformats.org/officeDocument/2006/relationships/hyperlink" Target="https://de.wikibooks.org/wiki/Verwaltungsrecht_in_der_Klausur/_%C2%A7_2_Die_Anfechtungsklage" TargetMode="External"/><Relationship Id="rId351" Type="http://schemas.openxmlformats.org/officeDocument/2006/relationships/hyperlink" Target="https://de.wikibooks.org/wiki/Verwaltungsrecht_in_der_Klausur/_%C2%A7_8_Einstweiliger_Rechtsschutz_1:_Der_Antrag_nach_%C2%A7_80_V_VwGO" TargetMode="External"/><Relationship Id="rId372" Type="http://schemas.openxmlformats.org/officeDocument/2006/relationships/hyperlink" Target="https://de.wikibooks.org/wiki/Verwaltungsrecht_in_der_Klausur/_%C2%A7_10_Einstweiliger_Rechtsschutz_3:_Der_Antrag_nach_%C2%A7_123_VwGO" TargetMode="External"/><Relationship Id="rId393" Type="http://schemas.openxmlformats.org/officeDocument/2006/relationships/hyperlink" Target="https://www.gesetze-bayern.de/Content/Document/Y-300-Z-BECKRS-B-2016-N-49986?AspxAutoDetectCookieSupport=1" TargetMode="External"/><Relationship Id="rId407" Type="http://schemas.openxmlformats.org/officeDocument/2006/relationships/hyperlink" Target="https://de.wikibooks.org/wiki/Verwaltungsrecht_in_der_Klausur/_%C2%A7_11_%C3%96ffentliche_Ersatzleistungen_vor_den_Zivilgerichten" TargetMode="External"/><Relationship Id="rId211" Type="http://schemas.openxmlformats.org/officeDocument/2006/relationships/hyperlink" Target="https://de.wikibooks.org/wiki/Verwaltungsrecht_in_der_Klausur/_%C2%A7_6_Die_Feststellungsklage" TargetMode="External"/><Relationship Id="rId232" Type="http://schemas.openxmlformats.org/officeDocument/2006/relationships/hyperlink" Target="https://de.wikibooks.org/wiki/Verwaltungsrecht_in_der_Klausur/_%C2%A7_2_Die_Anfechtungsklage" TargetMode="External"/><Relationship Id="rId253" Type="http://schemas.openxmlformats.org/officeDocument/2006/relationships/hyperlink" Target="https://de.wikibooks.org/wiki/Verwaltungsrecht_in_der_Klausur/_%C2%A7_2_Die_Anfechtungsklage" TargetMode="External"/><Relationship Id="rId274" Type="http://schemas.openxmlformats.org/officeDocument/2006/relationships/hyperlink" Target="https://www.bverwg.de/191015B5P11.14.0" TargetMode="External"/><Relationship Id="rId295" Type="http://schemas.openxmlformats.org/officeDocument/2006/relationships/hyperlink" Target="https://de.wikibooks.org/wiki/Verwaltungsrecht_in_der_Klausur/_%C2%A7_1_Die_Er%C3%B6ffnung_der_gutachterlichen_Pr%C3%BCfung" TargetMode="External"/><Relationship Id="rId309" Type="http://schemas.openxmlformats.org/officeDocument/2006/relationships/hyperlink" Target="https://de.wikibooks.org/wiki/Verwaltungsrecht_in_der_Klausur/_%C2%A7_7_Die_verwaltungsgerichtliche_Normenkontrolle" TargetMode="External"/><Relationship Id="rId27" Type="http://schemas.openxmlformats.org/officeDocument/2006/relationships/hyperlink" Target="https://de.wikibooks.org/wiki/Verwaltungsrecht_in_der_Klausur/_%C2%A7_2_Die_Anfechtungsklage" TargetMode="External"/><Relationship Id="rId48" Type="http://schemas.openxmlformats.org/officeDocument/2006/relationships/hyperlink" Target="https://openjur.de/u/284450.html" TargetMode="External"/><Relationship Id="rId69" Type="http://schemas.openxmlformats.org/officeDocument/2006/relationships/hyperlink" Target="https://de.wikibooks.org/wiki/Verwaltungsrecht_in_der_Klausur/_%C2%A7_3_Die_Verpflichtungsklage" TargetMode="External"/><Relationship Id="rId113" Type="http://schemas.openxmlformats.org/officeDocument/2006/relationships/hyperlink" Target="https://de.wikibooks.org/wiki/Verwaltungsrecht_in_der_Klausur/_%C2%A7_2_Die_Anfechtungsklage" TargetMode="External"/><Relationship Id="rId134" Type="http://schemas.openxmlformats.org/officeDocument/2006/relationships/hyperlink" Target="https://de.wikibooks.org/wiki/Verwaltungsrecht_in_der_Klausur/_%C2%A7_4_Die_Fortsetzungsfeststellungsklage" TargetMode="External"/><Relationship Id="rId320" Type="http://schemas.openxmlformats.org/officeDocument/2006/relationships/hyperlink" Target="https://de.wikibooks.org/wiki/Verwaltungsrecht_in_der_Klausur/_%C2%A7_7_Die_verwaltungsgerichtliche_Normenkontrolle" TargetMode="External"/><Relationship Id="rId80" Type="http://schemas.openxmlformats.org/officeDocument/2006/relationships/hyperlink" Target="https://de.wikibooks.org/wiki/Verwaltungsrecht_in_der_Klausur/_%C2%A7_2_Die_Anfechtungsklage" TargetMode="External"/><Relationship Id="rId155" Type="http://schemas.openxmlformats.org/officeDocument/2006/relationships/hyperlink" Target="https://de.wikibooks.org/wiki/Verwaltungsrecht_in_der_Klausur/_%C2%A7_4_Die_Fortsetzungsfeststellungsklage" TargetMode="External"/><Relationship Id="rId176" Type="http://schemas.openxmlformats.org/officeDocument/2006/relationships/hyperlink" Target="https://de.wikibooks.org/wiki/Verwaltungsrecht_in_der_Klausur/_%C2%A7_5_Die_allgemeine_Leistungsklage" TargetMode="External"/><Relationship Id="rId197" Type="http://schemas.openxmlformats.org/officeDocument/2006/relationships/hyperlink" Target="https://www.bundesverfassungsgericht.de/e/rs20040420_1bvr083801.html" TargetMode="External"/><Relationship Id="rId341" Type="http://schemas.openxmlformats.org/officeDocument/2006/relationships/hyperlink" Target="https://www.bverwg.de/270618U10CN1.17.0" TargetMode="External"/><Relationship Id="rId362" Type="http://schemas.openxmlformats.org/officeDocument/2006/relationships/hyperlink" Target="https://de.wikibooks.org/wiki/Verwaltungsrecht_in_der_Klausur/_%C2%A7_8_Einstweiliger_Rechtsschutz_1:_Der_Antrag_nach_%C2%A7_80_V_VwGO" TargetMode="External"/><Relationship Id="rId383" Type="http://schemas.openxmlformats.org/officeDocument/2006/relationships/hyperlink" Target="https://de.wikibooks.org/wiki/Verwaltungsrecht_in_der_Klausur/_%C2%A7_2_Die_Anfechtungsklage" TargetMode="External"/><Relationship Id="rId418" Type="http://schemas.openxmlformats.org/officeDocument/2006/relationships/hyperlink" Target="http://juris.bundesgerichtshof.de/cgi-bin/rechtsprechung/document.py?Gericht=bgh&amp;Art=en&amp;nr=80353&amp;pos=0&amp;anz=1" TargetMode="External"/><Relationship Id="rId201" Type="http://schemas.openxmlformats.org/officeDocument/2006/relationships/hyperlink" Target="https://www.bundesverfassungsgericht.de/e/rs20020626_1bvr055891.html" TargetMode="External"/><Relationship Id="rId222" Type="http://schemas.openxmlformats.org/officeDocument/2006/relationships/hyperlink" Target="https://de.wikibooks.org/wiki/Verwaltungsrecht_in_der_Klausur/_%C2%A7_6_Die_Feststellungsklage" TargetMode="External"/><Relationship Id="rId243" Type="http://schemas.openxmlformats.org/officeDocument/2006/relationships/hyperlink" Target="https://openjur.de/u/185031.html" TargetMode="External"/><Relationship Id="rId264" Type="http://schemas.openxmlformats.org/officeDocument/2006/relationships/hyperlink" Target="https://de.wikibooks.org/wiki/Verwaltungsrecht_in_der_Klausur/_%C2%A7_6_Die_Feststellungsklage" TargetMode="External"/><Relationship Id="rId285" Type="http://schemas.openxmlformats.org/officeDocument/2006/relationships/hyperlink" Target="https://de.wikibooks.org/wiki/Verwaltungsrecht_in_der_Klausur/_%C2%A7_6_Die_Feststellungsklage" TargetMode="External"/><Relationship Id="rId17" Type="http://schemas.openxmlformats.org/officeDocument/2006/relationships/hyperlink" Target="https://de.wikibooks.org/wiki/Verwaltungsrecht_in_der_Klausur/_%C2%A7_7_Die_verwaltungsgerichtliche_Normenkontrolle" TargetMode="External"/><Relationship Id="rId38" Type="http://schemas.openxmlformats.org/officeDocument/2006/relationships/hyperlink" Target="https://de.wikibooks.org/wiki/Verwaltungsrecht_in_der_Klausur/_%C2%A7_2_Die_Anfechtungsklage" TargetMode="External"/><Relationship Id="rId59" Type="http://schemas.openxmlformats.org/officeDocument/2006/relationships/hyperlink" Target="https://de.wikibooks.org/wiki/Verwaltungsrecht_in_der_Klausur/_%C2%A7_3_Die_Verpflichtungsklage" TargetMode="External"/><Relationship Id="rId103" Type="http://schemas.openxmlformats.org/officeDocument/2006/relationships/hyperlink" Target="https://de.wikibooks.org/wiki/Verwaltungsrecht_in_der_Klausur/_%C2%A7_3_Die_Verpflichtungsklage" TargetMode="External"/><Relationship Id="rId124" Type="http://schemas.openxmlformats.org/officeDocument/2006/relationships/hyperlink" Target="file:///D:\Dokumente%20Laufwerk%20D\WiMi\Open%20Educational%20Ressources\8.%20Beitr&#228;ge\4.%20Finalisierung\BVerfG,%20Beschl.%20v.%204.2.2010,%20AZ:%201%20BvR%20369\04%20=%20NJW%202010,%202193%20(2195)" TargetMode="External"/><Relationship Id="rId310" Type="http://schemas.openxmlformats.org/officeDocument/2006/relationships/hyperlink" Target="https://de.wikibooks.org/wiki/Verwaltungsrecht_in_der_Klausur/_%C2%A7_7_Die_verwaltungsgerichtliche_Normenkontrolle" TargetMode="External"/><Relationship Id="rId70" Type="http://schemas.openxmlformats.org/officeDocument/2006/relationships/hyperlink" Target="https://de.wikibooks.org/wiki/Verwaltungsrecht_in_der_Klausur/_%C2%A7_3_Die_Verpflichtungsklage" TargetMode="External"/><Relationship Id="rId91" Type="http://schemas.openxmlformats.org/officeDocument/2006/relationships/hyperlink" Target="https://www.gesetze-bayern.de/Content/Document/Y-300-Z-BECKRS-B-2018-N-2372?hl=true" TargetMode="External"/><Relationship Id="rId145" Type="http://schemas.openxmlformats.org/officeDocument/2006/relationships/hyperlink" Target="https://de.wikibooks.org/wiki/Verwaltungsrecht_in_der_Klausur/_%C2%A7_2_Die_Anfechtungsklage" TargetMode="External"/><Relationship Id="rId166" Type="http://schemas.openxmlformats.org/officeDocument/2006/relationships/hyperlink" Target="https://de.wikibooks.org/wiki/Verwaltungsrecht_in_der_Klausur/_%C2%A7_5_Die_allgemeine_Leistungsklage" TargetMode="External"/><Relationship Id="rId187" Type="http://schemas.openxmlformats.org/officeDocument/2006/relationships/hyperlink" Target="https://research.wolterskluwer-online.de/document/522f2d56-bb50-433e-b305-37b89b6f5a9f" TargetMode="External"/><Relationship Id="rId331" Type="http://schemas.openxmlformats.org/officeDocument/2006/relationships/hyperlink" Target="https://www.bverwg.de/270618U10CN1.17.0" TargetMode="External"/><Relationship Id="rId352" Type="http://schemas.openxmlformats.org/officeDocument/2006/relationships/hyperlink" Target="https://de.wikibooks.org/wiki/Verwaltungsrecht_in_der_Klausur/_%C2%A7_8_Einstweiliger_Rechtsschutz_1:_Der_Antrag_nach_%C2%A7_80_V_VwGO" TargetMode="External"/><Relationship Id="rId373" Type="http://schemas.openxmlformats.org/officeDocument/2006/relationships/hyperlink" Target="https://de.wikibooks.org/wiki/Verwaltungsrecht_in_der_Klausur/_%C2%A7_10_Einstweiliger_Rechtsschutz_3:_Der_Antrag_nach_%C2%A7_123_VwGO" TargetMode="External"/><Relationship Id="rId394" Type="http://schemas.openxmlformats.org/officeDocument/2006/relationships/hyperlink" Target="https://www.bundesverfassungsgericht.de/SharedDocs/Entscheidungen/DE/1998/11/rs19981110_2bvr105791.html" TargetMode="External"/><Relationship Id="rId408" Type="http://schemas.openxmlformats.org/officeDocument/2006/relationships/hyperlink" Target="https://de.wikibooks.org/wiki/Verwaltungsrecht_in_der_Klausur/_%C2%A7_11_%C3%96ffentliche_Ersatzleistungen_vor_den_Zivilgerichten" TargetMode="External"/><Relationship Id="rId1" Type="http://schemas.openxmlformats.org/officeDocument/2006/relationships/hyperlink" Target="https://de.wikibooks.org/wiki/Verwaltungsrecht_in_der_Klausur/_%C2%A7_1_Die_Er%C3%B6ffnung_der_gutachterlichen_Pr%C3%BCfung" TargetMode="External"/><Relationship Id="rId212" Type="http://schemas.openxmlformats.org/officeDocument/2006/relationships/hyperlink" Target="https://de.wikibooks.org/wiki/Verwaltungsrecht_in_der_Klausur/_%C2%A7_6_Die_Feststellungsklage" TargetMode="External"/><Relationship Id="rId233" Type="http://schemas.openxmlformats.org/officeDocument/2006/relationships/hyperlink" Target="https://www.bundesverfassungsgericht.de/SharedDocs/Entscheidungen/DE/2014/06/rk20140620_1bvr098013.html" TargetMode="External"/><Relationship Id="rId254" Type="http://schemas.openxmlformats.org/officeDocument/2006/relationships/hyperlink" Target="https://de.wikibooks.org/wiki/Verwaltungsrecht_in_der_Klausur/_%C2%A7_2_Die_Anfechtungsklage" TargetMode="External"/><Relationship Id="rId28" Type="http://schemas.openxmlformats.org/officeDocument/2006/relationships/hyperlink" Target="https://de.wikibooks.org/wiki/Verwaltungsrecht_in_der_Klausur/_%C2%A7_2_Die_Anfechtungsklage" TargetMode="External"/><Relationship Id="rId49" Type="http://schemas.openxmlformats.org/officeDocument/2006/relationships/hyperlink" Target="https://de.wikibooks.org/wiki/Verwaltungsrecht_in_der_Klausur/_%C2%A7_2_Die_Anfechtungsklage" TargetMode="External"/><Relationship Id="rId114" Type="http://schemas.openxmlformats.org/officeDocument/2006/relationships/hyperlink" Target="https://de.wikibooks.org/wiki/Verwaltungsrecht_in_der_Klausur/_%C2%A7_2_Die_Anfechtungsklage" TargetMode="External"/><Relationship Id="rId275" Type="http://schemas.openxmlformats.org/officeDocument/2006/relationships/hyperlink" Target="https://de.wikibooks.org/wiki/Verwaltungsrecht_in_der_Klausur/_%C2%A7_6_Die_Feststellungsklage" TargetMode="External"/><Relationship Id="rId296" Type="http://schemas.openxmlformats.org/officeDocument/2006/relationships/hyperlink" Target="https://de.wikibooks.org/wiki/Verwaltungsrecht_in_der_Klausur/_%C2%A7_7_Die_verwaltungsgerichtliche_Normenkontrolle" TargetMode="External"/><Relationship Id="rId300" Type="http://schemas.openxmlformats.org/officeDocument/2006/relationships/hyperlink" Target="https://de.wikibooks.org/wiki/Verwaltungsrecht_in_der_Klausur/_%C2%A7_7_Die_verwaltungsgerichtliche_Normenkontrolle" TargetMode="External"/><Relationship Id="rId60" Type="http://schemas.openxmlformats.org/officeDocument/2006/relationships/hyperlink" Target="https://de.wikibooks.org/wiki/Verwaltungsrecht_in_der_Klausur/_%C2%A7_2_Die_Anfechtungsklage" TargetMode="External"/><Relationship Id="rId81" Type="http://schemas.openxmlformats.org/officeDocument/2006/relationships/hyperlink" Target="https://de.wikibooks.org/wiki/Verwaltungsrecht_in_der_Klausur/_%C2%A7_3_Die_Verpflichtungsklage" TargetMode="External"/><Relationship Id="rId135" Type="http://schemas.openxmlformats.org/officeDocument/2006/relationships/hyperlink" Target="https://de.wikibooks.org/wiki/Verwaltungsrecht_in_der_Klausur/_%C2%A7_4_Die_Fortsetzungsfeststellungsklage" TargetMode="External"/><Relationship Id="rId156" Type="http://schemas.openxmlformats.org/officeDocument/2006/relationships/hyperlink" Target="https://de.wikibooks.org/wiki/Verwaltungsrecht_in_der_Klausur/_%C2%A7_3_Die_Verpflichtungsklage" TargetMode="External"/><Relationship Id="rId177" Type="http://schemas.openxmlformats.org/officeDocument/2006/relationships/hyperlink" Target="https://research.wolterskluwer-online.de/document/b6e0a557-9514-40a4-8a18-d43e0692a219" TargetMode="External"/><Relationship Id="rId198" Type="http://schemas.openxmlformats.org/officeDocument/2006/relationships/hyperlink" Target="https://www.bundesverfassungsgericht.de/e/rs20020626_1bvr055891.html" TargetMode="External"/><Relationship Id="rId321" Type="http://schemas.openxmlformats.org/officeDocument/2006/relationships/hyperlink" Target="https://de.wikibooks.org/wiki/Verwaltungsrecht_in_der_Klausur/_%C2%A7_2_Die_Anfechtungsklage" TargetMode="External"/><Relationship Id="rId342" Type="http://schemas.openxmlformats.org/officeDocument/2006/relationships/hyperlink" Target="http://www.servat.unibe.ch/dfr/bv020056.html" TargetMode="External"/><Relationship Id="rId363" Type="http://schemas.openxmlformats.org/officeDocument/2006/relationships/hyperlink" Target="https://de.wikibooks.org/wiki/Verwaltungsrecht_in_der_Klausur/_%C2%A7_8_Einstweiliger_Rechtsschutz_1:_Der_Antrag_nach_%C2%A7_80_V_VwGO" TargetMode="External"/><Relationship Id="rId384" Type="http://schemas.openxmlformats.org/officeDocument/2006/relationships/hyperlink" Target="https://de.wikibooks.org/wiki/Verwaltungsrecht_in_der_Klausur/_%C2%A7_2_Die_Anfechtungsklage" TargetMode="External"/><Relationship Id="rId419" Type="http://schemas.openxmlformats.org/officeDocument/2006/relationships/hyperlink" Target="http://zjs-online.com/dat/artikel/2013_4_714.pdf" TargetMode="External"/><Relationship Id="rId202" Type="http://schemas.openxmlformats.org/officeDocument/2006/relationships/hyperlink" Target="https://www.bundesverfassungsgericht.de/e/rs20020626_1bvr055891.html" TargetMode="External"/><Relationship Id="rId223" Type="http://schemas.openxmlformats.org/officeDocument/2006/relationships/hyperlink" Target="https://de.wikibooks.org/wiki/Verwaltungsrecht_in_der_Klausur/_%C2%A7_6_Die_Feststellungsklage" TargetMode="External"/><Relationship Id="rId244" Type="http://schemas.openxmlformats.org/officeDocument/2006/relationships/hyperlink" Target="https://www.bundesverfassungsgericht.de/SharedDocs/Entscheidungen/DE/2014/06/es20140610_2bve000413.html" TargetMode="External"/><Relationship Id="rId18" Type="http://schemas.openxmlformats.org/officeDocument/2006/relationships/hyperlink" Target="https://de.wikibooks.org/wiki/Verwaltungsrecht_in_der_Klausur/_%C2%A7_1_Die_Er%C3%B6ffnung_der_gutachterlichen_Pr%C3%BCfung" TargetMode="External"/><Relationship Id="rId39" Type="http://schemas.openxmlformats.org/officeDocument/2006/relationships/hyperlink" Target="https://de.wikibooks.org/wiki/Verwaltungsrecht_in_der_Klausur/_%C2%A7_1_Die_Er%C3%B6ffnung_der_gutachterlichen_Pr%C3%BCfung" TargetMode="External"/><Relationship Id="rId265" Type="http://schemas.openxmlformats.org/officeDocument/2006/relationships/hyperlink" Target="https://de.wikibooks.org/wiki/Verwaltungsrecht_in_der_Klausur/_%C2%A7_2_Die_Anfechtungsklage" TargetMode="External"/><Relationship Id="rId286" Type="http://schemas.openxmlformats.org/officeDocument/2006/relationships/hyperlink" Target="https://research.wolterskluwer-online.de/document/39291cf7-1f78-457b-b6e8-09bc65686425" TargetMode="External"/><Relationship Id="rId50" Type="http://schemas.openxmlformats.org/officeDocument/2006/relationships/hyperlink" Target="https://de.wikibooks.org/wiki/Verwaltungsrecht_in_der_Klausur/_%C2%A7_2_Die_Anfechtungsklage" TargetMode="External"/><Relationship Id="rId104" Type="http://schemas.openxmlformats.org/officeDocument/2006/relationships/hyperlink" Target="https://de.wikibooks.org/wiki/Verwaltungsrecht_in_der_Klausur/_%C2%A7_2_Die_Anfechtungsklage" TargetMode="External"/><Relationship Id="rId125" Type="http://schemas.openxmlformats.org/officeDocument/2006/relationships/hyperlink" Target="http://www.servat.unibe.ch/dfr/bv027071.html" TargetMode="External"/><Relationship Id="rId146" Type="http://schemas.openxmlformats.org/officeDocument/2006/relationships/hyperlink" Target="https://www.rv.hessenrecht.hessen.de/bshe/document" TargetMode="External"/><Relationship Id="rId167" Type="http://schemas.openxmlformats.org/officeDocument/2006/relationships/hyperlink" Target="https://de.wikibooks.org/wiki/Verwaltungsrecht_in_der_Klausur/_%C2%A7_5_Die_allgemeine_Leistungsklage" TargetMode="External"/><Relationship Id="rId188" Type="http://schemas.openxmlformats.org/officeDocument/2006/relationships/hyperlink" Target="https://de.wikibooks.org/wiki/Verwaltungsrecht_in_der_Klausur/_%C2%A7_6_Die_Feststellungsklage" TargetMode="External"/><Relationship Id="rId311" Type="http://schemas.openxmlformats.org/officeDocument/2006/relationships/hyperlink" Target="https://de.wikibooks.org/wiki/Verwaltungsrecht_in_der_Klausur/_%C2%A7_7_Die_verwaltungsgerichtliche_Normenkontrolle" TargetMode="External"/><Relationship Id="rId332" Type="http://schemas.openxmlformats.org/officeDocument/2006/relationships/hyperlink" Target="https://www.bundesverfassungsgericht.de/SharedDocs/Entscheidungen/DE/2017/01/bs20170117_2bvb000113.html" TargetMode="External"/><Relationship Id="rId353" Type="http://schemas.openxmlformats.org/officeDocument/2006/relationships/hyperlink" Target="https://de.wikibooks.org/wiki/Verwaltungsrecht_in_der_Klausur/_%C2%A7_8_Einstweiliger_Rechtsschutz_1:_Der_Antrag_nach_%C2%A7_80_V_VwGO" TargetMode="External"/><Relationship Id="rId374" Type="http://schemas.openxmlformats.org/officeDocument/2006/relationships/hyperlink" Target="https://de.wikibooks.org/wiki/Verwaltungsrecht_in_der_Klausur/_%C2%A7_10_Einstweiliger_Rechtsschutz_3:_Der_Antrag_nach_%C2%A7_123_VwGO" TargetMode="External"/><Relationship Id="rId395" Type="http://schemas.openxmlformats.org/officeDocument/2006/relationships/hyperlink" Target="https://de.wikibooks.org/wiki/Verwaltungsrecht_in_der_Klausur/_%C2%A7_10_Einstweiliger_Rechtsschutz_3:_Der_Antrag_nach_%C2%A7_123_VwGO" TargetMode="External"/><Relationship Id="rId409" Type="http://schemas.openxmlformats.org/officeDocument/2006/relationships/hyperlink" Target="http://juris.bundesgerichtshof.de/cgi-bin/rechtsprechung/document.py?Gericht=bgh&amp;Art=en&amp;nr=40360&amp;pos=0&amp;anz=1" TargetMode="External"/><Relationship Id="rId71" Type="http://schemas.openxmlformats.org/officeDocument/2006/relationships/hyperlink" Target="https://de.wikibooks.org/wiki/Verwaltungsrecht_in_der_Klausur/_%C2%A7_3_Die_Verpflichtungsklage" TargetMode="External"/><Relationship Id="rId92" Type="http://schemas.openxmlformats.org/officeDocument/2006/relationships/hyperlink" Target="https://www.gesetze-bayern.de/Content/Document/Y-300-Z-BECKRS-B-2018-N-2372?hl=true" TargetMode="External"/><Relationship Id="rId213" Type="http://schemas.openxmlformats.org/officeDocument/2006/relationships/hyperlink" Target="https://de.wikibooks.org/wiki/Verwaltungsrecht_in_der_Klausur/_%C2%A7_6_Die_Feststellungsklage" TargetMode="External"/><Relationship Id="rId234" Type="http://schemas.openxmlformats.org/officeDocument/2006/relationships/hyperlink" Target="http://www.servat.unibe.ch/dfr/bv069315.html" TargetMode="External"/><Relationship Id="rId420" Type="http://schemas.openxmlformats.org/officeDocument/2006/relationships/hyperlink" Target="http://juris.bundesgerichtshof.de/cgi-bin/rechtsprechung/document.py?Gericht=bgh&amp;Art=en&amp;nr=79600" TargetMode="External"/><Relationship Id="rId2" Type="http://schemas.openxmlformats.org/officeDocument/2006/relationships/hyperlink" Target="https://creativecommons.org/licenses/by-sa/4.0/deed.de" TargetMode="External"/><Relationship Id="rId29" Type="http://schemas.openxmlformats.org/officeDocument/2006/relationships/hyperlink" Target="https://de.wikibooks.org/wiki/Verwaltungsrecht_in_der_Klausur/_%C2%A7_2_Die_Anfechtungsklage" TargetMode="External"/><Relationship Id="rId255" Type="http://schemas.openxmlformats.org/officeDocument/2006/relationships/hyperlink" Target="https://de.wikibooks.org/wiki/Verwaltungsrecht_in_der_Klausur/_%C2%A7_2_Die_Anfechtungsklage" TargetMode="External"/><Relationship Id="rId276" Type="http://schemas.openxmlformats.org/officeDocument/2006/relationships/hyperlink" Target="https://www.bverwg.de/191015B5P11.14.0" TargetMode="External"/><Relationship Id="rId297" Type="http://schemas.openxmlformats.org/officeDocument/2006/relationships/hyperlink" Target="https://de.wikibooks.org/wiki/Verwaltungsrecht_in_der_Klausur/_%C2%A7_7_Die_verwaltungsgerichtliche_Normenkontrolle" TargetMode="External"/><Relationship Id="rId40" Type="http://schemas.openxmlformats.org/officeDocument/2006/relationships/hyperlink" Target="https://de.wikibooks.org/wiki/Verwaltungsrecht_in_der_Klausur/_%C2%A7_2_Die_Anfechtungsklage" TargetMode="External"/><Relationship Id="rId115" Type="http://schemas.openxmlformats.org/officeDocument/2006/relationships/hyperlink" Target="https://openjur.de/u/174847.html" TargetMode="External"/><Relationship Id="rId136" Type="http://schemas.openxmlformats.org/officeDocument/2006/relationships/hyperlink" Target="https://de.wikibooks.org/wiki/Verwaltungsrecht_in_der_Klausur/_%C2%A7_4_Die_Fortsetzungsfeststellungsklage" TargetMode="External"/><Relationship Id="rId157" Type="http://schemas.openxmlformats.org/officeDocument/2006/relationships/hyperlink" Target="https://de.wikibooks.org/wiki/Verwaltungsrecht_in_der_Klausur/_%C2%A7_3_Die_Verpflichtungsklage" TargetMode="External"/><Relationship Id="rId178" Type="http://schemas.openxmlformats.org/officeDocument/2006/relationships/hyperlink" Target="https://de.wikibooks.org/wiki/Verwaltungsrecht_in_der_Klausur/_%C2%A7_5_Die_allgemeine_Leistungsklage" TargetMode="External"/><Relationship Id="rId301" Type="http://schemas.openxmlformats.org/officeDocument/2006/relationships/hyperlink" Target="https://de.wikibooks.org/wiki/Verwaltungsrecht_in_der_Klausur/_%C2%A7_7_Die_verwaltungsgerichtliche_Normenkontrolle" TargetMode="External"/><Relationship Id="rId322" Type="http://schemas.openxmlformats.org/officeDocument/2006/relationships/hyperlink" Target="https://de.wikibooks.org/wiki/Verwaltungsrecht_in_der_Klausur/_%C2%A7_7_Die_verwaltungsgerichtliche_Normenkontrolle" TargetMode="External"/><Relationship Id="rId343" Type="http://schemas.openxmlformats.org/officeDocument/2006/relationships/hyperlink" Target="http://www.servat.unibe.ch/dfr/bv020056.html" TargetMode="External"/><Relationship Id="rId364" Type="http://schemas.openxmlformats.org/officeDocument/2006/relationships/hyperlink" Target="https://de.wikibooks.org/wiki/Verwaltungsrecht_in_der_Klausur/_%C2%A7_2_Die_Anfechtungsklage" TargetMode="External"/><Relationship Id="rId61" Type="http://schemas.openxmlformats.org/officeDocument/2006/relationships/hyperlink" Target="https://de.wikibooks.org/wiki/Verwaltungsrecht_in_der_Klausur/_%C2%A7_2_Die_Anfechtungsklage" TargetMode="External"/><Relationship Id="rId82" Type="http://schemas.openxmlformats.org/officeDocument/2006/relationships/hyperlink" Target="https://de.wikibooks.org/wiki/Verwaltungsrecht_in_der_Klausur/_%C2%A7_3_Die_Verpflichtungsklage" TargetMode="External"/><Relationship Id="rId199" Type="http://schemas.openxmlformats.org/officeDocument/2006/relationships/hyperlink" Target="https://www.bundesverfassungsgericht.de/e/rs20040420_1bvr174899.html" TargetMode="External"/><Relationship Id="rId203" Type="http://schemas.openxmlformats.org/officeDocument/2006/relationships/hyperlink" Target="https://www.bundesverfassungsgericht.de/e/fs20180321_1bvf000113.html" TargetMode="External"/><Relationship Id="rId385" Type="http://schemas.openxmlformats.org/officeDocument/2006/relationships/hyperlink" Target="https://de.wikibooks.org/wiki/Verwaltungsrecht_in_der_Klausur/_%C2%A7_10_Einstweiliger_Rechtsschutz_3:_Der_Antrag_nach_%C2%A7_123_VwGO" TargetMode="External"/><Relationship Id="rId19" Type="http://schemas.openxmlformats.org/officeDocument/2006/relationships/hyperlink" Target="https://de.wikibooks.org/wiki/Verwaltungsrecht_in_der_Klausur/_%C2%A7_2_Die_Anfechtungsklage" TargetMode="External"/><Relationship Id="rId224" Type="http://schemas.openxmlformats.org/officeDocument/2006/relationships/hyperlink" Target="https://de.wikibooks.org/wiki/Verwaltungsrecht_in_der_Klausur/_%C2%A7_6_Die_Feststellungsklage" TargetMode="External"/><Relationship Id="rId245" Type="http://schemas.openxmlformats.org/officeDocument/2006/relationships/hyperlink" Target="https://www.justiz.nrw.de/nrwe/ovgs/ovg_nrw/j2003/15_B_2455_03beschluss20031216.html" TargetMode="External"/><Relationship Id="rId266" Type="http://schemas.openxmlformats.org/officeDocument/2006/relationships/hyperlink" Target="https://www.bgbl.de/xaver/bgbl/start.xav?start=%2F%2F*%5B%40attr_id%3D%27bgbl198s2022.pdf%27%5D" TargetMode="External"/><Relationship Id="rId287" Type="http://schemas.openxmlformats.org/officeDocument/2006/relationships/hyperlink" Target="https://research.wolterskluwer-online.de/document/71098353-f101-4b7c-b6ef-e40f63776836" TargetMode="External"/><Relationship Id="rId410" Type="http://schemas.openxmlformats.org/officeDocument/2006/relationships/hyperlink" Target="http://juris.bundesgerichtshof.de/cgi-bin/rechtsprechung/document.py?Gericht=bgh&amp;Art=en&amp;nr=80353&amp;pos=0&amp;anz=1" TargetMode="External"/><Relationship Id="rId30" Type="http://schemas.openxmlformats.org/officeDocument/2006/relationships/hyperlink" Target="https://de.wikibooks.org/wiki/Verwaltungsrecht_in_der_Klausur/_%C2%A7_2_Die_Anfechtungsklage" TargetMode="External"/><Relationship Id="rId105" Type="http://schemas.openxmlformats.org/officeDocument/2006/relationships/hyperlink" Target="https://de.wikibooks.org/wiki/Verwaltungsrecht_in_der_Klausur/_%C2%A7_2_Die_Anfechtungsklage" TargetMode="External"/><Relationship Id="rId126" Type="http://schemas.openxmlformats.org/officeDocument/2006/relationships/hyperlink" Target="https://www.bundesverfassungsgericht.de/SharedDocs/Entscheidungen/DE/2005/10/rs20051025_1bvr169698.html" TargetMode="External"/><Relationship Id="rId147" Type="http://schemas.openxmlformats.org/officeDocument/2006/relationships/hyperlink" Target="https://www.rv.hessenrecht.hessen.de/bshe/document" TargetMode="External"/><Relationship Id="rId168" Type="http://schemas.openxmlformats.org/officeDocument/2006/relationships/hyperlink" Target="https://de.wikibooks.org/wiki/Verwaltungsrecht_in_der_Klausur/_%C2%A7_5_Die_allgemeine_Leistungsklage" TargetMode="External"/><Relationship Id="rId312" Type="http://schemas.openxmlformats.org/officeDocument/2006/relationships/hyperlink" Target="http://www.gesetze-bayern.de/Content/Document/Y-300-Z-BECKRS-B-2018-N-5113?hl=true" TargetMode="External"/><Relationship Id="rId333" Type="http://schemas.openxmlformats.org/officeDocument/2006/relationships/hyperlink" Target="https://www.juwiss.de/8-2017/" TargetMode="External"/><Relationship Id="rId354" Type="http://schemas.openxmlformats.org/officeDocument/2006/relationships/hyperlink" Target="https://de.wikibooks.org/wiki/Verwaltungsrecht_in_der_Klausur/_%C2%A7_8_Einstweiliger_Rechtsschutz_1:_Der_Antrag_nach_%C2%A7_80_V_VwGO" TargetMode="External"/><Relationship Id="rId51" Type="http://schemas.openxmlformats.org/officeDocument/2006/relationships/hyperlink" Target="https://de.wikibooks.org/wiki/Verwaltungsrecht_in_der_Klausur/_%C2%A7_2_Die_Anfechtungsklage" TargetMode="External"/><Relationship Id="rId72" Type="http://schemas.openxmlformats.org/officeDocument/2006/relationships/hyperlink" Target="https://de.wikibooks.org/wiki/Verwaltungsrecht_in_der_Klausur/_%C2%A7_3_Die_Verpflichtungsklage" TargetMode="External"/><Relationship Id="rId93" Type="http://schemas.openxmlformats.org/officeDocument/2006/relationships/hyperlink" Target="https://www.bundesrat.de/SharedDocs/drucksachen/2014/0401-0500/419-14(B)(neu).pdf?__blob=publicationFile&amp;v=7" TargetMode="External"/><Relationship Id="rId189" Type="http://schemas.openxmlformats.org/officeDocument/2006/relationships/hyperlink" Target="https://de.wikibooks.org/wiki/Verwaltungsrecht_in_der_Klausur/_%C2%A7_5_Die_allgemeine_Leistungsklage" TargetMode="External"/><Relationship Id="rId375" Type="http://schemas.openxmlformats.org/officeDocument/2006/relationships/hyperlink" Target="https://de.wikibooks.org/wiki/Verwaltungsrecht_in_der_Klausur/_%C2%A7_10_Einstweiliger_Rechtsschutz_3:_Der_Antrag_nach_%C2%A7_123_VwGO" TargetMode="External"/><Relationship Id="rId396" Type="http://schemas.openxmlformats.org/officeDocument/2006/relationships/hyperlink" Target="https://de.wikibooks.org/wiki/Verwaltungsrecht_in_der_Klausur/_%C2%A7_11_%C3%96ffentliche_Ersatzleistungen_vor_den_Zivilgerichten" TargetMode="External"/><Relationship Id="rId3" Type="http://schemas.openxmlformats.org/officeDocument/2006/relationships/hyperlink" Target="https://de.wikibooks.org/wiki/Verwaltungsrecht_in_der_Klausur/_%C2%A7_1_Die_Er%C3%B6ffnung_der_gutachterlichen_Pr%C3%BCfung" TargetMode="External"/><Relationship Id="rId214" Type="http://schemas.openxmlformats.org/officeDocument/2006/relationships/hyperlink" Target="https://de.wikibooks.org/wiki/Verwaltungsrecht_in_der_Klausur/_%C2%A7_6_Die_Feststellungsklage" TargetMode="External"/><Relationship Id="rId235" Type="http://schemas.openxmlformats.org/officeDocument/2006/relationships/hyperlink" Target="https://www.bundesverfassungsgericht.de/SharedDocs/Entscheidungen/DE/2001/10/rs20011024_1bvr119090.html" TargetMode="External"/><Relationship Id="rId256" Type="http://schemas.openxmlformats.org/officeDocument/2006/relationships/hyperlink" Target="https://de.wikibooks.org/wiki/Verwaltungsrecht_in_der_Klausur/_%C2%A7_2_Die_Anfechtungsklage" TargetMode="External"/><Relationship Id="rId277" Type="http://schemas.openxmlformats.org/officeDocument/2006/relationships/hyperlink" Target="https://de.wikibooks.org/wiki/Verwaltungsrecht_in_der_Klausur/_%C2%A7_6_Die_Feststellungsklage" TargetMode="External"/><Relationship Id="rId298" Type="http://schemas.openxmlformats.org/officeDocument/2006/relationships/hyperlink" Target="https://de.wikibooks.org/wiki/Verwaltungsrecht_in_der_Klausur/_%C2%A7_7_Die_verwaltungsgerichtliche_Normenkontrolle" TargetMode="External"/><Relationship Id="rId400" Type="http://schemas.openxmlformats.org/officeDocument/2006/relationships/hyperlink" Target="https://de.wikibooks.org/wiki/Verwaltungsrecht_in_der_Klausur/_%C2%A7_11_%C3%96ffentliche_Ersatzleistungen_vor_den_Zivilgerichten" TargetMode="External"/><Relationship Id="rId116" Type="http://schemas.openxmlformats.org/officeDocument/2006/relationships/hyperlink" Target="http://www.servat.unibe.ch/dfr/bv093266.html" TargetMode="External"/><Relationship Id="rId137" Type="http://schemas.openxmlformats.org/officeDocument/2006/relationships/hyperlink" Target="https://de.wikibooks.org/wiki/Verwaltungsrecht_in_der_Klausur/_%C2%A7_4_Die_Fortsetzungsfeststellungsklage" TargetMode="External"/><Relationship Id="rId158" Type="http://schemas.openxmlformats.org/officeDocument/2006/relationships/hyperlink" Target="https://openjur.de/u/288670.html" TargetMode="External"/><Relationship Id="rId302" Type="http://schemas.openxmlformats.org/officeDocument/2006/relationships/hyperlink" Target="https://de.wikibooks.org/wiki/Verwaltungsrecht_in_der_Klausur/_%C2%A7_7_Die_verwaltungsgerichtliche_Normenkontrolle" TargetMode="External"/><Relationship Id="rId323" Type="http://schemas.openxmlformats.org/officeDocument/2006/relationships/hyperlink" Target="https://de.wikibooks.org/wiki/Verwaltungsrecht_in_der_Klausur/_%C2%A7_7_Die_verwaltungsgerichtliche_Normenkontrolle" TargetMode="External"/><Relationship Id="rId344" Type="http://schemas.openxmlformats.org/officeDocument/2006/relationships/hyperlink" Target="http://www.servat.unibe.ch/dfr/bv085264.html" TargetMode="External"/><Relationship Id="rId20" Type="http://schemas.openxmlformats.org/officeDocument/2006/relationships/hyperlink" Target="https://de.wikibooks.org/wiki/Verwaltungsrecht_in_der_Klausur/_%C2%A7_2_Die_Anfechtungsklage" TargetMode="External"/><Relationship Id="rId41" Type="http://schemas.openxmlformats.org/officeDocument/2006/relationships/hyperlink" Target="https://de.wikibooks.org/wiki/Verwaltungsrecht_in_der_Klausur/_%C2%A7_2_Die_Anfechtungsklage" TargetMode="External"/><Relationship Id="rId62" Type="http://schemas.openxmlformats.org/officeDocument/2006/relationships/hyperlink" Target="https://de.wikibooks.org/wiki/Verwaltungsrecht_in_der_Klausur/_%C2%A7_2_Die_Anfechtungsklage" TargetMode="External"/><Relationship Id="rId83" Type="http://schemas.openxmlformats.org/officeDocument/2006/relationships/hyperlink" Target="https://de.wikibooks.org/wiki/Verwaltungsrecht_in_der_Klausur/_%C2%A7_3_Die_Verpflichtungsklage" TargetMode="External"/><Relationship Id="rId179" Type="http://schemas.openxmlformats.org/officeDocument/2006/relationships/hyperlink" Target="https://de.wikibooks.org/wiki/Verwaltungsrecht_in_der_Klausur/_%C2%A7_5_Die_allgemeine_Leistungsklage" TargetMode="External"/><Relationship Id="rId365" Type="http://schemas.openxmlformats.org/officeDocument/2006/relationships/hyperlink" Target="https://de.wikibooks.org/wiki/Verwaltungsrecht_in_der_Klausur/_%C2%A7_2_Die_Anfechtungsklage" TargetMode="External"/><Relationship Id="rId386" Type="http://schemas.openxmlformats.org/officeDocument/2006/relationships/hyperlink" Target="https://openjur.de/u/638182.html" TargetMode="External"/><Relationship Id="rId190" Type="http://schemas.openxmlformats.org/officeDocument/2006/relationships/hyperlink" Target="https://www.bverwg.de/201114U3C27.13.0" TargetMode="External"/><Relationship Id="rId204" Type="http://schemas.openxmlformats.org/officeDocument/2006/relationships/hyperlink" Target="https://www.bundesverfassungsgericht.de/e/fs20180321_1bvf000113.html" TargetMode="External"/><Relationship Id="rId225" Type="http://schemas.openxmlformats.org/officeDocument/2006/relationships/hyperlink" Target="https://de.wikibooks.org/wiki/Verwaltungsrecht_in_der_Klausur/_%C2%A7_6_Die_Feststellungsklage" TargetMode="External"/><Relationship Id="rId246" Type="http://schemas.openxmlformats.org/officeDocument/2006/relationships/hyperlink" Target="https://www.bverwg.de/130917U10C6.16.0" TargetMode="External"/><Relationship Id="rId267" Type="http://schemas.openxmlformats.org/officeDocument/2006/relationships/hyperlink" Target="https://dipbt.bundestag.de/doc/btd/13/088/1308884.pdf" TargetMode="External"/><Relationship Id="rId288" Type="http://schemas.openxmlformats.org/officeDocument/2006/relationships/hyperlink" Target="https://research.wolterskluwer-online.de/document/c72daea0-764c-4434-9a1d-c4342c8df2d1" TargetMode="External"/><Relationship Id="rId411" Type="http://schemas.openxmlformats.org/officeDocument/2006/relationships/hyperlink" Target="http://juris.bundesgerichtshof.de/cgi-bin/rechtsprechung/document.py?Gericht=bgh&amp;Art=en&amp;nr=80353&amp;pos=0&amp;anz=1" TargetMode="External"/><Relationship Id="rId106" Type="http://schemas.openxmlformats.org/officeDocument/2006/relationships/hyperlink" Target="https://openjur.de/u/749549.html" TargetMode="External"/><Relationship Id="rId127" Type="http://schemas.openxmlformats.org/officeDocument/2006/relationships/hyperlink" Target="https://openjur.de/u/729019.html" TargetMode="External"/><Relationship Id="rId313" Type="http://schemas.openxmlformats.org/officeDocument/2006/relationships/hyperlink" Target="https://de.wikibooks.org/wiki/Verwaltungsrecht_in_der_Klausur/_%C2%A7_2_Die_Anfechtungsklage" TargetMode="External"/><Relationship Id="rId10" Type="http://schemas.openxmlformats.org/officeDocument/2006/relationships/hyperlink" Target="https://de.wikibooks.org/wiki/Verwaltungsrecht_in_der_Klausur/_%C2%A7_1_Die_Er%C3%B6ffnung_der_gutachterlichen_Pr%C3%BCfung" TargetMode="External"/><Relationship Id="rId31" Type="http://schemas.openxmlformats.org/officeDocument/2006/relationships/hyperlink" Target="https://de.wikibooks.org/wiki/Verwaltungsrecht_in_der_Klausur/_%C2%A7_2_Die_Anfechtungsklage" TargetMode="External"/><Relationship Id="rId52" Type="http://schemas.openxmlformats.org/officeDocument/2006/relationships/hyperlink" Target="https://de.wikibooks.org/wiki/Verwaltungsrecht_in_der_Klausur/_%C2%A7_2_Die_Anfechtungsklage" TargetMode="External"/><Relationship Id="rId73" Type="http://schemas.openxmlformats.org/officeDocument/2006/relationships/hyperlink" Target="https://de.wikibooks.org/wiki/Verwaltungsrecht_in_der_Klausur/_%C2%A7_3_Die_Verpflichtungsklage" TargetMode="External"/><Relationship Id="rId94" Type="http://schemas.openxmlformats.org/officeDocument/2006/relationships/hyperlink" Target="https://dip21.bundestag.de/dip21/btd/18/027/1802752.pdf" TargetMode="External"/><Relationship Id="rId148" Type="http://schemas.openxmlformats.org/officeDocument/2006/relationships/hyperlink" Target="https://www.rv.hessenrecht.hessen.de/bshe/document" TargetMode="External"/><Relationship Id="rId169" Type="http://schemas.openxmlformats.org/officeDocument/2006/relationships/hyperlink" Target="https://de.wikibooks.org/wiki/Verwaltungsrecht_in_der_Klausur/_%C2%A7_5_Die_allgemeine_Leistungsklage" TargetMode="External"/><Relationship Id="rId334" Type="http://schemas.openxmlformats.org/officeDocument/2006/relationships/hyperlink" Target="https://www.juwiss.de/9-2017/" TargetMode="External"/><Relationship Id="rId355" Type="http://schemas.openxmlformats.org/officeDocument/2006/relationships/hyperlink" Target="https://de.wikibooks.org/wiki/Verwaltungsrecht_in_der_Klausur/_%C2%A7_8_Einstweiliger_Rechtsschutz_1:_Der_Antrag_nach_%C2%A7_80_V_VwGO" TargetMode="External"/><Relationship Id="rId376" Type="http://schemas.openxmlformats.org/officeDocument/2006/relationships/hyperlink" Target="https://de.wikibooks.org/wiki/Verwaltungsrecht_in_der_Klausur/_%C2%A7_1_Die_Er%C3%B6ffnung_der_gutachterlichen_Pr%C3%BCfung" TargetMode="External"/><Relationship Id="rId397" Type="http://schemas.openxmlformats.org/officeDocument/2006/relationships/hyperlink" Target="https://de.wikibooks.org/wiki/Verwaltungsrecht_in_der_Klausur/_%C2%A7_11_%C3%96ffentliche_Ersatzleistungen_vor_den_Zivilgerichten" TargetMode="External"/><Relationship Id="rId4" Type="http://schemas.openxmlformats.org/officeDocument/2006/relationships/hyperlink" Target="https://de.wikibooks.org/wiki/Verwaltungsrecht_in_der_Klausur/_%C2%A7_2_Die_Anfechtungsklage" TargetMode="External"/><Relationship Id="rId180" Type="http://schemas.openxmlformats.org/officeDocument/2006/relationships/hyperlink" Target="https://research.wolterskluwer-online.de/document/1e0eab60-0e4d-443b-b314-5459c82f0f49" TargetMode="External"/><Relationship Id="rId215" Type="http://schemas.openxmlformats.org/officeDocument/2006/relationships/hyperlink" Target="https://de.wikibooks.org/wiki/Verwaltungsrecht_in_der_Klausur/_%C2%A7_6_Die_Feststellungsklage" TargetMode="External"/><Relationship Id="rId236" Type="http://schemas.openxmlformats.org/officeDocument/2006/relationships/hyperlink" Target="https://www.bundesverfassungsgericht.de/SharedDocs/Entscheidungen/DE/2010/12/rk20101210_1bvr140206.html" TargetMode="External"/><Relationship Id="rId257" Type="http://schemas.openxmlformats.org/officeDocument/2006/relationships/hyperlink" Target="https://research.wolterskluwer-online.de/document/34352e2b-84bd-4f4c-8deb-a7c89f582b5b" TargetMode="External"/><Relationship Id="rId278" Type="http://schemas.openxmlformats.org/officeDocument/2006/relationships/hyperlink" Target="https://de.wikibooks.org/wiki/Verwaltungsrecht_in_der_Klausur/_%C2%A7_6_Die_Feststellungsklage" TargetMode="External"/><Relationship Id="rId401" Type="http://schemas.openxmlformats.org/officeDocument/2006/relationships/hyperlink" Target="https://openjur.de/u/114638.html" TargetMode="External"/><Relationship Id="rId303" Type="http://schemas.openxmlformats.org/officeDocument/2006/relationships/hyperlink" Target="https://de.wikibooks.org/wiki/Verwaltungsrecht_in_der_Klausur/_%C2%A7_7_Die_verwaltungsgerichtliche_Normenkontrolle" TargetMode="External"/><Relationship Id="rId42" Type="http://schemas.openxmlformats.org/officeDocument/2006/relationships/hyperlink" Target="https://de.wikibooks.org/wiki/Verwaltungsrecht_in_der_Klausur/_%C2%A7_2_Die_Anfechtungsklage" TargetMode="External"/><Relationship Id="rId84" Type="http://schemas.openxmlformats.org/officeDocument/2006/relationships/hyperlink" Target="https://de.wikibooks.org/wiki/Verwaltungsrecht_in_der_Klausur/_%C2%A7_3_Die_Verpflichtungsklage" TargetMode="External"/><Relationship Id="rId138" Type="http://schemas.openxmlformats.org/officeDocument/2006/relationships/hyperlink" Target="https://de.wikibooks.org/wiki/Verwaltungsrecht_in_der_Klausur/_%C2%A7_4_Die_Fortsetzungsfeststellungsklage" TargetMode="External"/><Relationship Id="rId345" Type="http://schemas.openxmlformats.org/officeDocument/2006/relationships/hyperlink" Target="http://www.servat.unibe.ch/dfr/bv085264.html" TargetMode="External"/><Relationship Id="rId387" Type="http://schemas.openxmlformats.org/officeDocument/2006/relationships/hyperlink" Target="https://www.justiz.sachsen.de/ovgentschweb/document.phtml?id=5148" TargetMode="External"/><Relationship Id="rId191" Type="http://schemas.openxmlformats.org/officeDocument/2006/relationships/hyperlink" Target="http://www.servat.unibe.ch/dfr/vw082076.html" TargetMode="External"/><Relationship Id="rId205" Type="http://schemas.openxmlformats.org/officeDocument/2006/relationships/hyperlink" Target="https://www.bundesverfassungsgericht.de/e/rs20020626_1bvr055891.html" TargetMode="External"/><Relationship Id="rId247" Type="http://schemas.openxmlformats.org/officeDocument/2006/relationships/hyperlink" Target="https://www.bverwg.de/130917U10C6.16.0" TargetMode="External"/><Relationship Id="rId412" Type="http://schemas.openxmlformats.org/officeDocument/2006/relationships/hyperlink" Target="http://juris.bundesgerichtshof.de/cgi-bin/rechtsprechung/document.py?Gericht=bgh&amp;Art=en&amp;nr=80353&amp;pos=0&amp;anz=1" TargetMode="External"/><Relationship Id="rId107" Type="http://schemas.openxmlformats.org/officeDocument/2006/relationships/hyperlink" Target="https://de.wikibooks.org/wiki/Verwaltungsrecht_in_der_Klausur/_%C2%A7_3_Die_Verpflichtungsklage" TargetMode="External"/><Relationship Id="rId289" Type="http://schemas.openxmlformats.org/officeDocument/2006/relationships/hyperlink" Target="https://openjur.de/u/484649.html" TargetMode="External"/><Relationship Id="rId11" Type="http://schemas.openxmlformats.org/officeDocument/2006/relationships/hyperlink" Target="https://de.wikibooks.org/wiki/Verwaltungsrecht_in_der_Klausur/_%C2%A7_1_Die_Er%C3%B6ffnung_der_gutachterlichen_Pr%C3%BCfung" TargetMode="External"/><Relationship Id="rId53" Type="http://schemas.openxmlformats.org/officeDocument/2006/relationships/hyperlink" Target="https://de.wikibooks.org/wiki/Verwaltungsrecht_in_der_Klausur/_%C2%A7_2_Die_Anfechtungsklage" TargetMode="External"/><Relationship Id="rId149" Type="http://schemas.openxmlformats.org/officeDocument/2006/relationships/hyperlink" Target="https://www.rv.hessenrecht.hessen.de/bshe/document/LARE190030612" TargetMode="External"/><Relationship Id="rId314" Type="http://schemas.openxmlformats.org/officeDocument/2006/relationships/hyperlink" Target="https://www.bverwg.de/270618U10CN1.17.0" TargetMode="External"/><Relationship Id="rId356" Type="http://schemas.openxmlformats.org/officeDocument/2006/relationships/hyperlink" Target="https://de.wikibooks.org/wiki/Verwaltungsrecht_in_der_Klausur/_%C2%A7_8_Einstweiliger_Rechtsschutz_1:_Der_Antrag_nach_%C2%A7_80_V_VwGO" TargetMode="External"/><Relationship Id="rId398" Type="http://schemas.openxmlformats.org/officeDocument/2006/relationships/hyperlink" Target="https://de.wikibooks.org/wiki/Verwaltungsrecht_in_der_Klausur/_%C2%A7_11_%C3%96ffentliche_Ersatzleistungen_vor_den_Zivilgerichten" TargetMode="External"/><Relationship Id="rId95" Type="http://schemas.openxmlformats.org/officeDocument/2006/relationships/hyperlink" Target="https://www.bverwg.de/020212U4C14.10.0" TargetMode="External"/><Relationship Id="rId160" Type="http://schemas.openxmlformats.org/officeDocument/2006/relationships/hyperlink" Target="https://de.wikibooks.org/wiki/Verwaltungsrecht_in_der_Klausur/_%C2%A7_3_Die_Verpflichtungsklage" TargetMode="External"/><Relationship Id="rId216" Type="http://schemas.openxmlformats.org/officeDocument/2006/relationships/hyperlink" Target="https://de.wikibooks.org/wiki/Verwaltungsrecht_in_der_Klausur/_%C2%A7_6_Die_Feststellungskl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Version="1987"/>
</file>

<file path=customXml/itemProps1.xml><?xml version="1.0" encoding="utf-8"?>
<ds:datastoreItem xmlns:ds="http://schemas.openxmlformats.org/officeDocument/2006/customXml" ds:itemID="{6498E38A-5617-469E-B048-C0A0DA81D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81401</Words>
  <Characters>512830</Characters>
  <Application>Microsoft Office Word</Application>
  <DocSecurity>0</DocSecurity>
  <Lines>4273</Lines>
  <Paragraphs>1186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Eisentraut, Nikolas Werner</dc:creator>
  <cp:keywords/>
  <dc:description/>
  <cp:lastModifiedBy>Eisentraut, Nikolas Werner</cp:lastModifiedBy>
  <cp:revision>30</cp:revision>
  <dcterms:created xsi:type="dcterms:W3CDTF">2019-10-16T09:40:00Z</dcterms:created>
  <dcterms:modified xsi:type="dcterms:W3CDTF">2019-10-21T17:59:00Z</dcterms:modified>
</cp:coreProperties>
</file>